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B2D" w:rsidRPr="00134A6B" w:rsidRDefault="00146B2D" w:rsidP="00146B2D">
      <w:pPr>
        <w:jc w:val="center"/>
        <w:rPr>
          <w:spacing w:val="-2"/>
          <w:lang w:val="uk-UA"/>
        </w:rPr>
      </w:pPr>
      <w:r>
        <w:rPr>
          <w:spacing w:val="-2"/>
          <w:lang w:val="uk-UA"/>
        </w:rPr>
        <w:t>Міністерство освіти і науки України</w:t>
      </w:r>
    </w:p>
    <w:p w:rsidR="00146B2D" w:rsidRPr="00134A6B" w:rsidRDefault="00146B2D" w:rsidP="00146B2D">
      <w:pPr>
        <w:jc w:val="center"/>
        <w:rPr>
          <w:spacing w:val="-2"/>
          <w:lang w:val="uk-UA"/>
        </w:rPr>
      </w:pPr>
      <w:r>
        <w:rPr>
          <w:spacing w:val="-2"/>
          <w:lang w:val="uk-UA"/>
        </w:rPr>
        <w:t>Івано-Франківський національний технічний університет нафти і газу</w:t>
      </w:r>
    </w:p>
    <w:p w:rsidR="00146B2D" w:rsidRPr="00134A6B" w:rsidRDefault="00146B2D" w:rsidP="00146B2D">
      <w:pPr>
        <w:jc w:val="center"/>
        <w:rPr>
          <w:spacing w:val="-2"/>
          <w:lang w:val="uk-UA"/>
        </w:rPr>
      </w:pPr>
      <w:r>
        <w:rPr>
          <w:spacing w:val="-2"/>
          <w:lang w:val="uk-UA"/>
        </w:rPr>
        <w:t>Інститут гуманітарної підготовки та державного управління</w:t>
      </w:r>
    </w:p>
    <w:p w:rsidR="00146B2D" w:rsidRPr="00134A6B" w:rsidRDefault="00146B2D" w:rsidP="00146B2D">
      <w:pPr>
        <w:jc w:val="center"/>
        <w:rPr>
          <w:spacing w:val="-2"/>
          <w:lang w:val="uk-UA"/>
        </w:rPr>
      </w:pPr>
      <w:r>
        <w:rPr>
          <w:spacing w:val="-2"/>
          <w:lang w:val="uk-UA"/>
        </w:rPr>
        <w:t>Кафедра документознавства та інформаційної діяльності</w:t>
      </w:r>
    </w:p>
    <w:p w:rsidR="00146B2D" w:rsidRPr="00134A6B" w:rsidRDefault="00146B2D" w:rsidP="00146B2D">
      <w:pPr>
        <w:kinsoku w:val="0"/>
        <w:overflowPunct w:val="0"/>
        <w:rPr>
          <w:lang w:val="uk-UA"/>
        </w:rPr>
      </w:pPr>
    </w:p>
    <w:p w:rsidR="00146B2D" w:rsidRPr="00134A6B" w:rsidRDefault="00146B2D" w:rsidP="00146B2D">
      <w:pPr>
        <w:kinsoku w:val="0"/>
        <w:overflowPunct w:val="0"/>
        <w:jc w:val="center"/>
        <w:rPr>
          <w:sz w:val="12"/>
          <w:szCs w:val="12"/>
          <w:lang w:val="uk-UA"/>
        </w:rPr>
      </w:pPr>
    </w:p>
    <w:p w:rsidR="00146B2D" w:rsidRPr="00134A6B" w:rsidRDefault="00146B2D" w:rsidP="00146B2D">
      <w:pPr>
        <w:kinsoku w:val="0"/>
        <w:overflowPunct w:val="0"/>
        <w:jc w:val="center"/>
        <w:rPr>
          <w:lang w:val="uk-UA"/>
        </w:rPr>
      </w:pPr>
    </w:p>
    <w:tbl>
      <w:tblPr>
        <w:tblW w:w="0" w:type="auto"/>
        <w:tblBorders>
          <w:bottom w:val="single" w:sz="4" w:space="0" w:color="auto"/>
        </w:tblBorders>
        <w:tblLook w:val="04A0" w:firstRow="1" w:lastRow="0" w:firstColumn="1" w:lastColumn="0" w:noHBand="0" w:noVBand="1"/>
      </w:tblPr>
      <w:tblGrid>
        <w:gridCol w:w="9344"/>
      </w:tblGrid>
      <w:tr w:rsidR="00146B2D" w:rsidRPr="00134A6B" w:rsidTr="00D2520C">
        <w:tc>
          <w:tcPr>
            <w:tcW w:w="9344" w:type="dxa"/>
          </w:tcPr>
          <w:p w:rsidR="00146B2D" w:rsidRPr="0094151A" w:rsidRDefault="00146B2D" w:rsidP="00D2520C">
            <w:pPr>
              <w:kinsoku w:val="0"/>
              <w:overflowPunct w:val="0"/>
              <w:jc w:val="center"/>
              <w:rPr>
                <w:b/>
                <w:sz w:val="20"/>
                <w:szCs w:val="20"/>
                <w:lang w:val="uk-UA"/>
              </w:rPr>
            </w:pPr>
            <w:proofErr w:type="spellStart"/>
            <w:r>
              <w:rPr>
                <w:b/>
                <w:lang w:val="uk-UA"/>
              </w:rPr>
              <w:t>Єрузель</w:t>
            </w:r>
            <w:proofErr w:type="spellEnd"/>
            <w:r>
              <w:rPr>
                <w:b/>
                <w:lang w:val="uk-UA"/>
              </w:rPr>
              <w:t xml:space="preserve"> </w:t>
            </w:r>
            <w:r w:rsidR="00D85F72">
              <w:rPr>
                <w:b/>
                <w:lang w:val="uk-UA"/>
              </w:rPr>
              <w:t>Катерина-</w:t>
            </w:r>
            <w:r>
              <w:rPr>
                <w:b/>
                <w:lang w:val="uk-UA"/>
              </w:rPr>
              <w:t>Аліна Олександрівна</w:t>
            </w:r>
          </w:p>
        </w:tc>
      </w:tr>
    </w:tbl>
    <w:p w:rsidR="00146B2D" w:rsidRPr="00134A6B" w:rsidRDefault="00146B2D" w:rsidP="00146B2D">
      <w:pPr>
        <w:kinsoku w:val="0"/>
        <w:overflowPunct w:val="0"/>
        <w:jc w:val="center"/>
        <w:rPr>
          <w:sz w:val="20"/>
          <w:szCs w:val="20"/>
          <w:lang w:val="uk-UA"/>
        </w:rPr>
      </w:pPr>
      <w:r>
        <w:rPr>
          <w:sz w:val="20"/>
          <w:szCs w:val="20"/>
          <w:lang w:val="uk-UA"/>
        </w:rPr>
        <w:t>(</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ви</w:t>
      </w:r>
      <w:r>
        <w:rPr>
          <w:sz w:val="20"/>
          <w:szCs w:val="20"/>
          <w:lang w:val="uk-UA"/>
        </w:rPr>
        <w:t>ще,</w:t>
      </w:r>
      <w:r>
        <w:rPr>
          <w:spacing w:val="-7"/>
          <w:sz w:val="20"/>
          <w:szCs w:val="20"/>
          <w:lang w:val="uk-UA"/>
        </w:rPr>
        <w:t xml:space="preserve"> </w:t>
      </w:r>
      <w:r>
        <w:rPr>
          <w:spacing w:val="-1"/>
          <w:sz w:val="20"/>
          <w:szCs w:val="20"/>
          <w:lang w:val="uk-UA"/>
        </w:rPr>
        <w:t>і</w:t>
      </w:r>
      <w:r>
        <w:rPr>
          <w:spacing w:val="1"/>
          <w:sz w:val="20"/>
          <w:szCs w:val="20"/>
          <w:lang w:val="uk-UA"/>
        </w:rPr>
        <w:t>м</w:t>
      </w:r>
      <w:r>
        <w:rPr>
          <w:sz w:val="20"/>
          <w:szCs w:val="20"/>
          <w:lang w:val="uk-UA"/>
        </w:rPr>
        <w:t>’</w:t>
      </w:r>
      <w:r>
        <w:rPr>
          <w:spacing w:val="-1"/>
          <w:sz w:val="20"/>
          <w:szCs w:val="20"/>
          <w:lang w:val="uk-UA"/>
        </w:rPr>
        <w:t>я</w:t>
      </w:r>
      <w:r>
        <w:rPr>
          <w:sz w:val="20"/>
          <w:szCs w:val="20"/>
          <w:lang w:val="uk-UA"/>
        </w:rPr>
        <w:t>,</w:t>
      </w:r>
      <w:r>
        <w:rPr>
          <w:spacing w:val="-7"/>
          <w:sz w:val="20"/>
          <w:szCs w:val="20"/>
          <w:lang w:val="uk-UA"/>
        </w:rPr>
        <w:t xml:space="preserve"> </w:t>
      </w:r>
      <w:r>
        <w:rPr>
          <w:spacing w:val="-1"/>
          <w:sz w:val="20"/>
          <w:szCs w:val="20"/>
          <w:lang w:val="uk-UA"/>
        </w:rPr>
        <w:t>п</w:t>
      </w:r>
      <w:r>
        <w:rPr>
          <w:sz w:val="20"/>
          <w:szCs w:val="20"/>
          <w:lang w:val="uk-UA"/>
        </w:rPr>
        <w:t>о</w:t>
      </w:r>
      <w:r>
        <w:rPr>
          <w:spacing w:val="-6"/>
          <w:sz w:val="20"/>
          <w:szCs w:val="20"/>
          <w:lang w:val="uk-UA"/>
        </w:rPr>
        <w:t xml:space="preserve"> </w:t>
      </w:r>
      <w:r>
        <w:rPr>
          <w:spacing w:val="-1"/>
          <w:sz w:val="20"/>
          <w:szCs w:val="20"/>
          <w:lang w:val="uk-UA"/>
        </w:rPr>
        <w:t>б</w:t>
      </w:r>
      <w:r>
        <w:rPr>
          <w:sz w:val="20"/>
          <w:szCs w:val="20"/>
          <w:lang w:val="uk-UA"/>
        </w:rPr>
        <w:t>а</w:t>
      </w:r>
      <w:r>
        <w:rPr>
          <w:spacing w:val="-1"/>
          <w:sz w:val="20"/>
          <w:szCs w:val="20"/>
          <w:lang w:val="uk-UA"/>
        </w:rPr>
        <w:t>т</w:t>
      </w:r>
      <w:r>
        <w:rPr>
          <w:spacing w:val="2"/>
          <w:sz w:val="20"/>
          <w:szCs w:val="20"/>
          <w:lang w:val="uk-UA"/>
        </w:rPr>
        <w:t>ь</w:t>
      </w:r>
      <w:r>
        <w:rPr>
          <w:spacing w:val="-1"/>
          <w:sz w:val="20"/>
          <w:szCs w:val="20"/>
          <w:lang w:val="uk-UA"/>
        </w:rPr>
        <w:t>к</w:t>
      </w:r>
      <w:r>
        <w:rPr>
          <w:spacing w:val="1"/>
          <w:sz w:val="20"/>
          <w:szCs w:val="20"/>
          <w:lang w:val="uk-UA"/>
        </w:rPr>
        <w:t>о</w:t>
      </w:r>
      <w:r>
        <w:rPr>
          <w:spacing w:val="-1"/>
          <w:sz w:val="20"/>
          <w:szCs w:val="20"/>
          <w:lang w:val="uk-UA"/>
        </w:rPr>
        <w:t>в</w:t>
      </w:r>
      <w:r>
        <w:rPr>
          <w:spacing w:val="2"/>
          <w:sz w:val="20"/>
          <w:szCs w:val="20"/>
          <w:lang w:val="uk-UA"/>
        </w:rPr>
        <w:t>і</w:t>
      </w:r>
      <w:r>
        <w:rPr>
          <w:sz w:val="20"/>
          <w:szCs w:val="20"/>
          <w:lang w:val="uk-UA"/>
        </w:rPr>
        <w:t>)</w:t>
      </w:r>
    </w:p>
    <w:p w:rsidR="00146B2D" w:rsidRPr="00134A6B" w:rsidRDefault="00146B2D" w:rsidP="00146B2D">
      <w:pPr>
        <w:kinsoku w:val="0"/>
        <w:overflowPunct w:val="0"/>
        <w:rPr>
          <w:lang w:val="uk-UA"/>
        </w:rPr>
      </w:pPr>
    </w:p>
    <w:p w:rsidR="00146B2D" w:rsidRPr="00134A6B" w:rsidRDefault="00146B2D" w:rsidP="00146B2D">
      <w:pPr>
        <w:pStyle w:val="BodyText"/>
        <w:kinsoku w:val="0"/>
        <w:overflowPunct w:val="0"/>
        <w:spacing w:after="0"/>
        <w:ind w:left="6379"/>
        <w:jc w:val="right"/>
        <w:rPr>
          <w:rFonts w:ascii="Times New Roman" w:hAnsi="Times New Roman"/>
          <w:b/>
          <w:i/>
          <w:sz w:val="28"/>
          <w:szCs w:val="28"/>
          <w:u w:val="single"/>
        </w:rPr>
      </w:pPr>
      <w:r>
        <w:rPr>
          <w:rFonts w:ascii="Times New Roman" w:hAnsi="Times New Roman"/>
          <w:sz w:val="28"/>
          <w:szCs w:val="28"/>
        </w:rPr>
        <w:t xml:space="preserve">УДК </w:t>
      </w:r>
      <w:r>
        <w:rPr>
          <w:rFonts w:ascii="Times New Roman" w:hAnsi="Times New Roman"/>
          <w:i/>
          <w:sz w:val="28"/>
          <w:szCs w:val="28"/>
          <w:u w:val="single"/>
        </w:rPr>
        <w:t xml:space="preserve"> </w:t>
      </w:r>
      <w:r w:rsidRPr="00974D1E">
        <w:rPr>
          <w:rFonts w:ascii="Times New Roman" w:hAnsi="Times New Roman"/>
          <w:iCs/>
          <w:sz w:val="28"/>
          <w:szCs w:val="28"/>
          <w:u w:val="single"/>
        </w:rPr>
        <w:t>004.9:002:378.4</w:t>
      </w:r>
      <w:r>
        <w:rPr>
          <w:rFonts w:ascii="Times New Roman" w:hAnsi="Times New Roman"/>
          <w:i/>
          <w:sz w:val="28"/>
          <w:szCs w:val="28"/>
          <w:u w:val="single"/>
        </w:rPr>
        <w:t xml:space="preserve">            </w:t>
      </w:r>
    </w:p>
    <w:p w:rsidR="00146B2D" w:rsidRPr="00134A6B" w:rsidRDefault="00146B2D" w:rsidP="00146B2D">
      <w:pPr>
        <w:pStyle w:val="BodyText"/>
        <w:kinsoku w:val="0"/>
        <w:overflowPunct w:val="0"/>
        <w:spacing w:after="0"/>
        <w:ind w:left="7087" w:firstLine="701"/>
        <w:rPr>
          <w:rFonts w:ascii="Times New Roman" w:hAnsi="Times New Roman"/>
          <w:b/>
        </w:rPr>
      </w:pPr>
      <w:r>
        <w:rPr>
          <w:rFonts w:ascii="Times New Roman" w:hAnsi="Times New Roman"/>
        </w:rPr>
        <w:t xml:space="preserve">            (</w:t>
      </w:r>
      <w:r>
        <w:rPr>
          <w:rFonts w:ascii="Times New Roman" w:hAnsi="Times New Roman"/>
          <w:spacing w:val="-1"/>
        </w:rPr>
        <w:t>інд</w:t>
      </w:r>
      <w:r>
        <w:rPr>
          <w:rFonts w:ascii="Times New Roman" w:hAnsi="Times New Roman"/>
        </w:rPr>
        <w:t>е</w:t>
      </w:r>
      <w:r>
        <w:rPr>
          <w:rFonts w:ascii="Times New Roman" w:hAnsi="Times New Roman"/>
          <w:spacing w:val="-1"/>
        </w:rPr>
        <w:t>к</w:t>
      </w:r>
      <w:r>
        <w:rPr>
          <w:rFonts w:ascii="Times New Roman" w:hAnsi="Times New Roman"/>
        </w:rPr>
        <w:t>с)</w:t>
      </w:r>
    </w:p>
    <w:p w:rsidR="00146B2D" w:rsidRPr="00134A6B" w:rsidRDefault="00146B2D" w:rsidP="00146B2D">
      <w:pPr>
        <w:kinsoku w:val="0"/>
        <w:overflowPunct w:val="0"/>
        <w:rPr>
          <w:lang w:val="uk-UA"/>
        </w:rPr>
      </w:pPr>
    </w:p>
    <w:p w:rsidR="00146B2D" w:rsidRPr="00134A6B" w:rsidRDefault="00146B2D" w:rsidP="00146B2D">
      <w:pPr>
        <w:pStyle w:val="11"/>
        <w:kinsoku w:val="0"/>
        <w:overflowPunct w:val="0"/>
        <w:jc w:val="center"/>
        <w:outlineLvl w:val="9"/>
        <w:rPr>
          <w:spacing w:val="-2"/>
          <w:sz w:val="12"/>
          <w:szCs w:val="12"/>
        </w:rPr>
      </w:pPr>
    </w:p>
    <w:p w:rsidR="00146B2D" w:rsidRPr="00134A6B" w:rsidRDefault="00146B2D" w:rsidP="00146B2D">
      <w:pPr>
        <w:pStyle w:val="11"/>
        <w:kinsoku w:val="0"/>
        <w:overflowPunct w:val="0"/>
        <w:jc w:val="center"/>
        <w:outlineLvl w:val="9"/>
        <w:rPr>
          <w:sz w:val="36"/>
          <w:szCs w:val="36"/>
        </w:rPr>
      </w:pPr>
      <w:r>
        <w:rPr>
          <w:spacing w:val="-2"/>
          <w:sz w:val="36"/>
          <w:szCs w:val="36"/>
        </w:rPr>
        <w:t>БАКАЛАВРСЬКА</w:t>
      </w:r>
      <w:r>
        <w:rPr>
          <w:sz w:val="36"/>
          <w:szCs w:val="36"/>
        </w:rPr>
        <w:t xml:space="preserve"> </w:t>
      </w:r>
      <w:r>
        <w:rPr>
          <w:spacing w:val="-2"/>
          <w:sz w:val="36"/>
          <w:szCs w:val="36"/>
        </w:rPr>
        <w:t>Р</w:t>
      </w:r>
      <w:r>
        <w:rPr>
          <w:sz w:val="36"/>
          <w:szCs w:val="36"/>
        </w:rPr>
        <w:t>О</w:t>
      </w:r>
      <w:r>
        <w:rPr>
          <w:spacing w:val="-1"/>
          <w:sz w:val="36"/>
          <w:szCs w:val="36"/>
        </w:rPr>
        <w:t>Б</w:t>
      </w:r>
      <w:r>
        <w:rPr>
          <w:sz w:val="36"/>
          <w:szCs w:val="36"/>
        </w:rPr>
        <w:t>ОТА</w:t>
      </w: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344"/>
      </w:tblGrid>
      <w:tr w:rsidR="00146B2D" w:rsidRPr="00BF5BE0" w:rsidTr="00D2520C">
        <w:tc>
          <w:tcPr>
            <w:tcW w:w="9344" w:type="dxa"/>
          </w:tcPr>
          <w:p w:rsidR="00146B2D" w:rsidRPr="00134A6B" w:rsidRDefault="00146B2D" w:rsidP="00D2520C">
            <w:pPr>
              <w:kinsoku w:val="0"/>
              <w:overflowPunct w:val="0"/>
              <w:jc w:val="center"/>
              <w:rPr>
                <w:sz w:val="20"/>
                <w:szCs w:val="20"/>
                <w:lang w:val="uk-UA"/>
              </w:rPr>
            </w:pPr>
            <w:r>
              <w:rPr>
                <w:sz w:val="20"/>
                <w:szCs w:val="20"/>
                <w:lang w:val="uk-UA"/>
              </w:rPr>
              <w:t>(</w:t>
            </w:r>
            <w:r>
              <w:rPr>
                <w:spacing w:val="-1"/>
                <w:sz w:val="20"/>
                <w:szCs w:val="20"/>
                <w:lang w:val="uk-UA"/>
              </w:rPr>
              <w:t>н</w:t>
            </w:r>
            <w:r>
              <w:rPr>
                <w:sz w:val="20"/>
                <w:szCs w:val="20"/>
                <w:lang w:val="uk-UA"/>
              </w:rPr>
              <w:t>аз</w:t>
            </w:r>
            <w:r>
              <w:rPr>
                <w:spacing w:val="-1"/>
                <w:sz w:val="20"/>
                <w:szCs w:val="20"/>
                <w:lang w:val="uk-UA"/>
              </w:rPr>
              <w:t>в</w:t>
            </w:r>
            <w:r>
              <w:rPr>
                <w:sz w:val="20"/>
                <w:szCs w:val="20"/>
                <w:lang w:val="uk-UA"/>
              </w:rPr>
              <w:t>а</w:t>
            </w:r>
            <w:r>
              <w:rPr>
                <w:spacing w:val="-12"/>
                <w:sz w:val="20"/>
                <w:szCs w:val="20"/>
                <w:lang w:val="uk-UA"/>
              </w:rPr>
              <w:t xml:space="preserve"> </w:t>
            </w:r>
            <w:r>
              <w:rPr>
                <w:spacing w:val="1"/>
                <w:sz w:val="20"/>
                <w:szCs w:val="20"/>
                <w:lang w:val="uk-UA"/>
              </w:rPr>
              <w:t>ро</w:t>
            </w:r>
            <w:r>
              <w:rPr>
                <w:spacing w:val="-1"/>
                <w:sz w:val="20"/>
                <w:szCs w:val="20"/>
                <w:lang w:val="uk-UA"/>
              </w:rPr>
              <w:t>б</w:t>
            </w:r>
            <w:r>
              <w:rPr>
                <w:spacing w:val="1"/>
                <w:sz w:val="20"/>
                <w:szCs w:val="20"/>
                <w:lang w:val="uk-UA"/>
              </w:rPr>
              <w:t>о</w:t>
            </w:r>
            <w:r>
              <w:rPr>
                <w:spacing w:val="-1"/>
                <w:sz w:val="20"/>
                <w:szCs w:val="20"/>
                <w:lang w:val="uk-UA"/>
              </w:rPr>
              <w:t>ти</w:t>
            </w:r>
            <w:r>
              <w:rPr>
                <w:sz w:val="20"/>
                <w:szCs w:val="20"/>
                <w:lang w:val="uk-UA"/>
              </w:rPr>
              <w:t>)</w:t>
            </w:r>
          </w:p>
          <w:p w:rsidR="00146B2D" w:rsidRPr="00134A6B" w:rsidRDefault="00146B2D" w:rsidP="00D2520C">
            <w:pPr>
              <w:pStyle w:val="11"/>
              <w:kinsoku w:val="0"/>
              <w:overflowPunct w:val="0"/>
              <w:jc w:val="center"/>
              <w:outlineLvl w:val="9"/>
              <w:rPr>
                <w:b w:val="0"/>
              </w:rPr>
            </w:pPr>
            <w:r>
              <w:rPr>
                <w:b w:val="0"/>
              </w:rPr>
              <w:t>Документознавство та інформаційна діяльність</w:t>
            </w:r>
          </w:p>
        </w:tc>
      </w:tr>
      <w:tr w:rsidR="00146B2D" w:rsidRPr="00BF5BE0" w:rsidTr="00D2520C">
        <w:tc>
          <w:tcPr>
            <w:tcW w:w="9344" w:type="dxa"/>
          </w:tcPr>
          <w:p w:rsidR="00146B2D" w:rsidRPr="00134A6B" w:rsidRDefault="00146B2D" w:rsidP="00D2520C">
            <w:pPr>
              <w:pStyle w:val="11"/>
              <w:kinsoku w:val="0"/>
              <w:overflowPunct w:val="0"/>
              <w:jc w:val="center"/>
              <w:outlineLvl w:val="9"/>
              <w:rPr>
                <w:b w:val="0"/>
                <w:spacing w:val="-1"/>
                <w:sz w:val="20"/>
                <w:szCs w:val="20"/>
              </w:rPr>
            </w:pPr>
            <w:r>
              <w:rPr>
                <w:b w:val="0"/>
                <w:sz w:val="20"/>
                <w:szCs w:val="20"/>
              </w:rPr>
              <w:t>(</w:t>
            </w:r>
            <w:r>
              <w:rPr>
                <w:b w:val="0"/>
                <w:spacing w:val="-1"/>
                <w:sz w:val="20"/>
                <w:szCs w:val="20"/>
              </w:rPr>
              <w:t>н</w:t>
            </w:r>
            <w:r>
              <w:rPr>
                <w:b w:val="0"/>
                <w:sz w:val="20"/>
                <w:szCs w:val="20"/>
              </w:rPr>
              <w:t>аз</w:t>
            </w:r>
            <w:r>
              <w:rPr>
                <w:b w:val="0"/>
                <w:spacing w:val="-1"/>
                <w:sz w:val="20"/>
                <w:szCs w:val="20"/>
              </w:rPr>
              <w:t>в</w:t>
            </w:r>
            <w:r>
              <w:rPr>
                <w:b w:val="0"/>
                <w:sz w:val="20"/>
                <w:szCs w:val="20"/>
              </w:rPr>
              <w:t>а</w:t>
            </w:r>
            <w:r>
              <w:rPr>
                <w:b w:val="0"/>
                <w:spacing w:val="-11"/>
                <w:sz w:val="20"/>
                <w:szCs w:val="20"/>
              </w:rPr>
              <w:t xml:space="preserve"> </w:t>
            </w:r>
            <w:proofErr w:type="spellStart"/>
            <w:r>
              <w:rPr>
                <w:b w:val="0"/>
                <w:spacing w:val="1"/>
                <w:sz w:val="20"/>
                <w:szCs w:val="20"/>
              </w:rPr>
              <w:t>о</w:t>
            </w:r>
            <w:r>
              <w:rPr>
                <w:b w:val="0"/>
                <w:sz w:val="20"/>
                <w:szCs w:val="20"/>
              </w:rPr>
              <w:t>с</w:t>
            </w:r>
            <w:r>
              <w:rPr>
                <w:b w:val="0"/>
                <w:spacing w:val="-1"/>
                <w:sz w:val="20"/>
                <w:szCs w:val="20"/>
              </w:rPr>
              <w:t>вітн</w:t>
            </w:r>
            <w:r>
              <w:rPr>
                <w:b w:val="0"/>
                <w:sz w:val="20"/>
                <w:szCs w:val="20"/>
              </w:rPr>
              <w:t>ь</w:t>
            </w:r>
            <w:r>
              <w:rPr>
                <w:b w:val="0"/>
                <w:spacing w:val="1"/>
                <w:sz w:val="20"/>
                <w:szCs w:val="20"/>
              </w:rPr>
              <w:t>о</w:t>
            </w:r>
            <w:proofErr w:type="spellEnd"/>
            <w:r w:rsidR="005A1211">
              <w:rPr>
                <w:b w:val="0"/>
                <w:spacing w:val="1"/>
                <w:sz w:val="20"/>
                <w:szCs w:val="20"/>
                <w:lang w:val="en-US"/>
              </w:rPr>
              <w:t>-</w:t>
            </w:r>
            <w:r w:rsidR="005A1211">
              <w:rPr>
                <w:b w:val="0"/>
                <w:spacing w:val="1"/>
                <w:sz w:val="20"/>
                <w:szCs w:val="20"/>
              </w:rPr>
              <w:t>професійної</w:t>
            </w:r>
            <w:r>
              <w:rPr>
                <w:b w:val="0"/>
                <w:spacing w:val="-9"/>
                <w:sz w:val="20"/>
                <w:szCs w:val="20"/>
              </w:rPr>
              <w:t xml:space="preserve"> </w:t>
            </w:r>
            <w:r>
              <w:rPr>
                <w:b w:val="0"/>
                <w:spacing w:val="-1"/>
                <w:sz w:val="20"/>
                <w:szCs w:val="20"/>
              </w:rPr>
              <w:t>п</w:t>
            </w:r>
            <w:r>
              <w:rPr>
                <w:b w:val="0"/>
                <w:spacing w:val="1"/>
                <w:sz w:val="20"/>
                <w:szCs w:val="20"/>
              </w:rPr>
              <w:t>ро</w:t>
            </w:r>
            <w:r>
              <w:rPr>
                <w:b w:val="0"/>
                <w:sz w:val="20"/>
                <w:szCs w:val="20"/>
              </w:rPr>
              <w:t>г</w:t>
            </w:r>
            <w:r>
              <w:rPr>
                <w:b w:val="0"/>
                <w:spacing w:val="1"/>
                <w:sz w:val="20"/>
                <w:szCs w:val="20"/>
              </w:rPr>
              <w:t>р</w:t>
            </w:r>
            <w:r>
              <w:rPr>
                <w:b w:val="0"/>
                <w:sz w:val="20"/>
                <w:szCs w:val="20"/>
              </w:rPr>
              <w:t>а</w:t>
            </w:r>
            <w:r>
              <w:rPr>
                <w:b w:val="0"/>
                <w:spacing w:val="1"/>
                <w:sz w:val="20"/>
                <w:szCs w:val="20"/>
              </w:rPr>
              <w:t>м</w:t>
            </w:r>
            <w:r>
              <w:rPr>
                <w:b w:val="0"/>
                <w:spacing w:val="-1"/>
                <w:sz w:val="20"/>
                <w:szCs w:val="20"/>
              </w:rPr>
              <w:t>и)</w:t>
            </w:r>
          </w:p>
          <w:p w:rsidR="00146B2D" w:rsidRPr="00134A6B" w:rsidRDefault="00146B2D" w:rsidP="00D2520C">
            <w:pPr>
              <w:pStyle w:val="11"/>
              <w:kinsoku w:val="0"/>
              <w:overflowPunct w:val="0"/>
              <w:jc w:val="center"/>
              <w:outlineLvl w:val="9"/>
              <w:rPr>
                <w:b w:val="0"/>
              </w:rPr>
            </w:pPr>
            <w:r>
              <w:rPr>
                <w:b w:val="0"/>
                <w:spacing w:val="-1"/>
              </w:rPr>
              <w:t>029 Інформаційна, бібліотечна та архівна справа</w:t>
            </w:r>
          </w:p>
        </w:tc>
      </w:tr>
      <w:tr w:rsidR="00146B2D" w:rsidRPr="00134A6B" w:rsidTr="00D2520C">
        <w:tc>
          <w:tcPr>
            <w:tcW w:w="9344" w:type="dxa"/>
          </w:tcPr>
          <w:p w:rsidR="00146B2D" w:rsidRPr="00134A6B" w:rsidRDefault="00146B2D" w:rsidP="00D2520C">
            <w:pPr>
              <w:pStyle w:val="11"/>
              <w:kinsoku w:val="0"/>
              <w:overflowPunct w:val="0"/>
              <w:jc w:val="center"/>
              <w:outlineLvl w:val="9"/>
              <w:rPr>
                <w:b w:val="0"/>
                <w:sz w:val="36"/>
                <w:szCs w:val="36"/>
              </w:rPr>
            </w:pPr>
            <w:r>
              <w:rPr>
                <w:b w:val="0"/>
                <w:sz w:val="20"/>
                <w:szCs w:val="20"/>
              </w:rPr>
              <w:t>(ш</w:t>
            </w:r>
            <w:r>
              <w:rPr>
                <w:b w:val="0"/>
                <w:spacing w:val="-1"/>
                <w:sz w:val="20"/>
                <w:szCs w:val="20"/>
              </w:rPr>
              <w:t>и</w:t>
            </w:r>
            <w:r>
              <w:rPr>
                <w:b w:val="0"/>
                <w:sz w:val="20"/>
                <w:szCs w:val="20"/>
              </w:rPr>
              <w:t>фр</w:t>
            </w:r>
            <w:r>
              <w:rPr>
                <w:b w:val="0"/>
                <w:spacing w:val="-7"/>
                <w:sz w:val="20"/>
                <w:szCs w:val="20"/>
              </w:rPr>
              <w:t xml:space="preserve"> </w:t>
            </w:r>
            <w:r>
              <w:rPr>
                <w:b w:val="0"/>
                <w:sz w:val="20"/>
                <w:szCs w:val="20"/>
              </w:rPr>
              <w:t>і</w:t>
            </w:r>
            <w:r>
              <w:rPr>
                <w:b w:val="0"/>
                <w:spacing w:val="-8"/>
                <w:sz w:val="20"/>
                <w:szCs w:val="20"/>
              </w:rPr>
              <w:t xml:space="preserve"> </w:t>
            </w:r>
            <w:r>
              <w:rPr>
                <w:b w:val="0"/>
                <w:spacing w:val="-1"/>
                <w:sz w:val="20"/>
                <w:szCs w:val="20"/>
              </w:rPr>
              <w:t>н</w:t>
            </w:r>
            <w:r>
              <w:rPr>
                <w:b w:val="0"/>
                <w:sz w:val="20"/>
                <w:szCs w:val="20"/>
              </w:rPr>
              <w:t>аз</w:t>
            </w:r>
            <w:r>
              <w:rPr>
                <w:b w:val="0"/>
                <w:spacing w:val="-1"/>
                <w:sz w:val="20"/>
                <w:szCs w:val="20"/>
              </w:rPr>
              <w:t>в</w:t>
            </w:r>
            <w:r>
              <w:rPr>
                <w:b w:val="0"/>
                <w:sz w:val="20"/>
                <w:szCs w:val="20"/>
              </w:rPr>
              <w:t>а</w:t>
            </w:r>
            <w:r>
              <w:rPr>
                <w:b w:val="0"/>
                <w:spacing w:val="-8"/>
                <w:sz w:val="20"/>
                <w:szCs w:val="20"/>
              </w:rPr>
              <w:t xml:space="preserve"> </w:t>
            </w:r>
            <w:r>
              <w:rPr>
                <w:b w:val="0"/>
                <w:sz w:val="20"/>
                <w:szCs w:val="20"/>
              </w:rPr>
              <w:t>с</w:t>
            </w:r>
            <w:r>
              <w:rPr>
                <w:b w:val="0"/>
                <w:spacing w:val="-1"/>
                <w:sz w:val="20"/>
                <w:szCs w:val="20"/>
              </w:rPr>
              <w:t>п</w:t>
            </w:r>
            <w:r>
              <w:rPr>
                <w:b w:val="0"/>
                <w:spacing w:val="2"/>
                <w:sz w:val="20"/>
                <w:szCs w:val="20"/>
              </w:rPr>
              <w:t>е</w:t>
            </w:r>
            <w:r>
              <w:rPr>
                <w:b w:val="0"/>
                <w:spacing w:val="-1"/>
                <w:sz w:val="20"/>
                <w:szCs w:val="20"/>
              </w:rPr>
              <w:t>ці</w:t>
            </w:r>
            <w:r>
              <w:rPr>
                <w:b w:val="0"/>
                <w:spacing w:val="2"/>
                <w:sz w:val="20"/>
                <w:szCs w:val="20"/>
              </w:rPr>
              <w:t>а</w:t>
            </w:r>
            <w:r>
              <w:rPr>
                <w:b w:val="0"/>
                <w:spacing w:val="-1"/>
                <w:sz w:val="20"/>
                <w:szCs w:val="20"/>
              </w:rPr>
              <w:t>л</w:t>
            </w:r>
            <w:r>
              <w:rPr>
                <w:b w:val="0"/>
                <w:sz w:val="20"/>
                <w:szCs w:val="20"/>
              </w:rPr>
              <w:t>ь</w:t>
            </w:r>
            <w:r>
              <w:rPr>
                <w:b w:val="0"/>
                <w:spacing w:val="-1"/>
                <w:sz w:val="20"/>
                <w:szCs w:val="20"/>
              </w:rPr>
              <w:t>н</w:t>
            </w:r>
            <w:r>
              <w:rPr>
                <w:b w:val="0"/>
                <w:spacing w:val="1"/>
                <w:sz w:val="20"/>
                <w:szCs w:val="20"/>
              </w:rPr>
              <w:t>о</w:t>
            </w:r>
            <w:r>
              <w:rPr>
                <w:b w:val="0"/>
                <w:sz w:val="20"/>
                <w:szCs w:val="20"/>
              </w:rPr>
              <w:t>с</w:t>
            </w:r>
            <w:r>
              <w:rPr>
                <w:b w:val="0"/>
                <w:spacing w:val="-1"/>
                <w:sz w:val="20"/>
                <w:szCs w:val="20"/>
              </w:rPr>
              <w:t>ті</w:t>
            </w:r>
            <w:r>
              <w:rPr>
                <w:b w:val="0"/>
                <w:sz w:val="20"/>
                <w:szCs w:val="20"/>
              </w:rPr>
              <w:t>)</w:t>
            </w:r>
          </w:p>
        </w:tc>
      </w:tr>
    </w:tbl>
    <w:p w:rsidR="00146B2D" w:rsidRPr="00134A6B" w:rsidRDefault="00146B2D" w:rsidP="00146B2D">
      <w:pPr>
        <w:pStyle w:val="11"/>
        <w:kinsoku w:val="0"/>
        <w:overflowPunct w:val="0"/>
        <w:jc w:val="center"/>
        <w:outlineLvl w:val="9"/>
        <w:rPr>
          <w:sz w:val="36"/>
          <w:szCs w:val="36"/>
        </w:rPr>
      </w:pPr>
    </w:p>
    <w:p w:rsidR="00146B2D" w:rsidRPr="00134A6B" w:rsidRDefault="00146B2D" w:rsidP="00146B2D">
      <w:pPr>
        <w:kinsoku w:val="0"/>
        <w:overflowPunct w:val="0"/>
        <w:rPr>
          <w:sz w:val="19"/>
          <w:szCs w:val="19"/>
          <w:lang w:val="uk-UA"/>
        </w:rPr>
      </w:pPr>
    </w:p>
    <w:p w:rsidR="00146B2D" w:rsidRPr="00134A6B" w:rsidRDefault="00146B2D" w:rsidP="00146B2D">
      <w:pPr>
        <w:kinsoku w:val="0"/>
        <w:overflowPunct w:val="0"/>
        <w:jc w:val="center"/>
        <w:rPr>
          <w:b/>
          <w:lang w:val="uk-UA"/>
        </w:rPr>
      </w:pPr>
      <w:r>
        <w:rPr>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146B2D" w:rsidRPr="00134A6B" w:rsidRDefault="00146B2D" w:rsidP="00146B2D">
      <w:pPr>
        <w:kinsoku w:val="0"/>
        <w:overflowPunct w:val="0"/>
        <w:jc w:val="center"/>
        <w:rPr>
          <w:b/>
          <w:sz w:val="20"/>
          <w:szCs w:val="20"/>
          <w:lang w:val="uk-UA"/>
        </w:rPr>
      </w:pPr>
    </w:p>
    <w:p w:rsidR="00146B2D" w:rsidRPr="00134A6B" w:rsidRDefault="00146B2D" w:rsidP="00146B2D">
      <w:pPr>
        <w:pStyle w:val="BodyText"/>
        <w:tabs>
          <w:tab w:val="left" w:pos="4733"/>
        </w:tabs>
        <w:kinsoku w:val="0"/>
        <w:overflowPunct w:val="0"/>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64"/>
        <w:gridCol w:w="3447"/>
        <w:gridCol w:w="142"/>
      </w:tblGrid>
      <w:tr w:rsidR="000C64E2" w:rsidRPr="00134A6B" w:rsidTr="000C64E2">
        <w:tc>
          <w:tcPr>
            <w:tcW w:w="3681" w:type="dxa"/>
            <w:tcBorders>
              <w:top w:val="nil"/>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z w:val="28"/>
                <w:szCs w:val="28"/>
              </w:rPr>
            </w:pPr>
            <w:r>
              <w:rPr>
                <w:rFonts w:ascii="Times New Roman" w:hAnsi="Times New Roman"/>
                <w:sz w:val="28"/>
                <w:szCs w:val="28"/>
              </w:rPr>
              <w:t>З</w:t>
            </w:r>
            <w:r>
              <w:rPr>
                <w:rFonts w:ascii="Times New Roman" w:hAnsi="Times New Roman"/>
                <w:spacing w:val="-1"/>
                <w:sz w:val="28"/>
                <w:szCs w:val="28"/>
              </w:rPr>
              <w:t>д</w:t>
            </w:r>
            <w:r>
              <w:rPr>
                <w:rFonts w:ascii="Times New Roman" w:hAnsi="Times New Roman"/>
                <w:spacing w:val="1"/>
                <w:sz w:val="28"/>
                <w:szCs w:val="28"/>
              </w:rPr>
              <w:t>об</w:t>
            </w:r>
            <w:r>
              <w:rPr>
                <w:rFonts w:ascii="Times New Roman" w:hAnsi="Times New Roman"/>
                <w:spacing w:val="-5"/>
                <w:sz w:val="28"/>
                <w:szCs w:val="28"/>
              </w:rPr>
              <w:t>у</w:t>
            </w:r>
            <w:r>
              <w:rPr>
                <w:rFonts w:ascii="Times New Roman" w:hAnsi="Times New Roman"/>
                <w:spacing w:val="-1"/>
                <w:sz w:val="28"/>
                <w:szCs w:val="28"/>
              </w:rPr>
              <w:t>в</w:t>
            </w:r>
            <w:r>
              <w:rPr>
                <w:rFonts w:ascii="Times New Roman" w:hAnsi="Times New Roman"/>
                <w:sz w:val="28"/>
                <w:szCs w:val="28"/>
              </w:rPr>
              <w:t>ач</w:t>
            </w:r>
            <w:r>
              <w:rPr>
                <w:rFonts w:ascii="Times New Roman" w:hAnsi="Times New Roman"/>
                <w:spacing w:val="-8"/>
                <w:sz w:val="28"/>
                <w:szCs w:val="28"/>
              </w:rPr>
              <w:t xml:space="preserve"> </w:t>
            </w:r>
            <w:r>
              <w:rPr>
                <w:rFonts w:ascii="Times New Roman" w:hAnsi="Times New Roman"/>
                <w:spacing w:val="1"/>
                <w:sz w:val="28"/>
                <w:szCs w:val="28"/>
              </w:rPr>
              <w:t>о</w:t>
            </w:r>
            <w:r>
              <w:rPr>
                <w:rFonts w:ascii="Times New Roman" w:hAnsi="Times New Roman"/>
                <w:sz w:val="28"/>
                <w:szCs w:val="28"/>
              </w:rPr>
              <w:t>с</w:t>
            </w:r>
            <w:r>
              <w:rPr>
                <w:rFonts w:ascii="Times New Roman" w:hAnsi="Times New Roman"/>
                <w:spacing w:val="-1"/>
                <w:sz w:val="28"/>
                <w:szCs w:val="28"/>
              </w:rPr>
              <w:t>в</w:t>
            </w:r>
            <w:r>
              <w:rPr>
                <w:rFonts w:ascii="Times New Roman" w:hAnsi="Times New Roman"/>
                <w:spacing w:val="2"/>
                <w:sz w:val="28"/>
                <w:szCs w:val="28"/>
              </w:rPr>
              <w:t>і</w:t>
            </w:r>
            <w:r>
              <w:rPr>
                <w:rFonts w:ascii="Times New Roman" w:hAnsi="Times New Roman"/>
                <w:spacing w:val="-1"/>
                <w:sz w:val="28"/>
                <w:szCs w:val="28"/>
              </w:rPr>
              <w:t>тн</w:t>
            </w:r>
            <w:r>
              <w:rPr>
                <w:rFonts w:ascii="Times New Roman" w:hAnsi="Times New Roman"/>
                <w:sz w:val="28"/>
                <w:szCs w:val="28"/>
              </w:rPr>
              <w:t>ь</w:t>
            </w:r>
            <w:r>
              <w:rPr>
                <w:rFonts w:ascii="Times New Roman" w:hAnsi="Times New Roman"/>
                <w:spacing w:val="1"/>
                <w:sz w:val="28"/>
                <w:szCs w:val="28"/>
              </w:rPr>
              <w:t>о</w:t>
            </w:r>
            <w:r>
              <w:rPr>
                <w:rFonts w:ascii="Times New Roman" w:hAnsi="Times New Roman"/>
                <w:sz w:val="28"/>
                <w:szCs w:val="28"/>
              </w:rPr>
              <w:t>го</w:t>
            </w:r>
            <w:r>
              <w:rPr>
                <w:rFonts w:ascii="Times New Roman" w:hAnsi="Times New Roman"/>
                <w:spacing w:val="-7"/>
                <w:sz w:val="28"/>
                <w:szCs w:val="28"/>
              </w:rPr>
              <w:t xml:space="preserve"> </w:t>
            </w:r>
            <w:r>
              <w:rPr>
                <w:rFonts w:ascii="Times New Roman" w:hAnsi="Times New Roman"/>
                <w:sz w:val="28"/>
                <w:szCs w:val="28"/>
              </w:rPr>
              <w:t>с</w:t>
            </w:r>
            <w:r>
              <w:rPr>
                <w:rFonts w:ascii="Times New Roman" w:hAnsi="Times New Roman"/>
                <w:spacing w:val="1"/>
                <w:sz w:val="28"/>
                <w:szCs w:val="28"/>
              </w:rPr>
              <w:t>т</w:t>
            </w:r>
            <w:r>
              <w:rPr>
                <w:rFonts w:ascii="Times New Roman" w:hAnsi="Times New Roman"/>
                <w:spacing w:val="-2"/>
                <w:sz w:val="28"/>
                <w:szCs w:val="28"/>
              </w:rPr>
              <w:t>у</w:t>
            </w:r>
            <w:r>
              <w:rPr>
                <w:rFonts w:ascii="Times New Roman" w:hAnsi="Times New Roman"/>
                <w:spacing w:val="1"/>
                <w:sz w:val="28"/>
                <w:szCs w:val="28"/>
              </w:rPr>
              <w:t>п</w:t>
            </w:r>
            <w:r>
              <w:rPr>
                <w:rFonts w:ascii="Times New Roman" w:hAnsi="Times New Roman"/>
                <w:sz w:val="28"/>
                <w:szCs w:val="28"/>
              </w:rPr>
              <w:t>е</w:t>
            </w:r>
            <w:r>
              <w:rPr>
                <w:rFonts w:ascii="Times New Roman" w:hAnsi="Times New Roman"/>
                <w:spacing w:val="-1"/>
                <w:sz w:val="28"/>
                <w:szCs w:val="28"/>
              </w:rPr>
              <w:t>ня</w:t>
            </w:r>
          </w:p>
        </w:tc>
        <w:tc>
          <w:tcPr>
            <w:tcW w:w="1564" w:type="dxa"/>
            <w:tcBorders>
              <w:top w:val="nil"/>
              <w:left w:val="nil"/>
              <w:bottom w:val="single" w:sz="4" w:space="0" w:color="auto"/>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z w:val="28"/>
                <w:szCs w:val="28"/>
              </w:rPr>
            </w:pPr>
          </w:p>
        </w:tc>
        <w:tc>
          <w:tcPr>
            <w:tcW w:w="3395" w:type="dxa"/>
            <w:gridSpan w:val="2"/>
            <w:tcBorders>
              <w:top w:val="nil"/>
              <w:left w:val="nil"/>
              <w:bottom w:val="single" w:sz="4" w:space="0" w:color="auto"/>
              <w:right w:val="nil"/>
            </w:tcBorders>
          </w:tcPr>
          <w:p w:rsidR="00146B2D" w:rsidRPr="00134A6B" w:rsidRDefault="000C64E2" w:rsidP="000C64E2">
            <w:pPr>
              <w:pStyle w:val="BodyText"/>
              <w:tabs>
                <w:tab w:val="left" w:pos="4733"/>
              </w:tabs>
              <w:kinsoku w:val="0"/>
              <w:overflowPunct w:val="0"/>
              <w:spacing w:after="0"/>
              <w:ind w:left="2172" w:hanging="2172"/>
              <w:rPr>
                <w:rFonts w:ascii="Times New Roman" w:hAnsi="Times New Roman"/>
                <w:b/>
                <w:sz w:val="28"/>
                <w:szCs w:val="28"/>
              </w:rPr>
            </w:pPr>
            <w:r>
              <w:rPr>
                <w:rFonts w:ascii="Times New Roman" w:hAnsi="Times New Roman"/>
                <w:sz w:val="28"/>
                <w:szCs w:val="28"/>
              </w:rPr>
              <w:t>Катерина-</w:t>
            </w:r>
            <w:r w:rsidR="00146B2D">
              <w:rPr>
                <w:rFonts w:ascii="Times New Roman" w:hAnsi="Times New Roman"/>
                <w:sz w:val="28"/>
                <w:szCs w:val="28"/>
              </w:rPr>
              <w:t>Аліна Є</w:t>
            </w:r>
            <w:r>
              <w:rPr>
                <w:rFonts w:ascii="Times New Roman" w:hAnsi="Times New Roman"/>
                <w:sz w:val="28"/>
                <w:szCs w:val="28"/>
              </w:rPr>
              <w:t>РУЗЕЛЬ</w:t>
            </w:r>
          </w:p>
        </w:tc>
      </w:tr>
      <w:tr w:rsidR="000C64E2" w:rsidRPr="00BF5BE0" w:rsidTr="000C64E2">
        <w:trPr>
          <w:gridAfter w:val="1"/>
          <w:wAfter w:w="130" w:type="dxa"/>
        </w:trPr>
        <w:tc>
          <w:tcPr>
            <w:tcW w:w="3681" w:type="dxa"/>
            <w:tcBorders>
              <w:top w:val="nil"/>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z w:val="28"/>
                <w:szCs w:val="28"/>
              </w:rPr>
            </w:pPr>
          </w:p>
        </w:tc>
        <w:tc>
          <w:tcPr>
            <w:tcW w:w="4829" w:type="dxa"/>
            <w:gridSpan w:val="2"/>
            <w:tcBorders>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z w:val="28"/>
                <w:szCs w:val="28"/>
              </w:rPr>
            </w:pPr>
            <w:r>
              <w:rPr>
                <w:rFonts w:ascii="Times New Roman" w:hAnsi="Times New Roman"/>
              </w:rPr>
              <w:t>(</w:t>
            </w:r>
            <w:r>
              <w:rPr>
                <w:rFonts w:ascii="Times New Roman" w:hAnsi="Times New Roman"/>
                <w:spacing w:val="-1"/>
              </w:rPr>
              <w:t>пі</w:t>
            </w:r>
            <w:r>
              <w:rPr>
                <w:rFonts w:ascii="Times New Roman" w:hAnsi="Times New Roman"/>
                <w:spacing w:val="1"/>
              </w:rPr>
              <w:t>д</w:t>
            </w:r>
            <w:r>
              <w:rPr>
                <w:rFonts w:ascii="Times New Roman" w:hAnsi="Times New Roman"/>
                <w:spacing w:val="-1"/>
              </w:rPr>
              <w:t>пи</w:t>
            </w:r>
            <w:r>
              <w:rPr>
                <w:rFonts w:ascii="Times New Roman" w:hAnsi="Times New Roman"/>
              </w:rPr>
              <w:t>с,</w:t>
            </w:r>
            <w:r>
              <w:rPr>
                <w:rFonts w:ascii="Times New Roman" w:hAnsi="Times New Roman"/>
                <w:spacing w:val="-7"/>
              </w:rPr>
              <w:t xml:space="preserve"> </w:t>
            </w:r>
            <w:proofErr w:type="spellStart"/>
            <w:r>
              <w:rPr>
                <w:rFonts w:ascii="Times New Roman" w:hAnsi="Times New Roman"/>
                <w:spacing w:val="2"/>
              </w:rPr>
              <w:t>і</w:t>
            </w:r>
            <w:r w:rsidR="004F3A35">
              <w:rPr>
                <w:rFonts w:ascii="Times New Roman" w:hAnsi="Times New Roman"/>
                <w:spacing w:val="-1"/>
              </w:rPr>
              <w:t>м</w:t>
            </w:r>
            <w:proofErr w:type="spellEnd"/>
            <w:r w:rsidR="004F3A35">
              <w:rPr>
                <w:rFonts w:ascii="Times New Roman" w:hAnsi="Times New Roman"/>
                <w:spacing w:val="-1"/>
                <w:lang w:val="en-US"/>
              </w:rPr>
              <w:t>’</w:t>
            </w:r>
            <w:r w:rsidR="004F3A35">
              <w:rPr>
                <w:rFonts w:ascii="Times New Roman" w:hAnsi="Times New Roman"/>
                <w:spacing w:val="-1"/>
              </w:rPr>
              <w:t xml:space="preserve">я </w:t>
            </w:r>
            <w:r>
              <w:rPr>
                <w:rFonts w:ascii="Times New Roman" w:hAnsi="Times New Roman"/>
                <w:spacing w:val="-1"/>
              </w:rPr>
              <w:t>т</w:t>
            </w:r>
            <w:r>
              <w:rPr>
                <w:rFonts w:ascii="Times New Roman" w:hAnsi="Times New Roman"/>
              </w:rPr>
              <w:t>а</w:t>
            </w:r>
            <w:r>
              <w:rPr>
                <w:rFonts w:ascii="Times New Roman" w:hAnsi="Times New Roman"/>
                <w:spacing w:val="-8"/>
              </w:rPr>
              <w:t xml:space="preserve"> </w:t>
            </w:r>
            <w:r>
              <w:rPr>
                <w:rFonts w:ascii="Times New Roman" w:hAnsi="Times New Roman"/>
                <w:spacing w:val="-1"/>
              </w:rPr>
              <w:t>п</w:t>
            </w:r>
            <w:r>
              <w:rPr>
                <w:rFonts w:ascii="Times New Roman" w:hAnsi="Times New Roman"/>
                <w:spacing w:val="1"/>
              </w:rPr>
              <w:t>р</w:t>
            </w:r>
            <w:r>
              <w:rPr>
                <w:rFonts w:ascii="Times New Roman" w:hAnsi="Times New Roman"/>
                <w:spacing w:val="-1"/>
              </w:rPr>
              <w:t>і</w:t>
            </w:r>
            <w:r>
              <w:rPr>
                <w:rFonts w:ascii="Times New Roman" w:hAnsi="Times New Roman"/>
              </w:rPr>
              <w:t>з</w:t>
            </w:r>
            <w:r>
              <w:rPr>
                <w:rFonts w:ascii="Times New Roman" w:hAnsi="Times New Roman"/>
                <w:spacing w:val="2"/>
              </w:rPr>
              <w:t>в</w:t>
            </w:r>
            <w:r>
              <w:rPr>
                <w:rFonts w:ascii="Times New Roman" w:hAnsi="Times New Roman"/>
                <w:spacing w:val="-1"/>
              </w:rPr>
              <w:t>и</w:t>
            </w:r>
            <w:r>
              <w:rPr>
                <w:rFonts w:ascii="Times New Roman" w:hAnsi="Times New Roman"/>
                <w:spacing w:val="2"/>
              </w:rPr>
              <w:t>щ</w:t>
            </w:r>
            <w:r>
              <w:rPr>
                <w:rFonts w:ascii="Times New Roman" w:hAnsi="Times New Roman"/>
              </w:rPr>
              <w:t>е</w:t>
            </w:r>
            <w:r>
              <w:rPr>
                <w:rFonts w:ascii="Times New Roman" w:hAnsi="Times New Roman"/>
                <w:spacing w:val="-7"/>
              </w:rPr>
              <w:t xml:space="preserve"> </w:t>
            </w:r>
            <w:r>
              <w:rPr>
                <w:rFonts w:ascii="Times New Roman" w:hAnsi="Times New Roman"/>
              </w:rPr>
              <w:t>з</w:t>
            </w:r>
            <w:r>
              <w:rPr>
                <w:rFonts w:ascii="Times New Roman" w:hAnsi="Times New Roman"/>
                <w:spacing w:val="-1"/>
              </w:rPr>
              <w:t>д</w:t>
            </w:r>
            <w:r>
              <w:rPr>
                <w:rFonts w:ascii="Times New Roman" w:hAnsi="Times New Roman"/>
                <w:spacing w:val="1"/>
              </w:rPr>
              <w:t>об</w:t>
            </w:r>
            <w:r>
              <w:rPr>
                <w:rFonts w:ascii="Times New Roman" w:hAnsi="Times New Roman"/>
                <w:spacing w:val="-5"/>
              </w:rPr>
              <w:t>у</w:t>
            </w:r>
            <w:r>
              <w:rPr>
                <w:rFonts w:ascii="Times New Roman" w:hAnsi="Times New Roman"/>
                <w:spacing w:val="-1"/>
              </w:rPr>
              <w:t>в</w:t>
            </w:r>
            <w:r>
              <w:rPr>
                <w:rFonts w:ascii="Times New Roman" w:hAnsi="Times New Roman"/>
              </w:rPr>
              <w:t>ача)</w:t>
            </w:r>
          </w:p>
        </w:tc>
      </w:tr>
      <w:tr w:rsidR="000C64E2" w:rsidRPr="00147297" w:rsidTr="000C64E2">
        <w:tc>
          <w:tcPr>
            <w:tcW w:w="3681" w:type="dxa"/>
            <w:tcBorders>
              <w:top w:val="nil"/>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z w:val="28"/>
                <w:szCs w:val="28"/>
              </w:rPr>
            </w:pPr>
            <w:r>
              <w:rPr>
                <w:rFonts w:ascii="Times New Roman" w:hAnsi="Times New Roman"/>
                <w:sz w:val="28"/>
                <w:szCs w:val="28"/>
              </w:rPr>
              <w:t>Науковий керівник</w:t>
            </w:r>
          </w:p>
        </w:tc>
        <w:tc>
          <w:tcPr>
            <w:tcW w:w="1564" w:type="dxa"/>
            <w:tcBorders>
              <w:top w:val="nil"/>
              <w:left w:val="nil"/>
              <w:bottom w:val="single" w:sz="4" w:space="0" w:color="auto"/>
              <w:right w:val="nil"/>
            </w:tcBorders>
          </w:tcPr>
          <w:p w:rsidR="00146B2D" w:rsidRPr="00147297" w:rsidRDefault="00146B2D" w:rsidP="00D2520C">
            <w:pPr>
              <w:pStyle w:val="BodyText"/>
              <w:tabs>
                <w:tab w:val="left" w:pos="4733"/>
              </w:tabs>
              <w:kinsoku w:val="0"/>
              <w:overflowPunct w:val="0"/>
              <w:spacing w:after="0"/>
              <w:rPr>
                <w:rFonts w:ascii="Times New Roman" w:hAnsi="Times New Roman"/>
                <w:b/>
                <w:sz w:val="28"/>
                <w:szCs w:val="28"/>
              </w:rPr>
            </w:pPr>
          </w:p>
        </w:tc>
        <w:tc>
          <w:tcPr>
            <w:tcW w:w="3395" w:type="dxa"/>
            <w:gridSpan w:val="2"/>
            <w:tcBorders>
              <w:top w:val="nil"/>
              <w:left w:val="nil"/>
              <w:bottom w:val="single" w:sz="4" w:space="0" w:color="auto"/>
              <w:right w:val="nil"/>
            </w:tcBorders>
          </w:tcPr>
          <w:p w:rsidR="00146B2D" w:rsidRPr="00147297" w:rsidRDefault="00146B2D" w:rsidP="00D2520C">
            <w:pPr>
              <w:pStyle w:val="BodyText"/>
              <w:tabs>
                <w:tab w:val="left" w:pos="4733"/>
              </w:tabs>
              <w:kinsoku w:val="0"/>
              <w:overflowPunct w:val="0"/>
              <w:spacing w:after="0"/>
              <w:rPr>
                <w:rFonts w:ascii="Times New Roman" w:hAnsi="Times New Roman"/>
                <w:b/>
                <w:spacing w:val="-4"/>
                <w:sz w:val="26"/>
                <w:szCs w:val="26"/>
              </w:rPr>
            </w:pPr>
            <w:r>
              <w:rPr>
                <w:rFonts w:ascii="Times New Roman" w:hAnsi="Times New Roman"/>
                <w:spacing w:val="-4"/>
                <w:sz w:val="26"/>
                <w:szCs w:val="26"/>
              </w:rPr>
              <w:t>Оксана ЛАБА</w:t>
            </w:r>
          </w:p>
        </w:tc>
      </w:tr>
      <w:tr w:rsidR="000C64E2" w:rsidRPr="00BF5BE0" w:rsidTr="000C64E2">
        <w:trPr>
          <w:gridAfter w:val="1"/>
          <w:wAfter w:w="130" w:type="dxa"/>
        </w:trPr>
        <w:tc>
          <w:tcPr>
            <w:tcW w:w="3681" w:type="dxa"/>
            <w:tcBorders>
              <w:top w:val="nil"/>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z w:val="28"/>
                <w:szCs w:val="28"/>
              </w:rPr>
            </w:pPr>
          </w:p>
        </w:tc>
        <w:tc>
          <w:tcPr>
            <w:tcW w:w="4829" w:type="dxa"/>
            <w:gridSpan w:val="2"/>
            <w:tcBorders>
              <w:top w:val="single" w:sz="4" w:space="0" w:color="auto"/>
              <w:left w:val="nil"/>
              <w:bottom w:val="nil"/>
              <w:right w:val="nil"/>
            </w:tcBorders>
          </w:tcPr>
          <w:p w:rsidR="00146B2D" w:rsidRPr="00147297" w:rsidRDefault="00146B2D" w:rsidP="00D2520C">
            <w:pPr>
              <w:pStyle w:val="BodyText"/>
              <w:tabs>
                <w:tab w:val="left" w:pos="4733"/>
              </w:tabs>
              <w:kinsoku w:val="0"/>
              <w:overflowPunct w:val="0"/>
              <w:spacing w:after="0"/>
              <w:rPr>
                <w:rFonts w:ascii="Times New Roman" w:hAnsi="Times New Roman"/>
                <w:b/>
                <w:sz w:val="28"/>
                <w:szCs w:val="28"/>
              </w:rPr>
            </w:pPr>
            <w:r>
              <w:rPr>
                <w:rFonts w:ascii="Times New Roman" w:hAnsi="Times New Roman"/>
              </w:rPr>
              <w:t>(підпис,</w:t>
            </w:r>
            <w:r>
              <w:rPr>
                <w:rFonts w:ascii="Times New Roman" w:hAnsi="Times New Roman"/>
                <w:spacing w:val="-6"/>
              </w:rPr>
              <w:t xml:space="preserve"> </w:t>
            </w:r>
            <w:r>
              <w:rPr>
                <w:rFonts w:ascii="Times New Roman" w:hAnsi="Times New Roman"/>
                <w:spacing w:val="-1"/>
              </w:rPr>
              <w:t>і</w:t>
            </w:r>
            <w:r>
              <w:rPr>
                <w:rFonts w:ascii="Times New Roman" w:hAnsi="Times New Roman"/>
                <w:spacing w:val="1"/>
              </w:rPr>
              <w:t>м</w:t>
            </w:r>
            <w:r>
              <w:rPr>
                <w:rFonts w:ascii="Times New Roman" w:hAnsi="Times New Roman"/>
                <w:spacing w:val="-2"/>
              </w:rPr>
              <w:t>’</w:t>
            </w:r>
            <w:r>
              <w:rPr>
                <w:rFonts w:ascii="Times New Roman" w:hAnsi="Times New Roman"/>
                <w:spacing w:val="-1"/>
              </w:rPr>
              <w:t>я</w:t>
            </w:r>
            <w:r w:rsidR="004F3A35">
              <w:rPr>
                <w:rFonts w:ascii="Times New Roman" w:hAnsi="Times New Roman"/>
                <w:spacing w:val="-1"/>
              </w:rPr>
              <w:t xml:space="preserve"> та </w:t>
            </w:r>
            <w:r w:rsidR="004F3A35">
              <w:rPr>
                <w:rFonts w:ascii="Times New Roman" w:hAnsi="Times New Roman"/>
                <w:spacing w:val="-1"/>
              </w:rPr>
              <w:t>п</w:t>
            </w:r>
            <w:r w:rsidR="004F3A35">
              <w:rPr>
                <w:rFonts w:ascii="Times New Roman" w:hAnsi="Times New Roman"/>
                <w:spacing w:val="1"/>
              </w:rPr>
              <w:t>р</w:t>
            </w:r>
            <w:r w:rsidR="004F3A35">
              <w:rPr>
                <w:rFonts w:ascii="Times New Roman" w:hAnsi="Times New Roman"/>
                <w:spacing w:val="-1"/>
              </w:rPr>
              <w:t>і</w:t>
            </w:r>
            <w:r w:rsidR="004F3A35">
              <w:rPr>
                <w:rFonts w:ascii="Times New Roman" w:hAnsi="Times New Roman"/>
              </w:rPr>
              <w:t>з</w:t>
            </w:r>
            <w:r w:rsidR="004F3A35">
              <w:rPr>
                <w:rFonts w:ascii="Times New Roman" w:hAnsi="Times New Roman"/>
                <w:spacing w:val="-1"/>
              </w:rPr>
              <w:t>ви</w:t>
            </w:r>
            <w:r w:rsidR="004F3A35">
              <w:rPr>
                <w:rFonts w:ascii="Times New Roman" w:hAnsi="Times New Roman"/>
              </w:rPr>
              <w:t>ще</w:t>
            </w:r>
            <w:r w:rsidR="004F3A35">
              <w:rPr>
                <w:rFonts w:ascii="Times New Roman" w:hAnsi="Times New Roman"/>
                <w:spacing w:val="-6"/>
              </w:rPr>
              <w:t>)</w:t>
            </w:r>
          </w:p>
        </w:tc>
      </w:tr>
      <w:tr w:rsidR="000C64E2" w:rsidRPr="00BF5BE0" w:rsidTr="000C64E2">
        <w:trPr>
          <w:gridAfter w:val="1"/>
          <w:wAfter w:w="130" w:type="dxa"/>
        </w:trPr>
        <w:tc>
          <w:tcPr>
            <w:tcW w:w="3681" w:type="dxa"/>
            <w:tcBorders>
              <w:top w:val="nil"/>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z w:val="28"/>
                <w:szCs w:val="28"/>
              </w:rPr>
            </w:pPr>
          </w:p>
        </w:tc>
        <w:tc>
          <w:tcPr>
            <w:tcW w:w="4829" w:type="dxa"/>
            <w:gridSpan w:val="2"/>
            <w:tcBorders>
              <w:top w:val="nil"/>
              <w:left w:val="nil"/>
              <w:right w:val="nil"/>
            </w:tcBorders>
          </w:tcPr>
          <w:p w:rsidR="00146B2D" w:rsidRPr="00147297" w:rsidRDefault="00146B2D" w:rsidP="00D2520C">
            <w:pPr>
              <w:pStyle w:val="BodyText"/>
              <w:tabs>
                <w:tab w:val="left" w:pos="4733"/>
              </w:tabs>
              <w:kinsoku w:val="0"/>
              <w:overflowPunct w:val="0"/>
              <w:spacing w:after="0"/>
              <w:rPr>
                <w:rFonts w:ascii="Times New Roman" w:hAnsi="Times New Roman"/>
                <w:b/>
                <w:sz w:val="28"/>
                <w:szCs w:val="28"/>
              </w:rPr>
            </w:pPr>
            <w:r>
              <w:rPr>
                <w:rFonts w:ascii="Times New Roman" w:hAnsi="Times New Roman"/>
                <w:sz w:val="28"/>
                <w:szCs w:val="28"/>
              </w:rPr>
              <w:t>к. іст. н., доцент кафедри ДІД</w:t>
            </w:r>
          </w:p>
        </w:tc>
      </w:tr>
      <w:tr w:rsidR="000C64E2" w:rsidRPr="00BF5BE0" w:rsidTr="000C64E2">
        <w:trPr>
          <w:gridAfter w:val="1"/>
          <w:wAfter w:w="130" w:type="dxa"/>
        </w:trPr>
        <w:tc>
          <w:tcPr>
            <w:tcW w:w="3681" w:type="dxa"/>
            <w:tcBorders>
              <w:top w:val="nil"/>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z w:val="28"/>
                <w:szCs w:val="28"/>
              </w:rPr>
            </w:pPr>
          </w:p>
        </w:tc>
        <w:tc>
          <w:tcPr>
            <w:tcW w:w="4829" w:type="dxa"/>
            <w:gridSpan w:val="2"/>
            <w:tcBorders>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spacing w:val="-1"/>
              </w:rPr>
            </w:pPr>
            <w:r>
              <w:rPr>
                <w:rFonts w:ascii="Times New Roman" w:hAnsi="Times New Roman"/>
                <w:spacing w:val="-1"/>
              </w:rPr>
              <w:t>н</w:t>
            </w:r>
            <w:r>
              <w:rPr>
                <w:rFonts w:ascii="Times New Roman" w:hAnsi="Times New Roman"/>
                <w:spacing w:val="2"/>
              </w:rPr>
              <w:t>а</w:t>
            </w:r>
            <w:r>
              <w:rPr>
                <w:rFonts w:ascii="Times New Roman" w:hAnsi="Times New Roman"/>
                <w:spacing w:val="-2"/>
              </w:rPr>
              <w:t>у</w:t>
            </w:r>
            <w:r>
              <w:rPr>
                <w:rFonts w:ascii="Times New Roman" w:hAnsi="Times New Roman"/>
                <w:spacing w:val="-1"/>
              </w:rPr>
              <w:t>к</w:t>
            </w:r>
            <w:r>
              <w:rPr>
                <w:rFonts w:ascii="Times New Roman" w:hAnsi="Times New Roman"/>
                <w:spacing w:val="1"/>
              </w:rPr>
              <w:t>о</w:t>
            </w:r>
            <w:r>
              <w:rPr>
                <w:rFonts w:ascii="Times New Roman" w:hAnsi="Times New Roman"/>
                <w:spacing w:val="-1"/>
              </w:rPr>
              <w:t>в</w:t>
            </w:r>
            <w:r>
              <w:rPr>
                <w:rFonts w:ascii="Times New Roman" w:hAnsi="Times New Roman"/>
                <w:spacing w:val="1"/>
              </w:rPr>
              <w:t>и</w:t>
            </w:r>
            <w:r>
              <w:rPr>
                <w:rFonts w:ascii="Times New Roman" w:hAnsi="Times New Roman"/>
              </w:rPr>
              <w:t>й</w:t>
            </w:r>
            <w:r>
              <w:rPr>
                <w:rFonts w:ascii="Times New Roman" w:hAnsi="Times New Roman"/>
                <w:spacing w:val="-8"/>
              </w:rPr>
              <w:t xml:space="preserve"> </w:t>
            </w:r>
            <w:r>
              <w:rPr>
                <w:rFonts w:ascii="Times New Roman" w:hAnsi="Times New Roman"/>
              </w:rPr>
              <w:t>с</w:t>
            </w:r>
            <w:r>
              <w:rPr>
                <w:rFonts w:ascii="Times New Roman" w:hAnsi="Times New Roman"/>
                <w:spacing w:val="1"/>
              </w:rPr>
              <w:t>т</w:t>
            </w:r>
            <w:r>
              <w:rPr>
                <w:rFonts w:ascii="Times New Roman" w:hAnsi="Times New Roman"/>
                <w:spacing w:val="-2"/>
              </w:rPr>
              <w:t>у</w:t>
            </w:r>
            <w:r>
              <w:rPr>
                <w:rFonts w:ascii="Times New Roman" w:hAnsi="Times New Roman"/>
                <w:spacing w:val="-1"/>
              </w:rPr>
              <w:t>п</w:t>
            </w:r>
            <w:r>
              <w:rPr>
                <w:rFonts w:ascii="Times New Roman" w:hAnsi="Times New Roman"/>
                <w:spacing w:val="2"/>
              </w:rPr>
              <w:t>і</w:t>
            </w:r>
            <w:r>
              <w:rPr>
                <w:rFonts w:ascii="Times New Roman" w:hAnsi="Times New Roman"/>
                <w:spacing w:val="-1"/>
              </w:rPr>
              <w:t>н</w:t>
            </w:r>
            <w:r>
              <w:rPr>
                <w:rFonts w:ascii="Times New Roman" w:hAnsi="Times New Roman"/>
              </w:rPr>
              <w:t>ь,</w:t>
            </w:r>
            <w:r>
              <w:rPr>
                <w:rFonts w:ascii="Times New Roman" w:hAnsi="Times New Roman"/>
                <w:spacing w:val="-6"/>
              </w:rPr>
              <w:t xml:space="preserve"> </w:t>
            </w:r>
            <w:r>
              <w:rPr>
                <w:rFonts w:ascii="Times New Roman" w:hAnsi="Times New Roman"/>
                <w:spacing w:val="-1"/>
              </w:rPr>
              <w:t>в</w:t>
            </w:r>
            <w:r>
              <w:rPr>
                <w:rFonts w:ascii="Times New Roman" w:hAnsi="Times New Roman"/>
              </w:rPr>
              <w:t>ч</w:t>
            </w:r>
            <w:r>
              <w:rPr>
                <w:rFonts w:ascii="Times New Roman" w:hAnsi="Times New Roman"/>
                <w:spacing w:val="2"/>
              </w:rPr>
              <w:t>е</w:t>
            </w:r>
            <w:r>
              <w:rPr>
                <w:rFonts w:ascii="Times New Roman" w:hAnsi="Times New Roman"/>
                <w:spacing w:val="-1"/>
              </w:rPr>
              <w:t>н</w:t>
            </w:r>
            <w:r>
              <w:rPr>
                <w:rFonts w:ascii="Times New Roman" w:hAnsi="Times New Roman"/>
              </w:rPr>
              <w:t>е</w:t>
            </w:r>
            <w:r>
              <w:rPr>
                <w:rFonts w:ascii="Times New Roman" w:hAnsi="Times New Roman"/>
                <w:spacing w:val="-4"/>
              </w:rPr>
              <w:t xml:space="preserve"> </w:t>
            </w:r>
            <w:r>
              <w:rPr>
                <w:rFonts w:ascii="Times New Roman" w:hAnsi="Times New Roman"/>
              </w:rPr>
              <w:t>з</w:t>
            </w:r>
            <w:r>
              <w:rPr>
                <w:rFonts w:ascii="Times New Roman" w:hAnsi="Times New Roman"/>
                <w:spacing w:val="-1"/>
              </w:rPr>
              <w:t>в</w:t>
            </w:r>
            <w:r>
              <w:rPr>
                <w:rFonts w:ascii="Times New Roman" w:hAnsi="Times New Roman"/>
              </w:rPr>
              <w:t>а</w:t>
            </w:r>
            <w:r>
              <w:rPr>
                <w:rFonts w:ascii="Times New Roman" w:hAnsi="Times New Roman"/>
                <w:spacing w:val="-1"/>
              </w:rPr>
              <w:t>н</w:t>
            </w:r>
            <w:r>
              <w:rPr>
                <w:rFonts w:ascii="Times New Roman" w:hAnsi="Times New Roman"/>
                <w:spacing w:val="1"/>
              </w:rPr>
              <w:t>н</w:t>
            </w:r>
            <w:r>
              <w:rPr>
                <w:rFonts w:ascii="Times New Roman" w:hAnsi="Times New Roman"/>
                <w:spacing w:val="-1"/>
              </w:rPr>
              <w:t>я керівника)</w:t>
            </w:r>
          </w:p>
        </w:tc>
      </w:tr>
    </w:tbl>
    <w:p w:rsidR="00146B2D" w:rsidRPr="00974D1E" w:rsidRDefault="00146B2D" w:rsidP="0032718C">
      <w:pPr>
        <w:pStyle w:val="BodyText"/>
        <w:tabs>
          <w:tab w:val="left" w:pos="4733"/>
          <w:tab w:val="left" w:pos="5529"/>
        </w:tabs>
        <w:kinsoku w:val="0"/>
        <w:overflowPunct w:val="0"/>
        <w:spacing w:after="0"/>
        <w:rPr>
          <w:rFonts w:ascii="Times New Roman" w:hAnsi="Times New Roman"/>
          <w:sz w:val="28"/>
          <w:szCs w:val="28"/>
        </w:rPr>
      </w:pPr>
    </w:p>
    <w:p w:rsidR="00146B2D" w:rsidRPr="00134A6B" w:rsidRDefault="00146B2D" w:rsidP="00146B2D">
      <w:pPr>
        <w:pStyle w:val="BodyText"/>
        <w:tabs>
          <w:tab w:val="left" w:pos="4733"/>
        </w:tabs>
        <w:kinsoku w:val="0"/>
        <w:overflowPunct w:val="0"/>
        <w:spacing w:after="0"/>
        <w:rPr>
          <w:rFonts w:ascii="Times New Roman" w:hAnsi="Times New Roman"/>
          <w:sz w:val="28"/>
          <w:szCs w:val="28"/>
        </w:rPr>
      </w:pPr>
    </w:p>
    <w:p w:rsidR="00146B2D" w:rsidRPr="00134A6B" w:rsidRDefault="00146B2D" w:rsidP="00146B2D">
      <w:pPr>
        <w:pStyle w:val="BodyText"/>
        <w:tabs>
          <w:tab w:val="left" w:pos="4733"/>
        </w:tabs>
        <w:kinsoku w:val="0"/>
        <w:overflowPunct w:val="0"/>
        <w:spacing w:after="0"/>
        <w:rPr>
          <w:rFonts w:ascii="Times New Roman" w:hAnsi="Times New Roman"/>
          <w:sz w:val="24"/>
          <w:szCs w:val="24"/>
        </w:rPr>
      </w:pPr>
    </w:p>
    <w:tbl>
      <w:tblPr>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917"/>
        <w:gridCol w:w="236"/>
        <w:gridCol w:w="1404"/>
        <w:gridCol w:w="2267"/>
        <w:gridCol w:w="1083"/>
      </w:tblGrid>
      <w:tr w:rsidR="0032718C" w:rsidRPr="00134A6B" w:rsidTr="0032718C">
        <w:trPr>
          <w:gridAfter w:val="1"/>
          <w:wAfter w:w="1083" w:type="dxa"/>
          <w:trHeight w:val="646"/>
        </w:trPr>
        <w:tc>
          <w:tcPr>
            <w:tcW w:w="4390" w:type="dxa"/>
            <w:tcBorders>
              <w:top w:val="nil"/>
              <w:left w:val="nil"/>
              <w:bottom w:val="single" w:sz="4" w:space="0" w:color="auto"/>
              <w:right w:val="nil"/>
            </w:tcBorders>
          </w:tcPr>
          <w:p w:rsidR="00146B2D" w:rsidRPr="00134A6B" w:rsidRDefault="00146B2D" w:rsidP="00D2520C">
            <w:pPr>
              <w:pStyle w:val="BodyText"/>
              <w:tabs>
                <w:tab w:val="left" w:pos="4733"/>
              </w:tabs>
              <w:kinsoku w:val="0"/>
              <w:overflowPunct w:val="0"/>
              <w:spacing w:after="0"/>
              <w:ind w:left="-57" w:right="-57"/>
              <w:rPr>
                <w:rFonts w:ascii="Times New Roman" w:hAnsi="Times New Roman"/>
                <w:b/>
                <w:sz w:val="24"/>
                <w:szCs w:val="24"/>
              </w:rPr>
            </w:pPr>
            <w:r>
              <w:rPr>
                <w:rFonts w:ascii="Times New Roman" w:hAnsi="Times New Roman"/>
                <w:sz w:val="24"/>
                <w:szCs w:val="24"/>
              </w:rPr>
              <w:t>Допущено до захисту</w:t>
            </w:r>
          </w:p>
          <w:p w:rsidR="00146B2D" w:rsidRPr="00134A6B" w:rsidRDefault="00146B2D" w:rsidP="00D2520C">
            <w:pPr>
              <w:pStyle w:val="BodyText"/>
              <w:tabs>
                <w:tab w:val="left" w:pos="4733"/>
              </w:tabs>
              <w:kinsoku w:val="0"/>
              <w:overflowPunct w:val="0"/>
              <w:spacing w:after="0"/>
              <w:ind w:left="-57" w:right="-57"/>
              <w:rPr>
                <w:rFonts w:ascii="Times New Roman" w:hAnsi="Times New Roman"/>
                <w:b/>
                <w:sz w:val="24"/>
                <w:szCs w:val="24"/>
              </w:rPr>
            </w:pPr>
            <w:r>
              <w:rPr>
                <w:rFonts w:ascii="Times New Roman" w:hAnsi="Times New Roman"/>
                <w:sz w:val="24"/>
                <w:szCs w:val="24"/>
              </w:rPr>
              <w:t>Завідувач кафедри документознавства</w:t>
            </w:r>
          </w:p>
          <w:p w:rsidR="00146B2D" w:rsidRPr="00134A6B" w:rsidRDefault="00146B2D" w:rsidP="00D2520C">
            <w:pPr>
              <w:pStyle w:val="BodyText"/>
              <w:tabs>
                <w:tab w:val="right" w:pos="4231"/>
              </w:tabs>
              <w:kinsoku w:val="0"/>
              <w:overflowPunct w:val="0"/>
              <w:spacing w:after="0"/>
              <w:ind w:left="-57" w:right="-57"/>
              <w:rPr>
                <w:rFonts w:ascii="Times New Roman" w:hAnsi="Times New Roman"/>
                <w:b/>
                <w:sz w:val="24"/>
                <w:szCs w:val="24"/>
              </w:rPr>
            </w:pPr>
            <w:r>
              <w:rPr>
                <w:rFonts w:ascii="Times New Roman" w:hAnsi="Times New Roman"/>
                <w:sz w:val="24"/>
                <w:szCs w:val="24"/>
              </w:rPr>
              <w:t>та інформаційної діяльності, проф.</w:t>
            </w:r>
          </w:p>
        </w:tc>
        <w:tc>
          <w:tcPr>
            <w:tcW w:w="917" w:type="dxa"/>
            <w:tcBorders>
              <w:top w:val="nil"/>
              <w:left w:val="nil"/>
              <w:bottom w:val="single" w:sz="4" w:space="0" w:color="auto"/>
              <w:right w:val="nil"/>
            </w:tcBorders>
            <w:vAlign w:val="bottom"/>
          </w:tcPr>
          <w:p w:rsidR="00146B2D" w:rsidRPr="00134A6B" w:rsidRDefault="00146B2D" w:rsidP="00D2520C">
            <w:pPr>
              <w:pStyle w:val="BodyText"/>
              <w:tabs>
                <w:tab w:val="left" w:pos="4733"/>
              </w:tabs>
              <w:kinsoku w:val="0"/>
              <w:overflowPunct w:val="0"/>
              <w:spacing w:after="0"/>
              <w:ind w:right="-57"/>
              <w:rPr>
                <w:rFonts w:ascii="Times New Roman" w:hAnsi="Times New Roman"/>
                <w:b/>
                <w:sz w:val="24"/>
                <w:szCs w:val="24"/>
              </w:rPr>
            </w:pPr>
          </w:p>
        </w:tc>
        <w:tc>
          <w:tcPr>
            <w:tcW w:w="236" w:type="dxa"/>
            <w:tcBorders>
              <w:top w:val="nil"/>
              <w:left w:val="nil"/>
              <w:bottom w:val="single" w:sz="4" w:space="0" w:color="auto"/>
              <w:right w:val="nil"/>
            </w:tcBorders>
            <w:vAlign w:val="bottom"/>
          </w:tcPr>
          <w:p w:rsidR="00146B2D" w:rsidRPr="00134A6B" w:rsidRDefault="00146B2D" w:rsidP="00D2520C">
            <w:pPr>
              <w:pStyle w:val="BodyText"/>
              <w:tabs>
                <w:tab w:val="left" w:pos="4733"/>
              </w:tabs>
              <w:kinsoku w:val="0"/>
              <w:overflowPunct w:val="0"/>
              <w:spacing w:after="0"/>
              <w:ind w:right="-57"/>
              <w:rPr>
                <w:rFonts w:ascii="Times New Roman" w:hAnsi="Times New Roman"/>
                <w:b/>
                <w:sz w:val="24"/>
                <w:szCs w:val="24"/>
              </w:rPr>
            </w:pPr>
          </w:p>
        </w:tc>
        <w:tc>
          <w:tcPr>
            <w:tcW w:w="3671" w:type="dxa"/>
            <w:gridSpan w:val="2"/>
            <w:tcBorders>
              <w:top w:val="nil"/>
              <w:left w:val="nil"/>
              <w:bottom w:val="single" w:sz="4" w:space="0" w:color="auto"/>
              <w:right w:val="nil"/>
            </w:tcBorders>
            <w:vAlign w:val="bottom"/>
          </w:tcPr>
          <w:p w:rsidR="00146B2D" w:rsidRPr="00134A6B" w:rsidRDefault="00146B2D" w:rsidP="0032718C">
            <w:pPr>
              <w:pStyle w:val="BodyText"/>
              <w:tabs>
                <w:tab w:val="left" w:pos="4733"/>
              </w:tabs>
              <w:kinsoku w:val="0"/>
              <w:overflowPunct w:val="0"/>
              <w:spacing w:after="0"/>
              <w:ind w:left="1145" w:right="-57" w:firstLine="11"/>
              <w:rPr>
                <w:rFonts w:ascii="Times New Roman" w:hAnsi="Times New Roman"/>
                <w:b/>
                <w:sz w:val="24"/>
                <w:szCs w:val="24"/>
              </w:rPr>
            </w:pPr>
            <w:r>
              <w:rPr>
                <w:rFonts w:ascii="Times New Roman" w:hAnsi="Times New Roman"/>
                <w:sz w:val="24"/>
                <w:szCs w:val="24"/>
              </w:rPr>
              <w:t>Юлія</w:t>
            </w:r>
            <w:r w:rsidR="0032718C">
              <w:rPr>
                <w:rFonts w:ascii="Times New Roman" w:hAnsi="Times New Roman"/>
                <w:sz w:val="24"/>
                <w:szCs w:val="24"/>
              </w:rPr>
              <w:t xml:space="preserve"> </w:t>
            </w:r>
            <w:r>
              <w:rPr>
                <w:rFonts w:ascii="Times New Roman" w:hAnsi="Times New Roman"/>
                <w:sz w:val="24"/>
                <w:szCs w:val="24"/>
              </w:rPr>
              <w:t>РОМАНИШИН</w:t>
            </w:r>
          </w:p>
        </w:tc>
      </w:tr>
      <w:tr w:rsidR="0032718C" w:rsidRPr="00134A6B" w:rsidTr="0032718C">
        <w:tc>
          <w:tcPr>
            <w:tcW w:w="4390" w:type="dxa"/>
            <w:tcBorders>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rPr>
            </w:pPr>
            <w:r>
              <w:rPr>
                <w:rFonts w:ascii="Times New Roman" w:hAnsi="Times New Roman"/>
              </w:rPr>
              <w:t>(посада)</w:t>
            </w:r>
          </w:p>
        </w:tc>
        <w:tc>
          <w:tcPr>
            <w:tcW w:w="917" w:type="dxa"/>
            <w:tcBorders>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rPr>
            </w:pPr>
            <w:r>
              <w:rPr>
                <w:rFonts w:ascii="Times New Roman" w:hAnsi="Times New Roman"/>
              </w:rPr>
              <w:t>(підпис)</w:t>
            </w:r>
          </w:p>
        </w:tc>
        <w:tc>
          <w:tcPr>
            <w:tcW w:w="1640" w:type="dxa"/>
            <w:gridSpan w:val="2"/>
            <w:tcBorders>
              <w:left w:val="nil"/>
              <w:bottom w:val="nil"/>
              <w:right w:val="nil"/>
            </w:tcBorders>
          </w:tcPr>
          <w:p w:rsidR="00146B2D" w:rsidRPr="00134A6B" w:rsidRDefault="00146B2D" w:rsidP="00D2520C">
            <w:pPr>
              <w:pStyle w:val="BodyText"/>
              <w:tabs>
                <w:tab w:val="left" w:pos="4733"/>
              </w:tabs>
              <w:kinsoku w:val="0"/>
              <w:overflowPunct w:val="0"/>
              <w:spacing w:after="0"/>
              <w:rPr>
                <w:rFonts w:ascii="Times New Roman" w:hAnsi="Times New Roman"/>
                <w:b/>
              </w:rPr>
            </w:pPr>
            <w:r>
              <w:rPr>
                <w:rFonts w:ascii="Times New Roman" w:hAnsi="Times New Roman"/>
              </w:rPr>
              <w:t>(дата)</w:t>
            </w:r>
          </w:p>
        </w:tc>
        <w:tc>
          <w:tcPr>
            <w:tcW w:w="3350" w:type="dxa"/>
            <w:gridSpan w:val="2"/>
            <w:tcBorders>
              <w:left w:val="nil"/>
              <w:bottom w:val="nil"/>
              <w:right w:val="nil"/>
            </w:tcBorders>
          </w:tcPr>
          <w:p w:rsidR="00146B2D" w:rsidRPr="00134A6B" w:rsidRDefault="0032718C" w:rsidP="00D2520C">
            <w:pPr>
              <w:pStyle w:val="BodyText"/>
              <w:tabs>
                <w:tab w:val="left" w:pos="4733"/>
              </w:tabs>
              <w:kinsoku w:val="0"/>
              <w:overflowPunct w:val="0"/>
              <w:spacing w:after="0"/>
              <w:rPr>
                <w:rFonts w:ascii="Times New Roman" w:hAnsi="Times New Roman"/>
                <w:b/>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1388857</wp:posOffset>
                      </wp:positionH>
                      <wp:positionV relativeFrom="paragraph">
                        <wp:posOffset>-259080</wp:posOffset>
                      </wp:positionV>
                      <wp:extent cx="774551" cy="419548"/>
                      <wp:effectExtent l="0" t="0" r="635" b="0"/>
                      <wp:wrapNone/>
                      <wp:docPr id="129353566" name="Rectangle 3"/>
                      <wp:cNvGraphicFramePr/>
                      <a:graphic xmlns:a="http://schemas.openxmlformats.org/drawingml/2006/main">
                        <a:graphicData uri="http://schemas.microsoft.com/office/word/2010/wordprocessingShape">
                          <wps:wsp>
                            <wps:cNvSpPr/>
                            <wps:spPr>
                              <a:xfrm>
                                <a:off x="0" y="0"/>
                                <a:ext cx="774551" cy="41954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C8567" id="Rectangle 3" o:spid="_x0000_s1026" style="position:absolute;margin-left:109.35pt;margin-top:-20.4pt;width:61pt;height:3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" fillcolor="white [3212]" stroked="f" strokeweight="1.5pt"/>
                  </w:pict>
                </mc:Fallback>
              </mc:AlternateContent>
            </w:r>
            <w:r w:rsidR="00146B2D">
              <w:rPr>
                <w:rFonts w:ascii="Times New Roman" w:hAnsi="Times New Roman"/>
              </w:rPr>
              <w:t>(</w:t>
            </w:r>
            <w:proofErr w:type="spellStart"/>
            <w:r w:rsidR="00974D1E">
              <w:rPr>
                <w:rFonts w:ascii="Times New Roman" w:hAnsi="Times New Roman"/>
              </w:rPr>
              <w:t>ім</w:t>
            </w:r>
            <w:proofErr w:type="spellEnd"/>
            <w:r w:rsidR="00974D1E">
              <w:rPr>
                <w:rFonts w:ascii="Times New Roman" w:hAnsi="Times New Roman"/>
                <w:lang w:val="en-US"/>
              </w:rPr>
              <w:t>’</w:t>
            </w:r>
            <w:r w:rsidR="00974D1E">
              <w:rPr>
                <w:rFonts w:ascii="Times New Roman" w:hAnsi="Times New Roman"/>
              </w:rPr>
              <w:t>я</w:t>
            </w:r>
            <w:r w:rsidR="00146B2D">
              <w:rPr>
                <w:rFonts w:ascii="Times New Roman" w:hAnsi="Times New Roman"/>
              </w:rPr>
              <w:t xml:space="preserve"> та прізвище)</w:t>
            </w:r>
          </w:p>
        </w:tc>
      </w:tr>
    </w:tbl>
    <w:p w:rsidR="00146B2D" w:rsidRPr="00134A6B" w:rsidRDefault="00146B2D" w:rsidP="00146B2D">
      <w:pPr>
        <w:pStyle w:val="BodyText"/>
        <w:tabs>
          <w:tab w:val="left" w:pos="4733"/>
        </w:tabs>
        <w:kinsoku w:val="0"/>
        <w:overflowPunct w:val="0"/>
        <w:spacing w:after="0"/>
        <w:rPr>
          <w:rFonts w:ascii="Times New Roman" w:hAnsi="Times New Roman"/>
          <w:b/>
          <w:sz w:val="24"/>
          <w:szCs w:val="24"/>
        </w:rPr>
      </w:pPr>
    </w:p>
    <w:p w:rsidR="00146B2D" w:rsidRPr="00134A6B" w:rsidRDefault="00146B2D" w:rsidP="00146B2D">
      <w:pPr>
        <w:pStyle w:val="BodyText"/>
        <w:tabs>
          <w:tab w:val="left" w:pos="4733"/>
        </w:tabs>
        <w:kinsoku w:val="0"/>
        <w:overflowPunct w:val="0"/>
        <w:spacing w:after="0"/>
        <w:rPr>
          <w:rFonts w:ascii="Times New Roman" w:hAnsi="Times New Roman"/>
          <w:sz w:val="24"/>
          <w:szCs w:val="24"/>
        </w:rPr>
      </w:pPr>
    </w:p>
    <w:p w:rsidR="00146B2D" w:rsidRPr="00134A6B" w:rsidRDefault="00146B2D" w:rsidP="00146B2D">
      <w:pPr>
        <w:kinsoku w:val="0"/>
        <w:overflowPunct w:val="0"/>
        <w:rPr>
          <w:sz w:val="20"/>
          <w:szCs w:val="20"/>
          <w:lang w:val="uk-UA"/>
        </w:rPr>
      </w:pPr>
    </w:p>
    <w:p w:rsidR="00146B2D" w:rsidRPr="00134A6B" w:rsidRDefault="00146B2D" w:rsidP="00146B2D">
      <w:pPr>
        <w:kinsoku w:val="0"/>
        <w:overflowPunct w:val="0"/>
        <w:rPr>
          <w:sz w:val="20"/>
          <w:szCs w:val="20"/>
          <w:lang w:val="uk-UA"/>
        </w:rPr>
      </w:pPr>
    </w:p>
    <w:p w:rsidR="00146B2D" w:rsidRDefault="00146B2D" w:rsidP="00146B2D">
      <w:pPr>
        <w:kinsoku w:val="0"/>
        <w:overflowPunct w:val="0"/>
        <w:jc w:val="center"/>
        <w:rPr>
          <w:lang w:val="uk-UA"/>
        </w:rPr>
      </w:pPr>
    </w:p>
    <w:p w:rsidR="00146B2D" w:rsidRPr="00134A6B" w:rsidRDefault="00146B2D" w:rsidP="00146B2D">
      <w:pPr>
        <w:kinsoku w:val="0"/>
        <w:overflowPunct w:val="0"/>
        <w:jc w:val="center"/>
        <w:rPr>
          <w:lang w:val="uk-UA"/>
        </w:rPr>
      </w:pPr>
    </w:p>
    <w:p w:rsidR="00146B2D" w:rsidRPr="00134A6B" w:rsidRDefault="00146B2D" w:rsidP="00146B2D">
      <w:pPr>
        <w:pStyle w:val="11"/>
        <w:kinsoku w:val="0"/>
        <w:overflowPunct w:val="0"/>
        <w:jc w:val="both"/>
        <w:outlineLvl w:val="9"/>
        <w:rPr>
          <w:b w:val="0"/>
          <w:sz w:val="20"/>
          <w:szCs w:val="20"/>
        </w:rPr>
      </w:pPr>
    </w:p>
    <w:p w:rsidR="00146B2D" w:rsidRPr="00134A6B" w:rsidRDefault="00146B2D" w:rsidP="00146B2D">
      <w:pPr>
        <w:pStyle w:val="11"/>
        <w:kinsoku w:val="0"/>
        <w:overflowPunct w:val="0"/>
        <w:jc w:val="both"/>
        <w:outlineLvl w:val="9"/>
        <w:rPr>
          <w:b w:val="0"/>
          <w:sz w:val="20"/>
          <w:szCs w:val="20"/>
        </w:rPr>
      </w:pPr>
    </w:p>
    <w:p w:rsidR="00146B2D" w:rsidRDefault="00146B2D" w:rsidP="00146B2D">
      <w:pPr>
        <w:pStyle w:val="11"/>
        <w:kinsoku w:val="0"/>
        <w:overflowPunct w:val="0"/>
        <w:jc w:val="center"/>
        <w:outlineLvl w:val="9"/>
      </w:pPr>
      <w:r>
        <w:t>Івано-Франківськ – 2026</w:t>
      </w:r>
    </w:p>
    <w:p w:rsidR="00146B2D" w:rsidRPr="00134A6B" w:rsidRDefault="00146B2D" w:rsidP="00146B2D">
      <w:pPr>
        <w:pStyle w:val="11"/>
        <w:kinsoku w:val="0"/>
        <w:overflowPunct w:val="0"/>
        <w:jc w:val="center"/>
        <w:outlineLvl w:val="9"/>
      </w:pPr>
    </w:p>
    <w:p w:rsidR="00146B2D" w:rsidRPr="00134A6B" w:rsidRDefault="00146B2D" w:rsidP="00146B2D">
      <w:pPr>
        <w:jc w:val="center"/>
        <w:rPr>
          <w:b/>
          <w:lang w:val="uk-UA"/>
        </w:rPr>
      </w:pPr>
      <w:r>
        <w:rPr>
          <w:b/>
          <w:noProof/>
          <w:lang w:val="uk-UA"/>
        </w:rPr>
        <w:lastRenderedPageBreak/>
        <mc:AlternateContent>
          <mc:Choice Requires="wps">
            <w:drawing>
              <wp:anchor distT="0" distB="0" distL="114300" distR="114300" simplePos="0" relativeHeight="251659264" behindDoc="0" locked="0" layoutInCell="1" allowOverlap="1" wp14:anchorId="34A4FCD3" wp14:editId="3883F85B">
                <wp:simplePos x="0" y="0"/>
                <wp:positionH relativeFrom="column">
                  <wp:posOffset>6130290</wp:posOffset>
                </wp:positionH>
                <wp:positionV relativeFrom="paragraph">
                  <wp:posOffset>-329565</wp:posOffset>
                </wp:positionV>
                <wp:extent cx="304800" cy="228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04800" cy="228600"/>
                        </a:xfrm>
                        <a:prstGeom prst="rect">
                          <a:avLst/>
                        </a:prstGeom>
                        <a:solidFill>
                          <a:schemeClr val="lt1"/>
                        </a:solidFill>
                        <a:ln w="6350">
                          <a:noFill/>
                        </a:ln>
                      </wps:spPr>
                      <wps:txbx>
                        <w:txbxContent>
                          <w:p w:rsidR="00146B2D" w:rsidRDefault="00146B2D" w:rsidP="00146B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A4FCD3" id="_x0000_t202" coordsize="21600,21600" o:spt="202" path="m,l,21600r21600,l21600,xe">
                <v:stroke joinstyle="miter"/>
                <v:path gradientshapeok="t" o:connecttype="rect"/>
              </v:shapetype>
              <v:shape id="Text Box 11" o:spid="_x0000_s1026" type="#_x0000_t202" style="position:absolute;left:0;text-align:left;margin-left:482.7pt;margin-top:-25.95pt;width:24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LVhMKwIAAFMEAAAOAAAAZHJzL2Uyb0RvYy54bWysVEtv2zAMvg/YfxB0X+ykaZYacYosRYYB QVsgHXpWZCk2IIuapMTOfv0o2Xms7WnYRSZF6uPro2f3ba3IQVhXgc7pcJBSIjSHotK7nP58WX2Z UuI80wVToEVOj8LR+/nnT7PGZGIEJahCWIIg2mWNyWnpvcmSxPFS1MwNwAiNRgm2Zh5Vu0sKyxpE r1UyStNJ0oAtjAUunMPbh85I5xFfSsH9k5ROeKJyirn5eNp4bsOZzGcs21lmyor3abB/yKJmlcag Z6gH5hnZ2+odVF1xCw6kH3CoE5Cy4iLWgNUM0zfVbEpmRKwFm+PMuU3u/8Hyx8PGPFvi22/Q4gBD QxrjMoeXoZ5W2jp8MVOCdmzh8dw20XrC8fImHU9TtHA0jUbTCcqIklweG+v8dwE1CUJOLU4lNosd 1s53rieXEMuBqopVpVRUAhPEUllyYDhD5WOKCP6Xl9Kkyenk5jaNwBrC8w5ZaczlUlKQfLtt+zq3 UByxfAsdM5zhqwqTXDPnn5lFKmBdSG//hIdUgEGglygpwf7+6D7444TQSkmD1Mqp+7VnVlCifmic 3d1wPA5cjMr49usIFXtt2V5b9L5eAlY+xEUyPIrB36uTKC3Ur7gFixAVTUxzjJ1TfxKXviM8bhEX i0V0QvYZ5td6Y3iADp0OI3hpX5k1/Zw8DvgRTiRk2Ztxdb7hpYbF3oOs4ixDg7uu9n1H5kY29FsW VuNaj16Xf8H8DwAAAP//AwBQSwMEFAAGAAgAAAAhAFEf4RfmAAAAEQEAAA8AAABkcnMvZG93bnJl di54bWxMT01Pg0AQvZv4HzZj4sW0CyK1UJbG+FETbxat8bZlt0DKzhJ2C/jvnZ70Msm8efM+svVk Wjbo3jUWBYTzAJjG0qoGKwEfxctsCcx5iUq2FrWAH+1gnV9eZDJVdsR3PWx9xUgEXSoF1N53Keeu rLWRbm47jXQ72N5IT2tfcdXLkcRNy2+DYMGNbJAcatnpx1qXx+3JCPi+qb7e3LT5HKM46p5fh+J+ pwohrq+mpxWNhxUwryf/9wHnDpQfcgq2tydUjrUCkkV8R1QBszhMgJ0ZQRgRtCcojBPgecb/N8l/ AQAA//8DAFBLAQItABQABgAIAAAAIQC2gziS/gAAAOEBAAATAAAAAAAAAAAAAAAAAAAAAABbQ29u dGVudF9UeXBlc10ueG1sUEsBAi0AFAAGAAgAAAAhADj9If/WAAAAlAEAAAsAAAAAAAAAAAAAAAAA LwEAAF9yZWxzLy5yZWxzUEsBAi0AFAAGAAgAAAAhAKYtWEwrAgAAUwQAAA4AAAAAAAAAAAAAAAAA LgIAAGRycy9lMm9Eb2MueG1sUEsBAi0AFAAGAAgAAAAhAFEf4RfmAAAAEQEAAA8AAAAAAAAAAAAA AAAAhQQAAGRycy9kb3ducmV2LnhtbFBLBQYAAAAABAAEAPMAAACYBQAAAAA= " fillcolor="white [3201]" stroked="f" strokeweight=".5pt">
                <v:textbox>
                  <w:txbxContent>
                    <w:p w:rsidR="00146B2D" w:rsidRDefault="00146B2D" w:rsidP="00146B2D"/>
                  </w:txbxContent>
                </v:textbox>
              </v:shape>
            </w:pict>
          </mc:Fallback>
        </mc:AlternateContent>
      </w:r>
      <w:r>
        <w:rPr>
          <w:b/>
          <w:lang w:val="uk-UA"/>
        </w:rPr>
        <w:t>Івано-Франківський національний технічний університет нафти і газу</w:t>
      </w:r>
    </w:p>
    <w:p w:rsidR="00146B2D" w:rsidRPr="00974D1E" w:rsidRDefault="00146B2D" w:rsidP="00146B2D">
      <w:pPr>
        <w:tabs>
          <w:tab w:val="left" w:pos="1620"/>
        </w:tabs>
        <w:jc w:val="both"/>
        <w:rPr>
          <w:sz w:val="23"/>
          <w:szCs w:val="23"/>
          <w:lang w:val="uk-UA"/>
        </w:rPr>
      </w:pPr>
      <w:r w:rsidRPr="00974D1E">
        <w:rPr>
          <w:b/>
          <w:sz w:val="23"/>
          <w:szCs w:val="23"/>
          <w:lang w:val="uk-UA"/>
        </w:rPr>
        <w:t>Інститут</w:t>
      </w:r>
      <w:r w:rsidRPr="00974D1E">
        <w:rPr>
          <w:sz w:val="23"/>
          <w:szCs w:val="23"/>
          <w:lang w:val="uk-UA"/>
        </w:rPr>
        <w:tab/>
      </w:r>
      <w:r w:rsidRPr="00974D1E">
        <w:rPr>
          <w:sz w:val="23"/>
          <w:szCs w:val="23"/>
          <w:u w:val="single"/>
          <w:lang w:val="uk-UA"/>
        </w:rPr>
        <w:t xml:space="preserve">      гуманітарної підготовки та державного управління                         </w:t>
      </w:r>
      <w:r w:rsidRPr="00974D1E">
        <w:rPr>
          <w:sz w:val="23"/>
          <w:szCs w:val="23"/>
          <w:u w:val="single"/>
          <w:lang w:val="uk-UA"/>
        </w:rPr>
        <w:tab/>
        <w:t xml:space="preserve">               </w:t>
      </w:r>
    </w:p>
    <w:p w:rsidR="00146B2D" w:rsidRPr="00974D1E" w:rsidRDefault="00146B2D" w:rsidP="00146B2D">
      <w:pPr>
        <w:tabs>
          <w:tab w:val="left" w:pos="1620"/>
        </w:tabs>
        <w:jc w:val="both"/>
        <w:rPr>
          <w:sz w:val="23"/>
          <w:szCs w:val="23"/>
          <w:lang w:val="uk-UA"/>
        </w:rPr>
      </w:pPr>
      <w:r w:rsidRPr="00974D1E">
        <w:rPr>
          <w:b/>
          <w:sz w:val="23"/>
          <w:szCs w:val="23"/>
          <w:lang w:val="uk-UA"/>
        </w:rPr>
        <w:t>Кафедра</w:t>
      </w:r>
      <w:r w:rsidRPr="00974D1E">
        <w:rPr>
          <w:sz w:val="23"/>
          <w:szCs w:val="23"/>
          <w:lang w:val="uk-UA"/>
        </w:rPr>
        <w:t xml:space="preserve">            </w:t>
      </w:r>
      <w:r w:rsidRPr="00974D1E">
        <w:rPr>
          <w:sz w:val="23"/>
          <w:szCs w:val="23"/>
          <w:u w:val="single"/>
          <w:lang w:val="uk-UA"/>
        </w:rPr>
        <w:t xml:space="preserve">      документознавства та інформаційної діяльності                      </w:t>
      </w:r>
      <w:r w:rsidRPr="00974D1E">
        <w:rPr>
          <w:sz w:val="23"/>
          <w:szCs w:val="23"/>
          <w:u w:val="single"/>
          <w:lang w:val="uk-UA"/>
        </w:rPr>
        <w:tab/>
      </w:r>
      <w:r w:rsidRPr="00974D1E">
        <w:rPr>
          <w:sz w:val="23"/>
          <w:szCs w:val="23"/>
          <w:u w:val="single"/>
          <w:lang w:val="uk-UA"/>
        </w:rPr>
        <w:tab/>
      </w:r>
    </w:p>
    <w:p w:rsidR="00146B2D" w:rsidRPr="00974D1E" w:rsidRDefault="00146B2D" w:rsidP="00146B2D">
      <w:pPr>
        <w:rPr>
          <w:sz w:val="23"/>
          <w:szCs w:val="23"/>
          <w:u w:val="single"/>
          <w:lang w:val="uk-UA"/>
        </w:rPr>
      </w:pPr>
      <w:r w:rsidRPr="00974D1E">
        <w:rPr>
          <w:b/>
          <w:sz w:val="23"/>
          <w:szCs w:val="23"/>
          <w:lang w:val="uk-UA"/>
        </w:rPr>
        <w:t xml:space="preserve">Освітній рівень </w:t>
      </w:r>
      <w:r w:rsidRPr="00974D1E">
        <w:rPr>
          <w:b/>
          <w:sz w:val="23"/>
          <w:szCs w:val="23"/>
          <w:u w:val="single"/>
          <w:lang w:val="uk-UA"/>
        </w:rPr>
        <w:t xml:space="preserve">   </w:t>
      </w:r>
      <w:r w:rsidRPr="00974D1E">
        <w:rPr>
          <w:sz w:val="23"/>
          <w:szCs w:val="23"/>
          <w:u w:val="single"/>
          <w:lang w:val="uk-UA"/>
        </w:rPr>
        <w:t>бакалавр</w:t>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sidRPr="00974D1E">
        <w:rPr>
          <w:sz w:val="23"/>
          <w:szCs w:val="23"/>
          <w:u w:val="single"/>
          <w:lang w:val="uk-UA"/>
        </w:rPr>
        <w:tab/>
      </w:r>
    </w:p>
    <w:p w:rsidR="00146B2D" w:rsidRPr="00974D1E" w:rsidRDefault="00146B2D" w:rsidP="00146B2D">
      <w:pPr>
        <w:rPr>
          <w:sz w:val="23"/>
          <w:szCs w:val="23"/>
          <w:u w:val="single"/>
          <w:lang w:val="uk-UA"/>
        </w:rPr>
      </w:pPr>
      <w:r w:rsidRPr="00974D1E">
        <w:rPr>
          <w:b/>
          <w:sz w:val="23"/>
          <w:szCs w:val="23"/>
          <w:lang w:val="uk-UA"/>
        </w:rPr>
        <w:t xml:space="preserve">Освітньо-професійна програма </w:t>
      </w:r>
      <w:r w:rsidRPr="00974D1E">
        <w:rPr>
          <w:b/>
          <w:sz w:val="23"/>
          <w:szCs w:val="23"/>
          <w:u w:val="single"/>
          <w:lang w:val="uk-UA"/>
        </w:rPr>
        <w:t xml:space="preserve">   </w:t>
      </w:r>
      <w:r w:rsidRPr="00974D1E">
        <w:rPr>
          <w:sz w:val="23"/>
          <w:szCs w:val="23"/>
          <w:u w:val="single"/>
          <w:lang w:val="uk-UA"/>
        </w:rPr>
        <w:t>Документознавство та інформаційна діяльність</w:t>
      </w:r>
      <w:r w:rsidRPr="00974D1E">
        <w:rPr>
          <w:sz w:val="23"/>
          <w:szCs w:val="23"/>
          <w:u w:val="single"/>
          <w:lang w:val="uk-UA"/>
        </w:rPr>
        <w:tab/>
      </w:r>
      <w:r w:rsidRPr="00974D1E">
        <w:rPr>
          <w:sz w:val="23"/>
          <w:szCs w:val="23"/>
          <w:u w:val="single"/>
          <w:lang w:val="uk-UA"/>
        </w:rPr>
        <w:tab/>
      </w:r>
    </w:p>
    <w:p w:rsidR="00146B2D" w:rsidRPr="00134A6B" w:rsidRDefault="00146B2D" w:rsidP="00146B2D">
      <w:pPr>
        <w:rPr>
          <w:i/>
          <w:sz w:val="23"/>
          <w:szCs w:val="23"/>
          <w:u w:val="single"/>
          <w:lang w:val="uk-UA"/>
        </w:rPr>
      </w:pPr>
      <w:r w:rsidRPr="00974D1E">
        <w:rPr>
          <w:b/>
          <w:sz w:val="23"/>
          <w:szCs w:val="23"/>
          <w:lang w:val="uk-UA"/>
        </w:rPr>
        <w:t>Спеціальність</w:t>
      </w:r>
      <w:r w:rsidRPr="00974D1E">
        <w:rPr>
          <w:sz w:val="23"/>
          <w:szCs w:val="23"/>
          <w:lang w:val="uk-UA"/>
        </w:rPr>
        <w:t xml:space="preserve">  </w:t>
      </w:r>
      <w:r w:rsidRPr="00974D1E">
        <w:rPr>
          <w:sz w:val="23"/>
          <w:szCs w:val="23"/>
          <w:u w:val="single"/>
          <w:lang w:val="uk-UA"/>
        </w:rPr>
        <w:t xml:space="preserve">  029 «Інформаційна, бібліотечна та архівна справа»</w:t>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sidRPr="00974D1E">
        <w:rPr>
          <w:sz w:val="23"/>
          <w:szCs w:val="23"/>
          <w:u w:val="single"/>
          <w:lang w:val="uk-UA"/>
        </w:rPr>
        <w:tab/>
      </w:r>
      <w:r>
        <w:rPr>
          <w:i/>
          <w:sz w:val="23"/>
          <w:szCs w:val="23"/>
          <w:u w:val="single"/>
          <w:lang w:val="uk-UA"/>
        </w:rPr>
        <w:t xml:space="preserve">                             </w:t>
      </w:r>
    </w:p>
    <w:p w:rsidR="00146B2D" w:rsidRPr="00134A6B" w:rsidRDefault="00146B2D" w:rsidP="00146B2D">
      <w:pPr>
        <w:ind w:left="4320" w:firstLine="720"/>
        <w:rPr>
          <w:i/>
          <w:sz w:val="12"/>
          <w:szCs w:val="12"/>
          <w:lang w:val="uk-UA"/>
        </w:rPr>
      </w:pPr>
    </w:p>
    <w:p w:rsidR="00146B2D" w:rsidRPr="00134A6B" w:rsidRDefault="00146B2D" w:rsidP="00146B2D">
      <w:pPr>
        <w:spacing w:line="276" w:lineRule="auto"/>
        <w:ind w:left="4320" w:firstLine="720"/>
        <w:rPr>
          <w:b/>
          <w:sz w:val="23"/>
          <w:szCs w:val="23"/>
          <w:lang w:val="uk-UA"/>
        </w:rPr>
      </w:pPr>
      <w:r>
        <w:rPr>
          <w:b/>
          <w:sz w:val="23"/>
          <w:szCs w:val="23"/>
          <w:lang w:val="uk-UA"/>
        </w:rPr>
        <w:t>ЗАТВЕРДЖУЮ :</w:t>
      </w:r>
    </w:p>
    <w:p w:rsidR="00146B2D" w:rsidRPr="00134A6B" w:rsidRDefault="00146B2D" w:rsidP="00146B2D">
      <w:pPr>
        <w:spacing w:line="276" w:lineRule="auto"/>
        <w:ind w:left="4320" w:firstLine="720"/>
        <w:jc w:val="both"/>
        <w:rPr>
          <w:sz w:val="23"/>
          <w:szCs w:val="23"/>
          <w:lang w:val="uk-UA"/>
        </w:rPr>
      </w:pPr>
      <w:r>
        <w:rPr>
          <w:sz w:val="23"/>
          <w:szCs w:val="23"/>
          <w:lang w:val="uk-UA"/>
        </w:rPr>
        <w:t>Завідувач кафедри</w:t>
      </w:r>
    </w:p>
    <w:p w:rsidR="00146B2D" w:rsidRPr="00134A6B" w:rsidRDefault="00146B2D" w:rsidP="00146B2D">
      <w:pPr>
        <w:spacing w:line="276" w:lineRule="auto"/>
        <w:ind w:left="4320" w:firstLine="720"/>
        <w:jc w:val="both"/>
        <w:rPr>
          <w:sz w:val="23"/>
          <w:szCs w:val="23"/>
          <w:u w:val="single"/>
          <w:lang w:val="uk-UA"/>
        </w:rPr>
      </w:pPr>
      <w:r>
        <w:rPr>
          <w:sz w:val="23"/>
          <w:szCs w:val="23"/>
          <w:u w:val="single"/>
          <w:lang w:val="uk-UA"/>
        </w:rPr>
        <w:t>проф. Юлія РОМАНИШИН</w:t>
      </w:r>
      <w:r>
        <w:rPr>
          <w:sz w:val="23"/>
          <w:szCs w:val="23"/>
          <w:u w:val="single"/>
          <w:lang w:val="uk-UA"/>
        </w:rPr>
        <w:tab/>
      </w:r>
      <w:r>
        <w:rPr>
          <w:sz w:val="23"/>
          <w:szCs w:val="23"/>
          <w:u w:val="single"/>
          <w:lang w:val="uk-UA"/>
        </w:rPr>
        <w:tab/>
      </w:r>
      <w:r>
        <w:rPr>
          <w:sz w:val="23"/>
          <w:szCs w:val="23"/>
          <w:u w:val="single"/>
          <w:lang w:val="uk-UA"/>
        </w:rPr>
        <w:tab/>
      </w:r>
    </w:p>
    <w:p w:rsidR="00146B2D" w:rsidRPr="008A33FA" w:rsidRDefault="00146B2D" w:rsidP="00146B2D">
      <w:pPr>
        <w:spacing w:line="276" w:lineRule="auto"/>
        <w:ind w:left="4320" w:firstLine="720"/>
        <w:rPr>
          <w:sz w:val="23"/>
          <w:szCs w:val="23"/>
          <w:u w:val="single"/>
          <w:lang w:val="uk-UA"/>
        </w:rPr>
      </w:pPr>
      <w:r>
        <w:rPr>
          <w:sz w:val="23"/>
          <w:szCs w:val="23"/>
          <w:lang w:val="uk-UA"/>
        </w:rPr>
        <w:t>«</w:t>
      </w:r>
      <w:r>
        <w:rPr>
          <w:sz w:val="23"/>
          <w:szCs w:val="23"/>
          <w:u w:val="single"/>
          <w:lang w:val="uk-UA"/>
        </w:rPr>
        <w:t xml:space="preserve">     </w:t>
      </w:r>
      <w:r>
        <w:rPr>
          <w:sz w:val="23"/>
          <w:szCs w:val="23"/>
          <w:lang w:val="uk-UA"/>
        </w:rPr>
        <w:t xml:space="preserve">» </w:t>
      </w:r>
      <w:r>
        <w:rPr>
          <w:sz w:val="23"/>
          <w:szCs w:val="23"/>
          <w:u w:val="single"/>
          <w:lang w:val="uk-UA"/>
        </w:rPr>
        <w:t xml:space="preserve">                     </w:t>
      </w:r>
      <w:r>
        <w:rPr>
          <w:i/>
          <w:sz w:val="23"/>
          <w:szCs w:val="23"/>
          <w:u w:val="single"/>
          <w:lang w:val="uk-UA"/>
        </w:rPr>
        <w:t>2026 р.</w:t>
      </w:r>
      <w:r>
        <w:rPr>
          <w:sz w:val="23"/>
          <w:szCs w:val="23"/>
          <w:u w:val="single"/>
          <w:lang w:val="uk-UA"/>
        </w:rPr>
        <w:t xml:space="preserve"> </w:t>
      </w:r>
      <w:r>
        <w:rPr>
          <w:sz w:val="23"/>
          <w:szCs w:val="23"/>
          <w:u w:val="single"/>
          <w:lang w:val="uk-UA"/>
        </w:rPr>
        <w:tab/>
      </w:r>
      <w:r>
        <w:rPr>
          <w:sz w:val="23"/>
          <w:szCs w:val="23"/>
          <w:u w:val="single"/>
          <w:lang w:val="uk-UA"/>
        </w:rPr>
        <w:tab/>
      </w:r>
      <w:r>
        <w:rPr>
          <w:sz w:val="23"/>
          <w:szCs w:val="23"/>
          <w:u w:val="single"/>
          <w:lang w:val="uk-UA"/>
        </w:rPr>
        <w:tab/>
        <w:t xml:space="preserve">   </w:t>
      </w:r>
      <w:r>
        <w:rPr>
          <w:u w:val="single"/>
          <w:lang w:val="uk-UA"/>
        </w:rPr>
        <w:t xml:space="preserve">               </w:t>
      </w:r>
    </w:p>
    <w:p w:rsidR="00146B2D" w:rsidRPr="00134A6B" w:rsidRDefault="00146B2D" w:rsidP="00146B2D">
      <w:pPr>
        <w:jc w:val="center"/>
        <w:rPr>
          <w:b/>
          <w:sz w:val="23"/>
          <w:szCs w:val="23"/>
          <w:lang w:val="uk-UA"/>
        </w:rPr>
      </w:pPr>
      <w:r>
        <w:rPr>
          <w:b/>
          <w:sz w:val="23"/>
          <w:szCs w:val="23"/>
          <w:lang w:val="uk-UA"/>
        </w:rPr>
        <w:br/>
        <w:t>ЗАВДАННЯ</w:t>
      </w:r>
    </w:p>
    <w:p w:rsidR="00146B2D" w:rsidRPr="00134A6B" w:rsidRDefault="00146B2D" w:rsidP="00146B2D">
      <w:pPr>
        <w:jc w:val="center"/>
        <w:rPr>
          <w:b/>
          <w:sz w:val="23"/>
          <w:szCs w:val="23"/>
          <w:lang w:val="uk-UA"/>
        </w:rPr>
      </w:pPr>
      <w:r>
        <w:rPr>
          <w:b/>
          <w:sz w:val="23"/>
          <w:szCs w:val="23"/>
          <w:lang w:val="uk-UA"/>
        </w:rPr>
        <w:t>НА БАКАЛАВРСЬКУ РОБОТУ СТУДЕНТУ</w:t>
      </w:r>
    </w:p>
    <w:p w:rsidR="00146B2D" w:rsidRPr="00DD3E1F" w:rsidRDefault="00146B2D" w:rsidP="00146B2D">
      <w:pPr>
        <w:tabs>
          <w:tab w:val="left" w:pos="1080"/>
        </w:tabs>
        <w:rPr>
          <w:i/>
          <w:sz w:val="24"/>
          <w:szCs w:val="24"/>
          <w:u w:val="single"/>
          <w:lang w:val="uk-UA"/>
        </w:rPr>
      </w:pPr>
      <w:r>
        <w:rPr>
          <w:sz w:val="24"/>
          <w:szCs w:val="24"/>
          <w:u w:val="single"/>
          <w:lang w:val="uk-UA"/>
        </w:rPr>
        <w:t xml:space="preserve">                                                       Єрузель Катерині-Аліні Олександрівній</w:t>
      </w:r>
      <w:r>
        <w:rPr>
          <w:i/>
          <w:sz w:val="24"/>
          <w:szCs w:val="24"/>
          <w:u w:val="single"/>
          <w:lang w:val="uk-UA"/>
        </w:rPr>
        <w:tab/>
      </w:r>
      <w:r>
        <w:rPr>
          <w:i/>
          <w:sz w:val="24"/>
          <w:szCs w:val="24"/>
          <w:u w:val="single"/>
          <w:lang w:val="uk-UA"/>
        </w:rPr>
        <w:tab/>
      </w:r>
      <w:r>
        <w:rPr>
          <w:i/>
          <w:sz w:val="24"/>
          <w:szCs w:val="24"/>
          <w:u w:val="single"/>
          <w:lang w:val="uk-UA"/>
        </w:rPr>
        <w:tab/>
        <w:t xml:space="preserve">                                                                                               </w:t>
      </w:r>
    </w:p>
    <w:p w:rsidR="00146B2D" w:rsidRPr="00134A6B" w:rsidRDefault="00146B2D" w:rsidP="00146B2D">
      <w:pPr>
        <w:jc w:val="center"/>
        <w:rPr>
          <w:sz w:val="23"/>
          <w:szCs w:val="23"/>
          <w:vertAlign w:val="superscript"/>
          <w:lang w:val="uk-UA"/>
        </w:rPr>
      </w:pPr>
      <w:r>
        <w:rPr>
          <w:sz w:val="23"/>
          <w:szCs w:val="23"/>
          <w:vertAlign w:val="superscript"/>
          <w:lang w:val="uk-UA"/>
        </w:rPr>
        <w:t>(прізвище, ім’я, по батькові)</w:t>
      </w:r>
    </w:p>
    <w:p w:rsidR="00146B2D" w:rsidRPr="00D85F72" w:rsidRDefault="00146B2D" w:rsidP="00146B2D">
      <w:pPr>
        <w:jc w:val="both"/>
        <w:rPr>
          <w:iCs/>
          <w:sz w:val="23"/>
          <w:szCs w:val="23"/>
          <w:u w:val="single"/>
          <w:lang w:val="uk-UA"/>
        </w:rPr>
      </w:pPr>
      <w:r>
        <w:rPr>
          <w:b/>
          <w:sz w:val="23"/>
          <w:szCs w:val="23"/>
          <w:lang w:val="uk-UA"/>
        </w:rPr>
        <w:t xml:space="preserve">1.Тема роботи: </w:t>
      </w:r>
      <w:r w:rsidRPr="00D85F72">
        <w:rPr>
          <w:iCs/>
          <w:sz w:val="24"/>
          <w:szCs w:val="24"/>
          <w:u w:val="single"/>
          <w:lang w:val="uk-UA"/>
        </w:rPr>
        <w:t>Використання соціальних мереж та професійних платформ для корпоративних комунікацій (на прикладі ФОП "Новий сезон")</w:t>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p>
    <w:p w:rsidR="00146B2D" w:rsidRPr="00D85F72" w:rsidRDefault="00146B2D" w:rsidP="00146B2D">
      <w:pPr>
        <w:rPr>
          <w:iCs/>
          <w:sz w:val="23"/>
          <w:szCs w:val="23"/>
          <w:u w:val="single"/>
          <w:lang w:val="uk-UA"/>
        </w:rPr>
      </w:pPr>
      <w:r w:rsidRPr="00D85F72">
        <w:rPr>
          <w:b/>
          <w:iCs/>
          <w:sz w:val="23"/>
          <w:szCs w:val="23"/>
          <w:lang w:val="uk-UA"/>
        </w:rPr>
        <w:t>керівник роботи</w:t>
      </w:r>
      <w:r w:rsidRPr="00D85F72">
        <w:rPr>
          <w:iCs/>
          <w:sz w:val="23"/>
          <w:szCs w:val="23"/>
          <w:lang w:val="uk-UA"/>
        </w:rPr>
        <w:t xml:space="preserve">  </w:t>
      </w:r>
      <w:r w:rsidRPr="00D85F72">
        <w:rPr>
          <w:iCs/>
          <w:sz w:val="23"/>
          <w:szCs w:val="23"/>
          <w:u w:val="single"/>
          <w:lang w:val="uk-UA"/>
        </w:rPr>
        <w:t xml:space="preserve">  </w:t>
      </w:r>
      <w:r w:rsidRPr="00D85F72">
        <w:rPr>
          <w:iCs/>
          <w:sz w:val="24"/>
          <w:szCs w:val="23"/>
          <w:u w:val="single"/>
          <w:lang w:val="uk-UA"/>
        </w:rPr>
        <w:t xml:space="preserve">доц. Лаба О.В.               </w:t>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t xml:space="preserve"> </w:t>
      </w:r>
      <w:r w:rsidRPr="00D85F72">
        <w:rPr>
          <w:iCs/>
          <w:sz w:val="23"/>
          <w:szCs w:val="23"/>
          <w:u w:val="single"/>
          <w:lang w:val="uk-UA"/>
        </w:rPr>
        <w:tab/>
      </w:r>
    </w:p>
    <w:p w:rsidR="00146B2D" w:rsidRPr="00D85F72" w:rsidRDefault="00146B2D" w:rsidP="00146B2D">
      <w:pPr>
        <w:rPr>
          <w:b/>
          <w:iCs/>
          <w:sz w:val="23"/>
          <w:szCs w:val="23"/>
          <w:u w:val="single"/>
          <w:lang w:val="uk-UA"/>
        </w:rPr>
      </w:pPr>
      <w:r w:rsidRPr="00D85F72">
        <w:rPr>
          <w:b/>
          <w:iCs/>
          <w:sz w:val="23"/>
          <w:szCs w:val="23"/>
          <w:lang w:val="uk-UA"/>
        </w:rPr>
        <w:t xml:space="preserve">затверджено наказом закладу вищої освіти  від  </w:t>
      </w:r>
      <w:r w:rsidRPr="00D85F72">
        <w:rPr>
          <w:b/>
          <w:iCs/>
          <w:sz w:val="24"/>
          <w:szCs w:val="23"/>
          <w:lang w:val="uk-UA"/>
        </w:rPr>
        <w:t>«</w:t>
      </w:r>
      <w:r w:rsidRPr="00D85F72">
        <w:rPr>
          <w:iCs/>
          <w:sz w:val="24"/>
          <w:szCs w:val="23"/>
          <w:u w:val="single"/>
          <w:lang w:val="uk-UA"/>
        </w:rPr>
        <w:t>30</w:t>
      </w:r>
      <w:r w:rsidRPr="00D85F72">
        <w:rPr>
          <w:b/>
          <w:iCs/>
          <w:sz w:val="24"/>
          <w:szCs w:val="23"/>
          <w:lang w:val="uk-UA"/>
        </w:rPr>
        <w:t>»</w:t>
      </w:r>
      <w:r w:rsidRPr="00D85F72">
        <w:rPr>
          <w:iCs/>
          <w:sz w:val="24"/>
          <w:szCs w:val="23"/>
          <w:u w:val="single"/>
          <w:lang w:val="uk-UA"/>
        </w:rPr>
        <w:t xml:space="preserve">  березня 2026 р. № 30/8</w:t>
      </w:r>
      <w:r w:rsidRPr="00D85F72">
        <w:rPr>
          <w:iCs/>
          <w:sz w:val="23"/>
          <w:szCs w:val="23"/>
          <w:u w:val="single"/>
          <w:lang w:val="uk-UA"/>
        </w:rPr>
        <w:tab/>
      </w:r>
      <w:r w:rsidRPr="00D85F72">
        <w:rPr>
          <w:iCs/>
          <w:color w:val="FFFFFF"/>
          <w:sz w:val="23"/>
          <w:szCs w:val="23"/>
          <w:u w:val="single"/>
          <w:lang w:val="uk-UA"/>
        </w:rPr>
        <w:t>.</w:t>
      </w:r>
      <w:r w:rsidRPr="00D85F72">
        <w:rPr>
          <w:b/>
          <w:iCs/>
          <w:sz w:val="23"/>
          <w:szCs w:val="23"/>
          <w:u w:val="single"/>
          <w:lang w:val="uk-UA"/>
        </w:rPr>
        <w:t xml:space="preserve">    </w:t>
      </w:r>
    </w:p>
    <w:p w:rsidR="00146B2D" w:rsidRPr="00D85F72" w:rsidRDefault="00146B2D" w:rsidP="00146B2D">
      <w:pPr>
        <w:rPr>
          <w:iCs/>
          <w:sz w:val="23"/>
          <w:szCs w:val="23"/>
          <w:u w:val="single"/>
          <w:lang w:val="uk-UA"/>
        </w:rPr>
      </w:pPr>
      <w:r w:rsidRPr="00D85F72">
        <w:rPr>
          <w:b/>
          <w:iCs/>
          <w:sz w:val="23"/>
          <w:szCs w:val="23"/>
          <w:lang w:val="uk-UA"/>
        </w:rPr>
        <w:t xml:space="preserve">2. Строк подання студентом роботи: </w:t>
      </w:r>
      <w:r w:rsidRPr="00D85F72">
        <w:rPr>
          <w:iCs/>
          <w:sz w:val="23"/>
          <w:szCs w:val="23"/>
          <w:u w:val="single"/>
          <w:lang w:val="uk-UA"/>
        </w:rPr>
        <w:t xml:space="preserve">    </w:t>
      </w:r>
      <w:r w:rsidRPr="00D85F72">
        <w:rPr>
          <w:iCs/>
          <w:sz w:val="24"/>
          <w:szCs w:val="23"/>
          <w:u w:val="single"/>
          <w:lang w:val="uk-UA"/>
        </w:rPr>
        <w:t>05  червня 2026 р.</w:t>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t xml:space="preserve">             </w:t>
      </w:r>
      <w:r w:rsidRPr="00D85F72">
        <w:rPr>
          <w:iCs/>
          <w:sz w:val="23"/>
          <w:szCs w:val="23"/>
          <w:u w:val="single"/>
          <w:lang w:val="uk-UA"/>
        </w:rPr>
        <w:tab/>
      </w:r>
    </w:p>
    <w:p w:rsidR="00146B2D" w:rsidRPr="00D85F72" w:rsidRDefault="00146B2D" w:rsidP="00146B2D">
      <w:pPr>
        <w:jc w:val="both"/>
        <w:rPr>
          <w:iCs/>
          <w:sz w:val="24"/>
          <w:szCs w:val="23"/>
          <w:u w:val="single"/>
          <w:lang w:val="uk-UA"/>
        </w:rPr>
      </w:pPr>
      <w:r w:rsidRPr="00D85F72">
        <w:rPr>
          <w:b/>
          <w:iCs/>
          <w:sz w:val="23"/>
          <w:szCs w:val="23"/>
          <w:lang w:val="uk-UA"/>
        </w:rPr>
        <w:t>3. Вихідні дані до роботи:</w:t>
      </w:r>
      <w:r w:rsidRPr="00D85F72">
        <w:rPr>
          <w:iCs/>
          <w:sz w:val="23"/>
          <w:szCs w:val="23"/>
          <w:u w:val="single"/>
          <w:lang w:val="uk-UA"/>
        </w:rPr>
        <w:t xml:space="preserve"> </w:t>
      </w:r>
      <w:r w:rsidRPr="00D85F72">
        <w:rPr>
          <w:iCs/>
          <w:sz w:val="24"/>
          <w:szCs w:val="23"/>
          <w:u w:val="single"/>
          <w:lang w:val="uk-UA"/>
        </w:rPr>
        <w:t xml:space="preserve">навчальні підручники, посібники, періодичні видання,  </w:t>
      </w:r>
      <w:r w:rsidRPr="00D85F72">
        <w:rPr>
          <w:iCs/>
          <w:sz w:val="24"/>
          <w:szCs w:val="23"/>
          <w:u w:val="single"/>
          <w:lang w:val="uk-UA"/>
        </w:rPr>
        <w:tab/>
      </w:r>
      <w:r w:rsidRPr="00D85F72">
        <w:rPr>
          <w:iCs/>
          <w:sz w:val="24"/>
          <w:szCs w:val="23"/>
          <w:u w:val="single"/>
          <w:lang w:val="uk-UA"/>
        </w:rPr>
        <w:tab/>
        <w:t xml:space="preserve">   </w:t>
      </w:r>
    </w:p>
    <w:p w:rsidR="00146B2D" w:rsidRPr="00D85F72" w:rsidRDefault="00146B2D" w:rsidP="00146B2D">
      <w:pPr>
        <w:jc w:val="both"/>
        <w:rPr>
          <w:iCs/>
          <w:sz w:val="24"/>
          <w:szCs w:val="23"/>
          <w:u w:val="single"/>
          <w:lang w:val="uk-UA"/>
        </w:rPr>
      </w:pPr>
      <w:r w:rsidRPr="00D85F72">
        <w:rPr>
          <w:iCs/>
          <w:sz w:val="24"/>
          <w:szCs w:val="23"/>
          <w:u w:val="single"/>
          <w:lang w:val="uk-UA"/>
        </w:rPr>
        <w:t xml:space="preserve">нормативно-правові документи, довідники, словники, Інтернет-ресурси, матеріали </w:t>
      </w:r>
      <w:r w:rsidRPr="00D85F72">
        <w:rPr>
          <w:iCs/>
          <w:sz w:val="24"/>
          <w:szCs w:val="23"/>
          <w:u w:val="single"/>
          <w:lang w:val="uk-UA"/>
        </w:rPr>
        <w:tab/>
      </w:r>
    </w:p>
    <w:p w:rsidR="00146B2D" w:rsidRPr="008A33FA" w:rsidRDefault="00146B2D" w:rsidP="00146B2D">
      <w:pPr>
        <w:jc w:val="both"/>
        <w:rPr>
          <w:i/>
          <w:sz w:val="23"/>
          <w:szCs w:val="23"/>
          <w:u w:val="single"/>
          <w:lang w:val="uk-UA"/>
        </w:rPr>
      </w:pPr>
      <w:r w:rsidRPr="00D85F72">
        <w:rPr>
          <w:iCs/>
          <w:sz w:val="24"/>
          <w:szCs w:val="23"/>
          <w:u w:val="single"/>
          <w:lang w:val="uk-UA"/>
        </w:rPr>
        <w:t>конференцій тощо</w:t>
      </w:r>
      <w:r w:rsidRPr="00D85F72">
        <w:rPr>
          <w:iCs/>
          <w:sz w:val="24"/>
          <w:szCs w:val="23"/>
          <w:u w:val="single"/>
          <w:lang w:val="uk-UA"/>
        </w:rPr>
        <w:tab/>
      </w:r>
      <w:r w:rsidRPr="00D85F72">
        <w:rPr>
          <w:iCs/>
          <w:sz w:val="24"/>
          <w:szCs w:val="23"/>
          <w:u w:val="single"/>
          <w:lang w:val="uk-UA"/>
        </w:rPr>
        <w:tab/>
      </w:r>
      <w:r>
        <w:rPr>
          <w:i/>
          <w:sz w:val="24"/>
          <w:szCs w:val="23"/>
          <w:u w:val="single"/>
          <w:lang w:val="uk-UA"/>
        </w:rPr>
        <w:tab/>
      </w:r>
      <w:r>
        <w:rPr>
          <w:i/>
          <w:sz w:val="24"/>
          <w:szCs w:val="23"/>
          <w:u w:val="single"/>
          <w:lang w:val="uk-UA"/>
        </w:rPr>
        <w:tab/>
      </w:r>
      <w:r>
        <w:rPr>
          <w:i/>
          <w:sz w:val="24"/>
          <w:szCs w:val="23"/>
          <w:u w:val="single"/>
          <w:lang w:val="uk-UA"/>
        </w:rPr>
        <w:tab/>
      </w:r>
      <w:r>
        <w:rPr>
          <w:i/>
          <w:sz w:val="24"/>
          <w:szCs w:val="23"/>
          <w:u w:val="single"/>
          <w:lang w:val="uk-UA"/>
        </w:rPr>
        <w:tab/>
      </w:r>
      <w:r>
        <w:rPr>
          <w:i/>
          <w:sz w:val="23"/>
          <w:szCs w:val="23"/>
          <w:u w:val="single"/>
          <w:lang w:val="uk-UA"/>
        </w:rPr>
        <w:tab/>
      </w:r>
      <w:r>
        <w:rPr>
          <w:i/>
          <w:sz w:val="23"/>
          <w:szCs w:val="23"/>
          <w:u w:val="single"/>
          <w:lang w:val="uk-UA"/>
        </w:rPr>
        <w:tab/>
      </w:r>
      <w:r>
        <w:rPr>
          <w:i/>
          <w:sz w:val="23"/>
          <w:szCs w:val="23"/>
          <w:u w:val="single"/>
          <w:lang w:val="uk-UA"/>
        </w:rPr>
        <w:tab/>
      </w:r>
      <w:r>
        <w:rPr>
          <w:i/>
          <w:sz w:val="23"/>
          <w:szCs w:val="23"/>
          <w:u w:val="single"/>
          <w:lang w:val="uk-UA"/>
        </w:rPr>
        <w:tab/>
      </w:r>
      <w:r>
        <w:rPr>
          <w:i/>
          <w:sz w:val="23"/>
          <w:szCs w:val="23"/>
          <w:u w:val="single"/>
          <w:lang w:val="uk-UA"/>
        </w:rPr>
        <w:tab/>
      </w:r>
    </w:p>
    <w:p w:rsidR="00146B2D" w:rsidRPr="008A33FA" w:rsidRDefault="00146B2D" w:rsidP="00146B2D">
      <w:pPr>
        <w:jc w:val="both"/>
        <w:rPr>
          <w:b/>
          <w:sz w:val="23"/>
          <w:szCs w:val="23"/>
          <w:lang w:val="uk-UA"/>
        </w:rPr>
      </w:pPr>
      <w:r>
        <w:rPr>
          <w:b/>
          <w:sz w:val="23"/>
          <w:szCs w:val="23"/>
          <w:lang w:val="uk-UA"/>
        </w:rPr>
        <w:t>4. Зміст розрахунково-пояснювальної записки (перелік питань, які потрібно розробити):</w:t>
      </w:r>
    </w:p>
    <w:p w:rsidR="00146B2D" w:rsidRPr="008A33FA" w:rsidRDefault="00146B2D" w:rsidP="00146B2D">
      <w:pPr>
        <w:jc w:val="both"/>
        <w:rPr>
          <w:b/>
          <w:sz w:val="24"/>
          <w:szCs w:val="20"/>
          <w:lang w:val="uk-UA"/>
        </w:rPr>
      </w:pPr>
      <w:r>
        <w:rPr>
          <w:b/>
          <w:sz w:val="24"/>
          <w:szCs w:val="20"/>
          <w:lang w:val="uk-UA"/>
        </w:rPr>
        <w:t xml:space="preserve">РОЗДІЛ 1. ТЕОРЕТИЧНІ ОСНОВИ КОРПОРАТИВНИХ КОМУНІКАЦІЙ У СОЦІАЛЬНИХ МЕРЕЖАХ ТА ПРОФЕСІЙНИХ ПЛАТФОРМАХ </w:t>
      </w:r>
    </w:p>
    <w:p w:rsidR="00146B2D" w:rsidRPr="008A33FA" w:rsidRDefault="00146B2D" w:rsidP="00146B2D">
      <w:pPr>
        <w:jc w:val="both"/>
        <w:rPr>
          <w:bCs/>
          <w:sz w:val="24"/>
          <w:szCs w:val="20"/>
          <w:lang w:val="uk-UA"/>
        </w:rPr>
      </w:pPr>
      <w:r>
        <w:rPr>
          <w:bCs/>
          <w:sz w:val="24"/>
          <w:szCs w:val="20"/>
          <w:lang w:val="uk-UA"/>
        </w:rPr>
        <w:t>1.1.</w:t>
      </w:r>
      <w:r>
        <w:t xml:space="preserve"> </w:t>
      </w:r>
      <w:r>
        <w:rPr>
          <w:bCs/>
          <w:sz w:val="24"/>
          <w:szCs w:val="20"/>
          <w:lang w:val="uk-UA"/>
        </w:rPr>
        <w:t>Поняття корпоративних комунікацій та їх роль у сучасному бізнесі</w:t>
      </w:r>
    </w:p>
    <w:p w:rsidR="00146B2D" w:rsidRPr="008A33FA" w:rsidRDefault="00146B2D" w:rsidP="00146B2D">
      <w:pPr>
        <w:jc w:val="both"/>
        <w:rPr>
          <w:bCs/>
          <w:sz w:val="24"/>
          <w:szCs w:val="20"/>
          <w:lang w:val="uk-UA"/>
        </w:rPr>
      </w:pPr>
      <w:r>
        <w:rPr>
          <w:bCs/>
          <w:sz w:val="24"/>
          <w:szCs w:val="20"/>
          <w:lang w:val="uk-UA"/>
        </w:rPr>
        <w:t>1.2. Соціальні мережі як інструмент корпоративних комунікацій</w:t>
      </w:r>
    </w:p>
    <w:p w:rsidR="00146B2D" w:rsidRPr="008A33FA" w:rsidRDefault="00146B2D" w:rsidP="00146B2D">
      <w:pPr>
        <w:jc w:val="both"/>
        <w:rPr>
          <w:bCs/>
          <w:sz w:val="24"/>
          <w:szCs w:val="20"/>
          <w:lang w:val="uk-UA"/>
        </w:rPr>
      </w:pPr>
      <w:r>
        <w:rPr>
          <w:bCs/>
          <w:sz w:val="24"/>
          <w:szCs w:val="20"/>
          <w:lang w:val="uk-UA"/>
        </w:rPr>
        <w:t xml:space="preserve">1.3. Професійні платформи у системі бізнес-комунікацій </w:t>
      </w:r>
    </w:p>
    <w:p w:rsidR="00146B2D" w:rsidRPr="008A33FA" w:rsidRDefault="00146B2D" w:rsidP="00146B2D">
      <w:pPr>
        <w:jc w:val="both"/>
        <w:rPr>
          <w:b/>
          <w:sz w:val="24"/>
          <w:szCs w:val="20"/>
          <w:lang w:val="uk-UA"/>
        </w:rPr>
      </w:pPr>
      <w:r>
        <w:rPr>
          <w:b/>
          <w:sz w:val="24"/>
          <w:szCs w:val="20"/>
          <w:lang w:val="uk-UA"/>
        </w:rPr>
        <w:t>РОЗДІЛ 2. АНАЛІЗ ВИКОРИСТАННЯ СОЦІАЛЬНИХ МЕРЕЖ ТА ПРОФЕСІЙНИХ ПЛАТФОРМ У ДІЯЛЬНОСТІ ФОП «НОВИЙ СЕЗОН»</w:t>
      </w:r>
    </w:p>
    <w:p w:rsidR="00146B2D" w:rsidRPr="008A33FA" w:rsidRDefault="00146B2D" w:rsidP="00146B2D">
      <w:pPr>
        <w:jc w:val="both"/>
        <w:rPr>
          <w:bCs/>
          <w:sz w:val="24"/>
          <w:szCs w:val="20"/>
          <w:lang w:val="uk-UA"/>
        </w:rPr>
      </w:pPr>
      <w:r>
        <w:rPr>
          <w:bCs/>
          <w:sz w:val="24"/>
          <w:szCs w:val="20"/>
          <w:lang w:val="uk-UA"/>
        </w:rPr>
        <w:t>2.1</w:t>
      </w:r>
      <w:r>
        <w:t xml:space="preserve"> </w:t>
      </w:r>
      <w:r>
        <w:rPr>
          <w:bCs/>
          <w:sz w:val="24"/>
          <w:szCs w:val="20"/>
          <w:lang w:val="uk-UA"/>
        </w:rPr>
        <w:t xml:space="preserve">Загальна характеристика діяльності ФОП «Новий сезон» </w:t>
      </w:r>
    </w:p>
    <w:p w:rsidR="00146B2D" w:rsidRPr="008A33FA" w:rsidRDefault="00146B2D" w:rsidP="00146B2D">
      <w:pPr>
        <w:jc w:val="both"/>
        <w:rPr>
          <w:bCs/>
          <w:sz w:val="24"/>
          <w:szCs w:val="20"/>
          <w:lang w:val="uk-UA"/>
        </w:rPr>
      </w:pPr>
      <w:r>
        <w:rPr>
          <w:bCs/>
          <w:sz w:val="24"/>
          <w:szCs w:val="20"/>
          <w:lang w:val="uk-UA"/>
        </w:rPr>
        <w:t>2.2</w:t>
      </w:r>
      <w:r>
        <w:t xml:space="preserve"> </w:t>
      </w:r>
      <w:r>
        <w:rPr>
          <w:bCs/>
          <w:sz w:val="24"/>
          <w:szCs w:val="20"/>
          <w:lang w:val="uk-UA"/>
        </w:rPr>
        <w:t xml:space="preserve">Аналіз використання соціальних мереж у корпоративних комунікаціях підприємства </w:t>
      </w:r>
    </w:p>
    <w:p w:rsidR="00146B2D" w:rsidRPr="008A33FA" w:rsidRDefault="00146B2D" w:rsidP="00146B2D">
      <w:pPr>
        <w:jc w:val="both"/>
        <w:rPr>
          <w:bCs/>
          <w:sz w:val="24"/>
          <w:szCs w:val="20"/>
          <w:lang w:val="uk-UA"/>
        </w:rPr>
      </w:pPr>
      <w:r>
        <w:rPr>
          <w:bCs/>
          <w:sz w:val="24"/>
          <w:szCs w:val="20"/>
          <w:lang w:val="uk-UA"/>
        </w:rPr>
        <w:t>2.3</w:t>
      </w:r>
      <w:r>
        <w:t xml:space="preserve"> </w:t>
      </w:r>
      <w:r>
        <w:rPr>
          <w:bCs/>
          <w:sz w:val="24"/>
          <w:szCs w:val="20"/>
          <w:lang w:val="uk-UA"/>
        </w:rPr>
        <w:t xml:space="preserve">Рекомендації щодо вдосконалення використання соціальних мереж та професійних платформ у діяльності ФОП «Новий сезон» </w:t>
      </w:r>
    </w:p>
    <w:p w:rsidR="00146B2D" w:rsidRPr="008A33FA" w:rsidRDefault="00146B2D" w:rsidP="00146B2D">
      <w:pPr>
        <w:jc w:val="both"/>
        <w:rPr>
          <w:b/>
          <w:bCs/>
          <w:sz w:val="23"/>
          <w:szCs w:val="23"/>
          <w:lang w:val="uk-UA"/>
        </w:rPr>
      </w:pPr>
      <w:r>
        <w:rPr>
          <w:b/>
          <w:bCs/>
          <w:sz w:val="23"/>
          <w:szCs w:val="23"/>
          <w:lang w:val="uk-UA"/>
        </w:rPr>
        <w:t>5. Перелік графічного матеріалу (з точним зазначенням обов’язкових креслень):</w:t>
      </w:r>
    </w:p>
    <w:p w:rsidR="00146B2D" w:rsidRPr="00D85F72" w:rsidRDefault="00146B2D" w:rsidP="00146B2D">
      <w:pPr>
        <w:pStyle w:val="NormalWeb"/>
        <w:spacing w:before="0" w:beforeAutospacing="0" w:after="0" w:afterAutospacing="0"/>
        <w:jc w:val="both"/>
        <w:rPr>
          <w:bCs/>
          <w:iCs/>
          <w:color w:val="FFFFFF"/>
          <w:sz w:val="23"/>
          <w:szCs w:val="23"/>
          <w:u w:val="single"/>
          <w:lang w:val="uk-UA"/>
        </w:rPr>
      </w:pPr>
      <w:r w:rsidRPr="00D85F72">
        <w:rPr>
          <w:iCs/>
          <w:szCs w:val="23"/>
          <w:u w:val="single"/>
          <w:lang w:val="uk-UA"/>
        </w:rPr>
        <w:t xml:space="preserve"> рисунки – </w:t>
      </w:r>
      <w:r w:rsidR="00D85F72">
        <w:rPr>
          <w:iCs/>
          <w:szCs w:val="23"/>
          <w:u w:val="single"/>
          <w:lang w:val="uk-UA"/>
        </w:rPr>
        <w:t>5</w:t>
      </w:r>
      <w:r w:rsidRPr="00D85F72">
        <w:rPr>
          <w:iCs/>
          <w:szCs w:val="23"/>
          <w:u w:val="single"/>
          <w:lang w:val="uk-UA"/>
        </w:rPr>
        <w:t xml:space="preserve"> ; таблиці – </w:t>
      </w:r>
      <w:r w:rsidR="00D85F72">
        <w:rPr>
          <w:iCs/>
          <w:szCs w:val="23"/>
          <w:u w:val="single"/>
          <w:lang w:val="uk-UA"/>
        </w:rPr>
        <w:t>10</w:t>
      </w:r>
      <w:r w:rsidRPr="00D85F72">
        <w:rPr>
          <w:iCs/>
          <w:szCs w:val="23"/>
          <w:u w:val="single"/>
          <w:lang w:val="uk-UA"/>
        </w:rPr>
        <w:t>;</w:t>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r w:rsidRPr="00D85F72">
        <w:rPr>
          <w:iCs/>
          <w:sz w:val="23"/>
          <w:szCs w:val="23"/>
          <w:u w:val="single"/>
          <w:lang w:val="uk-UA"/>
        </w:rPr>
        <w:tab/>
      </w:r>
    </w:p>
    <w:p w:rsidR="00146B2D" w:rsidRPr="00134A6B" w:rsidRDefault="00146B2D" w:rsidP="00146B2D">
      <w:pPr>
        <w:pStyle w:val="NormalWeb"/>
        <w:spacing w:before="0" w:beforeAutospacing="0" w:after="0" w:afterAutospacing="0"/>
        <w:rPr>
          <w:b/>
          <w:bCs/>
          <w:sz w:val="23"/>
          <w:szCs w:val="23"/>
          <w:lang w:val="uk-UA"/>
        </w:rPr>
      </w:pPr>
      <w:r>
        <w:rPr>
          <w:b/>
          <w:bCs/>
          <w:sz w:val="23"/>
          <w:szCs w:val="23"/>
          <w:lang w:val="uk-UA"/>
        </w:rPr>
        <w:t>6. Консультанти розділів роботи: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3757"/>
        <w:gridCol w:w="1241"/>
        <w:gridCol w:w="1241"/>
      </w:tblGrid>
      <w:tr w:rsidR="00146B2D" w:rsidRPr="00134A6B" w:rsidTr="00D2520C">
        <w:trPr>
          <w:trHeight w:val="274"/>
        </w:trPr>
        <w:tc>
          <w:tcPr>
            <w:tcW w:w="3229" w:type="dxa"/>
            <w:vMerge w:val="restart"/>
          </w:tcPr>
          <w:p w:rsidR="00146B2D" w:rsidRPr="00134A6B" w:rsidRDefault="00146B2D" w:rsidP="00D2520C">
            <w:pPr>
              <w:pStyle w:val="NormalWeb"/>
              <w:spacing w:before="0" w:beforeAutospacing="0" w:after="0" w:afterAutospacing="0"/>
              <w:jc w:val="center"/>
              <w:rPr>
                <w:b/>
                <w:bCs/>
                <w:sz w:val="23"/>
                <w:szCs w:val="23"/>
                <w:lang w:val="uk-UA"/>
              </w:rPr>
            </w:pPr>
            <w:r>
              <w:rPr>
                <w:b/>
                <w:bCs/>
                <w:sz w:val="23"/>
                <w:szCs w:val="23"/>
                <w:lang w:val="uk-UA"/>
              </w:rPr>
              <w:t>Розділ</w:t>
            </w:r>
          </w:p>
        </w:tc>
        <w:tc>
          <w:tcPr>
            <w:tcW w:w="3757" w:type="dxa"/>
            <w:vMerge w:val="restart"/>
          </w:tcPr>
          <w:p w:rsidR="00146B2D" w:rsidRPr="00134A6B" w:rsidRDefault="00146B2D" w:rsidP="00D2520C">
            <w:pPr>
              <w:pStyle w:val="NormalWeb"/>
              <w:spacing w:before="0" w:beforeAutospacing="0" w:after="0" w:afterAutospacing="0"/>
              <w:jc w:val="center"/>
              <w:rPr>
                <w:b/>
                <w:bCs/>
                <w:sz w:val="23"/>
                <w:szCs w:val="23"/>
                <w:lang w:val="uk-UA"/>
              </w:rPr>
            </w:pPr>
            <w:r>
              <w:rPr>
                <w:b/>
                <w:bCs/>
                <w:sz w:val="23"/>
                <w:szCs w:val="23"/>
                <w:lang w:val="uk-UA"/>
              </w:rPr>
              <w:t>Прізвище, ініціали та посада консультанта</w:t>
            </w:r>
          </w:p>
        </w:tc>
        <w:tc>
          <w:tcPr>
            <w:tcW w:w="2482" w:type="dxa"/>
            <w:gridSpan w:val="2"/>
          </w:tcPr>
          <w:p w:rsidR="00146B2D" w:rsidRPr="00134A6B" w:rsidRDefault="00146B2D" w:rsidP="00D2520C">
            <w:pPr>
              <w:pStyle w:val="NormalWeb"/>
              <w:spacing w:before="0" w:beforeAutospacing="0" w:after="0" w:afterAutospacing="0"/>
              <w:jc w:val="center"/>
              <w:rPr>
                <w:b/>
                <w:bCs/>
                <w:sz w:val="23"/>
                <w:szCs w:val="23"/>
                <w:lang w:val="uk-UA"/>
              </w:rPr>
            </w:pPr>
            <w:r>
              <w:rPr>
                <w:b/>
                <w:bCs/>
                <w:sz w:val="23"/>
                <w:szCs w:val="23"/>
                <w:lang w:val="uk-UA"/>
              </w:rPr>
              <w:t>Підпис, дата</w:t>
            </w:r>
          </w:p>
        </w:tc>
      </w:tr>
      <w:tr w:rsidR="00146B2D" w:rsidRPr="00134A6B" w:rsidTr="00D2520C">
        <w:trPr>
          <w:trHeight w:val="274"/>
        </w:trPr>
        <w:tc>
          <w:tcPr>
            <w:tcW w:w="3229" w:type="dxa"/>
            <w:vMerge/>
          </w:tcPr>
          <w:p w:rsidR="00146B2D" w:rsidRPr="00134A6B" w:rsidRDefault="00146B2D" w:rsidP="00D2520C">
            <w:pPr>
              <w:pStyle w:val="NormalWeb"/>
              <w:spacing w:before="0" w:beforeAutospacing="0" w:after="0" w:afterAutospacing="0"/>
              <w:jc w:val="center"/>
              <w:rPr>
                <w:b/>
                <w:bCs/>
                <w:sz w:val="23"/>
                <w:szCs w:val="23"/>
                <w:lang w:val="uk-UA"/>
              </w:rPr>
            </w:pPr>
          </w:p>
        </w:tc>
        <w:tc>
          <w:tcPr>
            <w:tcW w:w="3757" w:type="dxa"/>
            <w:vMerge/>
          </w:tcPr>
          <w:p w:rsidR="00146B2D" w:rsidRPr="00134A6B" w:rsidRDefault="00146B2D" w:rsidP="00D2520C">
            <w:pPr>
              <w:pStyle w:val="NormalWeb"/>
              <w:spacing w:before="0" w:beforeAutospacing="0" w:after="0" w:afterAutospacing="0"/>
              <w:jc w:val="center"/>
              <w:rPr>
                <w:b/>
                <w:bCs/>
                <w:sz w:val="23"/>
                <w:szCs w:val="23"/>
                <w:lang w:val="uk-UA"/>
              </w:rPr>
            </w:pPr>
          </w:p>
        </w:tc>
        <w:tc>
          <w:tcPr>
            <w:tcW w:w="1241" w:type="dxa"/>
          </w:tcPr>
          <w:p w:rsidR="00146B2D" w:rsidRPr="00134A6B" w:rsidRDefault="00146B2D" w:rsidP="00D2520C">
            <w:pPr>
              <w:pStyle w:val="NormalWeb"/>
              <w:spacing w:before="0" w:beforeAutospacing="0" w:after="0" w:afterAutospacing="0"/>
              <w:jc w:val="center"/>
              <w:rPr>
                <w:b/>
                <w:bCs/>
                <w:sz w:val="23"/>
                <w:szCs w:val="23"/>
                <w:lang w:val="uk-UA"/>
              </w:rPr>
            </w:pPr>
            <w:r>
              <w:rPr>
                <w:b/>
                <w:bCs/>
                <w:sz w:val="23"/>
                <w:szCs w:val="23"/>
                <w:lang w:val="uk-UA"/>
              </w:rPr>
              <w:t>Завдання видав</w:t>
            </w:r>
          </w:p>
        </w:tc>
        <w:tc>
          <w:tcPr>
            <w:tcW w:w="1241" w:type="dxa"/>
          </w:tcPr>
          <w:p w:rsidR="00146B2D" w:rsidRPr="00134A6B" w:rsidRDefault="00146B2D" w:rsidP="00D2520C">
            <w:pPr>
              <w:pStyle w:val="NormalWeb"/>
              <w:spacing w:before="0" w:beforeAutospacing="0" w:after="0" w:afterAutospacing="0"/>
              <w:jc w:val="center"/>
              <w:rPr>
                <w:b/>
                <w:bCs/>
                <w:sz w:val="23"/>
                <w:szCs w:val="23"/>
                <w:lang w:val="uk-UA"/>
              </w:rPr>
            </w:pPr>
            <w:r>
              <w:rPr>
                <w:b/>
                <w:bCs/>
                <w:sz w:val="23"/>
                <w:szCs w:val="23"/>
                <w:lang w:val="uk-UA"/>
              </w:rPr>
              <w:t>Завдання</w:t>
            </w:r>
          </w:p>
          <w:p w:rsidR="00146B2D" w:rsidRPr="00134A6B" w:rsidRDefault="00146B2D" w:rsidP="00D2520C">
            <w:pPr>
              <w:pStyle w:val="NormalWeb"/>
              <w:spacing w:before="0" w:beforeAutospacing="0" w:after="0" w:afterAutospacing="0"/>
              <w:jc w:val="center"/>
              <w:rPr>
                <w:b/>
                <w:bCs/>
                <w:sz w:val="23"/>
                <w:szCs w:val="23"/>
                <w:lang w:val="uk-UA"/>
              </w:rPr>
            </w:pPr>
            <w:r>
              <w:rPr>
                <w:b/>
                <w:bCs/>
                <w:sz w:val="23"/>
                <w:szCs w:val="23"/>
                <w:lang w:val="uk-UA"/>
              </w:rPr>
              <w:t xml:space="preserve"> прийняв</w:t>
            </w:r>
          </w:p>
        </w:tc>
      </w:tr>
      <w:tr w:rsidR="00146B2D" w:rsidRPr="00134A6B" w:rsidTr="00D2520C">
        <w:tc>
          <w:tcPr>
            <w:tcW w:w="3229" w:type="dxa"/>
          </w:tcPr>
          <w:p w:rsidR="00146B2D" w:rsidRPr="00134A6B" w:rsidRDefault="00146B2D" w:rsidP="00D2520C">
            <w:pPr>
              <w:pStyle w:val="NormalWeb"/>
              <w:spacing w:before="0" w:beforeAutospacing="0" w:after="0" w:afterAutospacing="0"/>
              <w:rPr>
                <w:bCs/>
                <w:sz w:val="23"/>
                <w:szCs w:val="23"/>
                <w:lang w:val="uk-UA"/>
              </w:rPr>
            </w:pPr>
            <w:r>
              <w:rPr>
                <w:bCs/>
                <w:sz w:val="23"/>
                <w:szCs w:val="23"/>
                <w:lang w:val="uk-UA"/>
              </w:rPr>
              <w:t>Вступ</w:t>
            </w:r>
          </w:p>
        </w:tc>
        <w:tc>
          <w:tcPr>
            <w:tcW w:w="3757" w:type="dxa"/>
          </w:tcPr>
          <w:p w:rsidR="00146B2D" w:rsidRPr="00AC1E32" w:rsidRDefault="00146B2D" w:rsidP="00D2520C">
            <w:pPr>
              <w:pStyle w:val="NormalWeb"/>
              <w:spacing w:before="0" w:beforeAutospacing="0" w:after="0" w:afterAutospacing="0"/>
              <w:rPr>
                <w:bCs/>
                <w:color w:val="FF0000"/>
                <w:sz w:val="23"/>
                <w:szCs w:val="23"/>
                <w:lang w:val="uk-UA"/>
              </w:rPr>
            </w:pPr>
            <w:r>
              <w:rPr>
                <w:bCs/>
                <w:color w:val="000000" w:themeColor="text1"/>
                <w:sz w:val="23"/>
                <w:szCs w:val="23"/>
                <w:lang w:val="uk-UA"/>
              </w:rPr>
              <w:t>Бурківська Л.Ю</w:t>
            </w:r>
          </w:p>
        </w:tc>
        <w:tc>
          <w:tcPr>
            <w:tcW w:w="1241" w:type="dxa"/>
          </w:tcPr>
          <w:p w:rsidR="00146B2D" w:rsidRPr="00134A6B" w:rsidRDefault="00146B2D" w:rsidP="00D2520C">
            <w:pPr>
              <w:pStyle w:val="NormalWeb"/>
              <w:spacing w:before="0" w:beforeAutospacing="0" w:after="0" w:afterAutospacing="0"/>
              <w:rPr>
                <w:bCs/>
                <w:sz w:val="23"/>
                <w:szCs w:val="23"/>
                <w:lang w:val="uk-UA"/>
              </w:rPr>
            </w:pPr>
          </w:p>
        </w:tc>
        <w:tc>
          <w:tcPr>
            <w:tcW w:w="1241" w:type="dxa"/>
          </w:tcPr>
          <w:p w:rsidR="00146B2D" w:rsidRPr="00134A6B" w:rsidRDefault="00146B2D" w:rsidP="00D2520C">
            <w:pPr>
              <w:pStyle w:val="NormalWeb"/>
              <w:spacing w:before="0" w:beforeAutospacing="0" w:after="0" w:afterAutospacing="0"/>
              <w:rPr>
                <w:bCs/>
                <w:sz w:val="23"/>
                <w:szCs w:val="23"/>
                <w:lang w:val="uk-UA"/>
              </w:rPr>
            </w:pPr>
          </w:p>
        </w:tc>
      </w:tr>
      <w:tr w:rsidR="00146B2D" w:rsidRPr="00134A6B" w:rsidTr="00D2520C">
        <w:tc>
          <w:tcPr>
            <w:tcW w:w="3229" w:type="dxa"/>
          </w:tcPr>
          <w:p w:rsidR="00146B2D" w:rsidRPr="00134A6B" w:rsidRDefault="00146B2D" w:rsidP="00D2520C">
            <w:pPr>
              <w:pStyle w:val="NormalWeb"/>
              <w:spacing w:before="0" w:beforeAutospacing="0" w:after="0" w:afterAutospacing="0"/>
              <w:rPr>
                <w:bCs/>
                <w:sz w:val="23"/>
                <w:szCs w:val="23"/>
                <w:lang w:val="uk-UA"/>
              </w:rPr>
            </w:pPr>
            <w:r>
              <w:rPr>
                <w:bCs/>
                <w:sz w:val="23"/>
                <w:szCs w:val="23"/>
                <w:lang w:val="uk-UA"/>
              </w:rPr>
              <w:t>Розділ 1, 2</w:t>
            </w:r>
          </w:p>
        </w:tc>
        <w:tc>
          <w:tcPr>
            <w:tcW w:w="3757" w:type="dxa"/>
          </w:tcPr>
          <w:p w:rsidR="00146B2D" w:rsidRPr="00AC1E32" w:rsidRDefault="00146B2D" w:rsidP="00D2520C">
            <w:pPr>
              <w:pStyle w:val="NormalWeb"/>
              <w:spacing w:before="0" w:beforeAutospacing="0" w:after="0" w:afterAutospacing="0"/>
              <w:rPr>
                <w:bCs/>
                <w:color w:val="FF0000"/>
                <w:sz w:val="23"/>
                <w:szCs w:val="23"/>
                <w:lang w:val="en-US"/>
              </w:rPr>
            </w:pPr>
            <w:r>
              <w:rPr>
                <w:bCs/>
                <w:color w:val="000000" w:themeColor="text1"/>
                <w:sz w:val="23"/>
                <w:szCs w:val="23"/>
                <w:lang w:val="uk-UA"/>
              </w:rPr>
              <w:t>Бурківська Л.Ю</w:t>
            </w:r>
          </w:p>
        </w:tc>
        <w:tc>
          <w:tcPr>
            <w:tcW w:w="1241" w:type="dxa"/>
          </w:tcPr>
          <w:p w:rsidR="00146B2D" w:rsidRPr="00134A6B" w:rsidRDefault="00146B2D" w:rsidP="00D2520C">
            <w:pPr>
              <w:pStyle w:val="NormalWeb"/>
              <w:spacing w:before="0" w:beforeAutospacing="0" w:after="0" w:afterAutospacing="0"/>
              <w:rPr>
                <w:bCs/>
                <w:sz w:val="23"/>
                <w:szCs w:val="23"/>
                <w:lang w:val="uk-UA"/>
              </w:rPr>
            </w:pPr>
          </w:p>
        </w:tc>
        <w:tc>
          <w:tcPr>
            <w:tcW w:w="1241" w:type="dxa"/>
          </w:tcPr>
          <w:p w:rsidR="00146B2D" w:rsidRPr="00134A6B" w:rsidRDefault="00146B2D" w:rsidP="00D2520C">
            <w:pPr>
              <w:pStyle w:val="NormalWeb"/>
              <w:spacing w:before="0" w:beforeAutospacing="0" w:after="0" w:afterAutospacing="0"/>
              <w:rPr>
                <w:bCs/>
                <w:sz w:val="23"/>
                <w:szCs w:val="23"/>
                <w:lang w:val="uk-UA"/>
              </w:rPr>
            </w:pPr>
          </w:p>
        </w:tc>
      </w:tr>
      <w:tr w:rsidR="00146B2D" w:rsidRPr="00134A6B" w:rsidTr="00D2520C">
        <w:tc>
          <w:tcPr>
            <w:tcW w:w="3229" w:type="dxa"/>
          </w:tcPr>
          <w:p w:rsidR="00146B2D" w:rsidRPr="00134A6B" w:rsidRDefault="00146B2D" w:rsidP="00D2520C">
            <w:pPr>
              <w:pStyle w:val="NormalWeb"/>
              <w:spacing w:before="0" w:beforeAutospacing="0" w:after="0" w:afterAutospacing="0"/>
              <w:rPr>
                <w:bCs/>
                <w:sz w:val="23"/>
                <w:szCs w:val="23"/>
                <w:lang w:val="uk-UA"/>
              </w:rPr>
            </w:pPr>
            <w:r>
              <w:rPr>
                <w:bCs/>
                <w:sz w:val="23"/>
                <w:szCs w:val="23"/>
                <w:lang w:val="uk-UA"/>
              </w:rPr>
              <w:t>Висновки</w:t>
            </w:r>
          </w:p>
        </w:tc>
        <w:tc>
          <w:tcPr>
            <w:tcW w:w="3757" w:type="dxa"/>
          </w:tcPr>
          <w:p w:rsidR="00146B2D" w:rsidRPr="00134A6B" w:rsidRDefault="00146B2D" w:rsidP="00D2520C">
            <w:pPr>
              <w:pStyle w:val="NormalWeb"/>
              <w:spacing w:before="0" w:beforeAutospacing="0" w:after="0" w:afterAutospacing="0"/>
              <w:rPr>
                <w:bCs/>
                <w:sz w:val="23"/>
                <w:szCs w:val="23"/>
                <w:lang w:val="uk-UA"/>
              </w:rPr>
            </w:pPr>
            <w:r>
              <w:rPr>
                <w:bCs/>
                <w:color w:val="000000" w:themeColor="text1"/>
                <w:sz w:val="23"/>
                <w:szCs w:val="23"/>
                <w:lang w:val="uk-UA"/>
              </w:rPr>
              <w:t>Бурківська Л.Ю</w:t>
            </w:r>
          </w:p>
        </w:tc>
        <w:tc>
          <w:tcPr>
            <w:tcW w:w="1241" w:type="dxa"/>
          </w:tcPr>
          <w:p w:rsidR="00146B2D" w:rsidRPr="00134A6B" w:rsidRDefault="00146B2D" w:rsidP="00D2520C">
            <w:pPr>
              <w:pStyle w:val="NormalWeb"/>
              <w:spacing w:before="0" w:beforeAutospacing="0" w:after="0" w:afterAutospacing="0"/>
              <w:rPr>
                <w:bCs/>
                <w:sz w:val="23"/>
                <w:szCs w:val="23"/>
                <w:lang w:val="uk-UA"/>
              </w:rPr>
            </w:pPr>
          </w:p>
        </w:tc>
        <w:tc>
          <w:tcPr>
            <w:tcW w:w="1241" w:type="dxa"/>
          </w:tcPr>
          <w:p w:rsidR="00146B2D" w:rsidRPr="00134A6B" w:rsidRDefault="00146B2D" w:rsidP="00D2520C">
            <w:pPr>
              <w:pStyle w:val="NormalWeb"/>
              <w:spacing w:before="0" w:beforeAutospacing="0" w:after="0" w:afterAutospacing="0"/>
              <w:rPr>
                <w:bCs/>
                <w:sz w:val="23"/>
                <w:szCs w:val="23"/>
                <w:lang w:val="uk-UA"/>
              </w:rPr>
            </w:pPr>
          </w:p>
        </w:tc>
      </w:tr>
      <w:tr w:rsidR="00146B2D" w:rsidRPr="00134A6B" w:rsidTr="00D2520C">
        <w:tc>
          <w:tcPr>
            <w:tcW w:w="3229" w:type="dxa"/>
          </w:tcPr>
          <w:p w:rsidR="00146B2D" w:rsidRPr="00134A6B" w:rsidRDefault="00146B2D" w:rsidP="00D2520C">
            <w:pPr>
              <w:pStyle w:val="NormalWeb"/>
              <w:spacing w:before="0" w:beforeAutospacing="0" w:after="0" w:afterAutospacing="0"/>
              <w:rPr>
                <w:bCs/>
                <w:sz w:val="23"/>
                <w:szCs w:val="23"/>
                <w:lang w:val="uk-UA"/>
              </w:rPr>
            </w:pPr>
            <w:r>
              <w:rPr>
                <w:bCs/>
                <w:sz w:val="23"/>
                <w:szCs w:val="23"/>
                <w:lang w:val="uk-UA"/>
              </w:rPr>
              <w:t>Перелік використаних джерел</w:t>
            </w:r>
          </w:p>
        </w:tc>
        <w:tc>
          <w:tcPr>
            <w:tcW w:w="3757" w:type="dxa"/>
          </w:tcPr>
          <w:p w:rsidR="00146B2D" w:rsidRPr="00134A6B" w:rsidRDefault="00146B2D" w:rsidP="00D2520C">
            <w:pPr>
              <w:pStyle w:val="NormalWeb"/>
              <w:spacing w:before="0" w:beforeAutospacing="0" w:after="0" w:afterAutospacing="0"/>
              <w:rPr>
                <w:bCs/>
                <w:sz w:val="23"/>
                <w:szCs w:val="23"/>
                <w:lang w:val="uk-UA"/>
              </w:rPr>
            </w:pPr>
            <w:r>
              <w:rPr>
                <w:bCs/>
                <w:color w:val="000000" w:themeColor="text1"/>
                <w:sz w:val="23"/>
                <w:szCs w:val="23"/>
                <w:lang w:val="uk-UA"/>
              </w:rPr>
              <w:t>Бурківська Л.Ю</w:t>
            </w:r>
          </w:p>
        </w:tc>
        <w:tc>
          <w:tcPr>
            <w:tcW w:w="1241" w:type="dxa"/>
          </w:tcPr>
          <w:p w:rsidR="00146B2D" w:rsidRPr="00134A6B" w:rsidRDefault="00146B2D" w:rsidP="00D2520C">
            <w:pPr>
              <w:pStyle w:val="NormalWeb"/>
              <w:spacing w:before="0" w:beforeAutospacing="0" w:after="0" w:afterAutospacing="0"/>
              <w:rPr>
                <w:bCs/>
                <w:sz w:val="23"/>
                <w:szCs w:val="23"/>
                <w:lang w:val="uk-UA"/>
              </w:rPr>
            </w:pPr>
          </w:p>
        </w:tc>
        <w:tc>
          <w:tcPr>
            <w:tcW w:w="1241" w:type="dxa"/>
          </w:tcPr>
          <w:p w:rsidR="00146B2D" w:rsidRPr="00134A6B" w:rsidRDefault="00146B2D" w:rsidP="00D2520C">
            <w:pPr>
              <w:pStyle w:val="NormalWeb"/>
              <w:spacing w:before="0" w:beforeAutospacing="0" w:after="0" w:afterAutospacing="0"/>
              <w:rPr>
                <w:bCs/>
                <w:sz w:val="23"/>
                <w:szCs w:val="23"/>
                <w:lang w:val="uk-UA"/>
              </w:rPr>
            </w:pPr>
          </w:p>
        </w:tc>
      </w:tr>
    </w:tbl>
    <w:p w:rsidR="00146B2D" w:rsidRPr="00134A6B" w:rsidRDefault="00146B2D" w:rsidP="00146B2D">
      <w:pPr>
        <w:pStyle w:val="Heading9"/>
        <w:spacing w:before="0"/>
        <w:rPr>
          <w:rFonts w:ascii="Times New Roman" w:hAnsi="Times New Roman"/>
          <w:b/>
          <w:bCs/>
          <w:i w:val="0"/>
          <w:sz w:val="12"/>
          <w:szCs w:val="12"/>
        </w:rPr>
      </w:pPr>
    </w:p>
    <w:p w:rsidR="00146B2D" w:rsidRDefault="00146B2D" w:rsidP="00146B2D">
      <w:pPr>
        <w:pStyle w:val="Heading9"/>
        <w:spacing w:before="0"/>
        <w:rPr>
          <w:rFonts w:ascii="Times New Roman" w:hAnsi="Times New Roman"/>
          <w:sz w:val="23"/>
          <w:szCs w:val="23"/>
        </w:rPr>
      </w:pPr>
      <w:r>
        <w:rPr>
          <w:rFonts w:ascii="Times New Roman" w:hAnsi="Times New Roman"/>
          <w:b/>
          <w:bCs/>
          <w:i w:val="0"/>
          <w:color w:val="auto"/>
          <w:sz w:val="23"/>
          <w:szCs w:val="23"/>
        </w:rPr>
        <w:t xml:space="preserve">7. </w:t>
      </w:r>
      <w:r>
        <w:rPr>
          <w:rFonts w:ascii="Times New Roman" w:hAnsi="Times New Roman"/>
          <w:b/>
          <w:i w:val="0"/>
          <w:color w:val="auto"/>
          <w:sz w:val="24"/>
          <w:szCs w:val="24"/>
        </w:rPr>
        <w:t>Дата видачі завдання:</w:t>
      </w:r>
      <w:r>
        <w:rPr>
          <w:rFonts w:ascii="Times New Roman" w:hAnsi="Times New Roman"/>
          <w:i w:val="0"/>
          <w:color w:val="auto"/>
          <w:sz w:val="24"/>
          <w:szCs w:val="24"/>
          <w:u w:val="single"/>
        </w:rPr>
        <w:t xml:space="preserve">            </w:t>
      </w:r>
      <w:r>
        <w:rPr>
          <w:rFonts w:ascii="Times New Roman" w:hAnsi="Times New Roman"/>
          <w:color w:val="auto"/>
          <w:sz w:val="24"/>
          <w:szCs w:val="24"/>
          <w:u w:val="single"/>
        </w:rPr>
        <w:t>14 січня 2026 р.</w:t>
      </w:r>
      <w:r>
        <w:rPr>
          <w:rFonts w:ascii="Times New Roman" w:hAnsi="Times New Roman"/>
          <w:i w:val="0"/>
          <w:color w:val="auto"/>
          <w:sz w:val="24"/>
          <w:szCs w:val="24"/>
          <w:u w:val="single"/>
        </w:rPr>
        <w:tab/>
      </w:r>
      <w:r>
        <w:rPr>
          <w:rFonts w:ascii="Times New Roman" w:hAnsi="Times New Roman"/>
          <w:i w:val="0"/>
          <w:color w:val="auto"/>
          <w:sz w:val="24"/>
          <w:szCs w:val="24"/>
          <w:u w:val="single"/>
        </w:rPr>
        <w:tab/>
      </w:r>
      <w:r>
        <w:rPr>
          <w:rFonts w:ascii="Times New Roman" w:hAnsi="Times New Roman"/>
          <w:i w:val="0"/>
          <w:color w:val="auto"/>
          <w:sz w:val="24"/>
          <w:szCs w:val="24"/>
          <w:u w:val="single"/>
        </w:rPr>
        <w:tab/>
      </w:r>
      <w:r>
        <w:rPr>
          <w:rFonts w:ascii="Times New Roman" w:hAnsi="Times New Roman"/>
          <w:i w:val="0"/>
          <w:color w:val="auto"/>
          <w:sz w:val="24"/>
          <w:szCs w:val="24"/>
          <w:u w:val="single"/>
        </w:rPr>
        <w:tab/>
      </w:r>
      <w:r>
        <w:rPr>
          <w:rFonts w:ascii="Times New Roman" w:hAnsi="Times New Roman"/>
          <w:i w:val="0"/>
          <w:color w:val="auto"/>
          <w:sz w:val="24"/>
          <w:szCs w:val="24"/>
          <w:u w:val="single"/>
        </w:rPr>
        <w:tab/>
      </w:r>
      <w:r>
        <w:rPr>
          <w:rFonts w:ascii="Times New Roman" w:hAnsi="Times New Roman"/>
          <w:i w:val="0"/>
          <w:color w:val="auto"/>
          <w:sz w:val="24"/>
          <w:szCs w:val="24"/>
          <w:u w:val="single"/>
        </w:rPr>
        <w:tab/>
      </w:r>
      <w:r>
        <w:rPr>
          <w:rFonts w:ascii="Times New Roman" w:hAnsi="Times New Roman"/>
          <w:i w:val="0"/>
          <w:color w:val="auto"/>
          <w:sz w:val="24"/>
          <w:szCs w:val="24"/>
          <w:u w:val="single"/>
        </w:rPr>
        <w:tab/>
      </w:r>
      <w:r>
        <w:rPr>
          <w:rFonts w:ascii="Times New Roman" w:hAnsi="Times New Roman"/>
          <w:i w:val="0"/>
          <w:color w:val="auto"/>
          <w:sz w:val="24"/>
          <w:szCs w:val="24"/>
        </w:rPr>
        <w:tab/>
      </w:r>
      <w:r>
        <w:rPr>
          <w:rFonts w:ascii="Times New Roman" w:hAnsi="Times New Roman"/>
          <w:i w:val="0"/>
          <w:color w:val="auto"/>
          <w:sz w:val="24"/>
          <w:szCs w:val="24"/>
        </w:rPr>
        <w:tab/>
      </w:r>
    </w:p>
    <w:p w:rsidR="00146B2D" w:rsidRDefault="00146B2D" w:rsidP="00146B2D">
      <w:pPr>
        <w:rPr>
          <w:sz w:val="23"/>
          <w:szCs w:val="23"/>
          <w:lang w:val="uk-UA"/>
        </w:rPr>
      </w:pPr>
    </w:p>
    <w:p w:rsidR="00146B2D" w:rsidRDefault="00146B2D" w:rsidP="00146B2D">
      <w:pPr>
        <w:rPr>
          <w:sz w:val="23"/>
          <w:szCs w:val="23"/>
          <w:lang w:val="uk-UA"/>
        </w:rPr>
      </w:pPr>
    </w:p>
    <w:p w:rsidR="00146B2D" w:rsidRDefault="00146B2D" w:rsidP="00146B2D">
      <w:pPr>
        <w:rPr>
          <w:sz w:val="23"/>
          <w:szCs w:val="23"/>
          <w:lang w:val="uk-UA"/>
        </w:rPr>
      </w:pPr>
    </w:p>
    <w:p w:rsidR="00146B2D" w:rsidRPr="00134A6B" w:rsidRDefault="00146B2D" w:rsidP="00146B2D">
      <w:pPr>
        <w:jc w:val="center"/>
        <w:rPr>
          <w:b/>
          <w:caps/>
          <w:lang w:val="uk-UA"/>
        </w:rPr>
      </w:pPr>
      <w:r>
        <w:rPr>
          <w:b/>
          <w:noProof/>
          <w:lang w:val="uk-UA"/>
        </w:rPr>
        <mc:AlternateContent>
          <mc:Choice Requires="wps">
            <w:drawing>
              <wp:anchor distT="0" distB="0" distL="114300" distR="114300" simplePos="0" relativeHeight="251660288" behindDoc="0" locked="0" layoutInCell="1" allowOverlap="1" wp14:anchorId="39DB87E6" wp14:editId="35F953B4">
                <wp:simplePos x="0" y="0"/>
                <wp:positionH relativeFrom="column">
                  <wp:posOffset>6143625</wp:posOffset>
                </wp:positionH>
                <wp:positionV relativeFrom="paragraph">
                  <wp:posOffset>-381635</wp:posOffset>
                </wp:positionV>
                <wp:extent cx="304800" cy="228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04800" cy="228600"/>
                        </a:xfrm>
                        <a:prstGeom prst="rect">
                          <a:avLst/>
                        </a:prstGeom>
                        <a:solidFill>
                          <a:schemeClr val="lt1"/>
                        </a:solidFill>
                        <a:ln w="6350">
                          <a:noFill/>
                        </a:ln>
                      </wps:spPr>
                      <wps:txbx>
                        <w:txbxContent>
                          <w:p w:rsidR="00146B2D" w:rsidRDefault="00146B2D" w:rsidP="00146B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DB87E6" id="Text Box 12" o:spid="_x0000_s1027" type="#_x0000_t202" style="position:absolute;left:0;text-align:left;margin-left:483.75pt;margin-top:-30.05pt;width:24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z1jwLQIAAFoEAAAOAAAAZHJzL2Uyb0RvYy54bWysVE1v2zAMvQ/YfxB0X+ykaZYacYosRYYB RVsgHXpWZCkWIIuapMTOfv0oOV/rdhp2kUmReiIfnzy77xpN9sJ5Baakw0FOiTAcKmW2Jf3+uvo0 pcQHZiqmwYiSHoSn9/OPH2atLcQIatCVcARBjC9aW9I6BFtkmee1aJgfgBUGgxJcwwK6bptVjrWI 3uhslOeTrAVXWQdceI+7D32QzhO+lIKHZym9CESXFGsLaXVp3cQ1m89YsXXM1oofy2D/UEXDlMFL z1APLDCyc+oPqEZxBx5kGHBoMpBScZF6wG6G+btu1jWzIvWC5Hh7psn/P1j+tF/bF0dC9wU6HGAk pLW+8LgZ++mka+IXKyUYRwoPZ9pEFwjHzZt8PM0xwjE0Gk0naCNKdjlsnQ9fBTQkGiV1OJVEFts/ +tCnnlLiXR60qlZK6+REJYildmTPcIY6pBIR/LcsbUhb0snNbZ6ADcTjPbI2WMulpWiFbtMRVV21 u4HqgCw46AXiLV8prPWR+fDCHCoC20OVh2dcpAa8C44WJTW4n3/bj/k4KIxS0qLCSup/7JgTlOhv Bkd4NxyPoySTM779PELHXUc21xGza5aABAzxPVmezJgf9MmUDpo3fAyLeCuGmOF4d0nDyVyGXvf4 mLhYLFISitCy8GjWlkfoSHicxGv3xpw9jivgnJ/gpEVWvJtanxtPGljsAkiVRhp57lk90o8CTqI4 Prb4Qq79lHX5Jcx/AQAA//8DAFBLAwQUAAYACAAAACEAnwWjUeUAAAARAQAADwAAAGRycy9kb3du cmV2LnhtbExPy07DMBC8I/EP1iJxQa2dlqSQxqkQT4kbTQvi5sZLEhHbUewm4e/ZnuCy0s7OziPb TKZlA/a+cVZCNBfA0JZON7aSsCueZjfAfFBWq9ZZlPCDHjb5+VmmUu1G+4bDNlSMRKxPlYQ6hC7l 3Jc1GuXnrkNLty/XGxVo7SuuezWSuGn5QoiEG9VYcqhVh/c1lt/bo5HweVV9vPrpeT8u42X3+DIU q3ddSHl5MT2sadytgQWcwt8HnDpQfsgp2MEdrfaslXCbrGKiSpglIgJ2YogoJuhA0OI6Ap5n/H+T /BcAAP//AwBQSwECLQAUAAYACAAAACEAtoM4kv4AAADhAQAAEwAAAAAAAAAAAAAAAAAAAAAAW0Nv bnRlbnRfVHlwZXNdLnhtbFBLAQItABQABgAIAAAAIQA4/SH/1gAAAJQBAAALAAAAAAAAAAAAAAAA AC8BAABfcmVscy8ucmVsc1BLAQItABQABgAIAAAAIQDNz1jwLQIAAFoEAAAOAAAAAAAAAAAAAAAA AC4CAABkcnMvZTJvRG9jLnhtbFBLAQItABQABgAIAAAAIQCfBaNR5QAAABEBAAAPAAAAAAAAAAAA AAAAAIcEAABkcnMvZG93bnJldi54bWxQSwUGAAAAAAQABADzAAAAmQUAAAAA " fillcolor="white [3201]" stroked="f" strokeweight=".5pt">
                <v:textbox>
                  <w:txbxContent>
                    <w:p w:rsidR="00146B2D" w:rsidRDefault="00146B2D" w:rsidP="00146B2D"/>
                  </w:txbxContent>
                </v:textbox>
              </v:shape>
            </w:pict>
          </mc:Fallback>
        </mc:AlternateContent>
      </w:r>
      <w:r>
        <w:rPr>
          <w:b/>
          <w:caps/>
          <w:lang w:val="uk-UA"/>
        </w:rPr>
        <w:t>Календарний план</w:t>
      </w:r>
    </w:p>
    <w:p w:rsidR="00146B2D" w:rsidRPr="00134A6B" w:rsidRDefault="00146B2D" w:rsidP="00146B2D">
      <w:pPr>
        <w:jc w:val="center"/>
        <w:rPr>
          <w:b/>
          <w:caps/>
          <w:lang w:val="uk-UA"/>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71"/>
        <w:gridCol w:w="3780"/>
        <w:gridCol w:w="2340"/>
        <w:gridCol w:w="1979"/>
      </w:tblGrid>
      <w:tr w:rsidR="00146B2D" w:rsidRPr="00134A6B" w:rsidTr="00D2520C">
        <w:tc>
          <w:tcPr>
            <w:tcW w:w="648" w:type="dxa"/>
          </w:tcPr>
          <w:p w:rsidR="00146B2D" w:rsidRPr="00134A6B" w:rsidRDefault="00146B2D" w:rsidP="00D2520C">
            <w:pPr>
              <w:jc w:val="center"/>
              <w:rPr>
                <w:i/>
                <w:sz w:val="26"/>
                <w:szCs w:val="26"/>
                <w:lang w:val="uk-UA"/>
              </w:rPr>
            </w:pPr>
            <w:r>
              <w:rPr>
                <w:i/>
                <w:sz w:val="26"/>
                <w:szCs w:val="26"/>
                <w:lang w:val="uk-UA"/>
              </w:rPr>
              <w:t>№</w:t>
            </w:r>
          </w:p>
          <w:p w:rsidR="00146B2D" w:rsidRPr="00134A6B" w:rsidRDefault="00146B2D" w:rsidP="00D2520C">
            <w:pPr>
              <w:jc w:val="center"/>
              <w:rPr>
                <w:sz w:val="26"/>
                <w:szCs w:val="26"/>
                <w:lang w:val="uk-UA"/>
              </w:rPr>
            </w:pPr>
            <w:r>
              <w:rPr>
                <w:i/>
                <w:sz w:val="26"/>
                <w:szCs w:val="26"/>
                <w:lang w:val="uk-UA"/>
              </w:rPr>
              <w:t>з/п</w:t>
            </w:r>
          </w:p>
        </w:tc>
        <w:tc>
          <w:tcPr>
            <w:tcW w:w="4451" w:type="dxa"/>
            <w:gridSpan w:val="2"/>
            <w:vAlign w:val="center"/>
          </w:tcPr>
          <w:p w:rsidR="00146B2D" w:rsidRPr="00134A6B" w:rsidRDefault="00146B2D" w:rsidP="00D2520C">
            <w:pPr>
              <w:tabs>
                <w:tab w:val="left" w:pos="2251"/>
              </w:tabs>
              <w:jc w:val="center"/>
              <w:rPr>
                <w:i/>
                <w:sz w:val="26"/>
                <w:szCs w:val="26"/>
                <w:lang w:val="uk-UA"/>
              </w:rPr>
            </w:pPr>
            <w:r>
              <w:rPr>
                <w:i/>
                <w:sz w:val="26"/>
                <w:szCs w:val="26"/>
                <w:lang w:val="uk-UA"/>
              </w:rPr>
              <w:t>Назва етапів бакалаврської  роботи</w:t>
            </w:r>
          </w:p>
        </w:tc>
        <w:tc>
          <w:tcPr>
            <w:tcW w:w="2340" w:type="dxa"/>
            <w:vAlign w:val="center"/>
          </w:tcPr>
          <w:p w:rsidR="00146B2D" w:rsidRPr="00134A6B" w:rsidRDefault="00146B2D" w:rsidP="00D2520C">
            <w:pPr>
              <w:tabs>
                <w:tab w:val="left" w:pos="2394"/>
              </w:tabs>
              <w:jc w:val="center"/>
              <w:rPr>
                <w:i/>
                <w:sz w:val="26"/>
                <w:szCs w:val="26"/>
                <w:lang w:val="uk-UA"/>
              </w:rPr>
            </w:pPr>
            <w:r>
              <w:rPr>
                <w:i/>
                <w:sz w:val="26"/>
                <w:szCs w:val="26"/>
                <w:lang w:val="uk-UA"/>
              </w:rPr>
              <w:t>Термін виконання етапів роботи</w:t>
            </w:r>
          </w:p>
        </w:tc>
        <w:tc>
          <w:tcPr>
            <w:tcW w:w="1979" w:type="dxa"/>
            <w:vAlign w:val="center"/>
          </w:tcPr>
          <w:p w:rsidR="00146B2D" w:rsidRPr="00134A6B" w:rsidRDefault="00146B2D" w:rsidP="00D2520C">
            <w:pPr>
              <w:tabs>
                <w:tab w:val="left" w:pos="2251"/>
              </w:tabs>
              <w:jc w:val="center"/>
              <w:rPr>
                <w:i/>
                <w:sz w:val="26"/>
                <w:szCs w:val="26"/>
                <w:lang w:val="uk-UA"/>
              </w:rPr>
            </w:pPr>
            <w:r>
              <w:rPr>
                <w:i/>
                <w:sz w:val="26"/>
                <w:szCs w:val="26"/>
                <w:lang w:val="uk-UA"/>
              </w:rPr>
              <w:t xml:space="preserve">Примітка </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1</w:t>
            </w:r>
          </w:p>
        </w:tc>
        <w:tc>
          <w:tcPr>
            <w:tcW w:w="4451" w:type="dxa"/>
            <w:gridSpan w:val="2"/>
          </w:tcPr>
          <w:p w:rsidR="00146B2D" w:rsidRPr="00134A6B" w:rsidRDefault="00146B2D" w:rsidP="00D2520C">
            <w:pPr>
              <w:rPr>
                <w:sz w:val="26"/>
                <w:szCs w:val="26"/>
                <w:lang w:val="uk-UA"/>
              </w:rPr>
            </w:pPr>
            <w:r>
              <w:rPr>
                <w:sz w:val="26"/>
                <w:szCs w:val="26"/>
                <w:lang w:val="uk-UA"/>
              </w:rPr>
              <w:t>Вибір теми бакалаврської роботи та обґрунтування її актуальності</w:t>
            </w:r>
          </w:p>
        </w:tc>
        <w:tc>
          <w:tcPr>
            <w:tcW w:w="2340" w:type="dxa"/>
            <w:vAlign w:val="center"/>
          </w:tcPr>
          <w:p w:rsidR="00146B2D" w:rsidRPr="00134A6B" w:rsidRDefault="00146B2D" w:rsidP="00D2520C">
            <w:pPr>
              <w:tabs>
                <w:tab w:val="left" w:pos="2394"/>
              </w:tabs>
              <w:ind w:right="-108"/>
              <w:jc w:val="center"/>
              <w:rPr>
                <w:sz w:val="26"/>
                <w:szCs w:val="26"/>
                <w:lang w:val="uk-UA"/>
              </w:rPr>
            </w:pPr>
            <w:r>
              <w:rPr>
                <w:sz w:val="26"/>
                <w:szCs w:val="26"/>
                <w:lang w:val="uk-UA"/>
              </w:rPr>
              <w:t>до 18.01.2026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2</w:t>
            </w:r>
          </w:p>
        </w:tc>
        <w:tc>
          <w:tcPr>
            <w:tcW w:w="4451" w:type="dxa"/>
            <w:gridSpan w:val="2"/>
          </w:tcPr>
          <w:p w:rsidR="00146B2D" w:rsidRPr="00134A6B" w:rsidRDefault="00146B2D" w:rsidP="00D2520C">
            <w:pPr>
              <w:rPr>
                <w:sz w:val="26"/>
                <w:szCs w:val="26"/>
                <w:lang w:val="uk-UA"/>
              </w:rPr>
            </w:pPr>
            <w:r>
              <w:rPr>
                <w:sz w:val="26"/>
                <w:szCs w:val="26"/>
                <w:lang w:val="uk-UA"/>
              </w:rPr>
              <w:t>Визначення об</w:t>
            </w:r>
            <w:r>
              <w:rPr>
                <w:sz w:val="26"/>
                <w:szCs w:val="26"/>
                <w:lang w:val="uk-UA"/>
              </w:rPr>
              <w:sym w:font="Symbol" w:char="F0A2"/>
            </w:r>
            <w:r>
              <w:rPr>
                <w:sz w:val="26"/>
                <w:szCs w:val="26"/>
                <w:lang w:val="uk-UA"/>
              </w:rPr>
              <w:t>єкта, предмета, мети, завдань та методів дослідження</w:t>
            </w:r>
          </w:p>
        </w:tc>
        <w:tc>
          <w:tcPr>
            <w:tcW w:w="2340" w:type="dxa"/>
            <w:vAlign w:val="center"/>
          </w:tcPr>
          <w:p w:rsidR="00146B2D" w:rsidRPr="00AC1E32" w:rsidRDefault="00146B2D" w:rsidP="00D2520C">
            <w:pPr>
              <w:tabs>
                <w:tab w:val="left" w:pos="2394"/>
              </w:tabs>
              <w:ind w:right="-108"/>
              <w:jc w:val="center"/>
              <w:rPr>
                <w:sz w:val="26"/>
                <w:szCs w:val="26"/>
              </w:rPr>
            </w:pPr>
            <w:r>
              <w:rPr>
                <w:sz w:val="26"/>
                <w:szCs w:val="26"/>
                <w:lang w:val="uk-UA"/>
              </w:rPr>
              <w:t xml:space="preserve">до </w:t>
            </w:r>
            <w:r>
              <w:rPr>
                <w:sz w:val="26"/>
                <w:szCs w:val="26"/>
              </w:rPr>
              <w:t>2</w:t>
            </w:r>
            <w:r>
              <w:rPr>
                <w:sz w:val="26"/>
                <w:szCs w:val="26"/>
                <w:lang w:val="uk-UA"/>
              </w:rPr>
              <w:t>2.</w:t>
            </w:r>
            <w:r>
              <w:rPr>
                <w:sz w:val="26"/>
                <w:szCs w:val="26"/>
              </w:rPr>
              <w:t>01</w:t>
            </w:r>
            <w:r>
              <w:rPr>
                <w:sz w:val="26"/>
                <w:szCs w:val="26"/>
                <w:lang w:val="uk-UA"/>
              </w:rPr>
              <w:t>.202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3</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Складання попереднього плану бакалаврської роботи</w:t>
            </w:r>
          </w:p>
        </w:tc>
        <w:tc>
          <w:tcPr>
            <w:tcW w:w="2340" w:type="dxa"/>
            <w:vAlign w:val="center"/>
          </w:tcPr>
          <w:p w:rsidR="00146B2D" w:rsidRPr="00AC1E32" w:rsidRDefault="00146B2D" w:rsidP="00D2520C">
            <w:pPr>
              <w:tabs>
                <w:tab w:val="left" w:pos="2251"/>
              </w:tabs>
              <w:jc w:val="center"/>
              <w:rPr>
                <w:sz w:val="26"/>
                <w:szCs w:val="26"/>
              </w:rPr>
            </w:pPr>
            <w:r>
              <w:rPr>
                <w:sz w:val="26"/>
                <w:szCs w:val="26"/>
                <w:lang w:val="uk-UA"/>
              </w:rPr>
              <w:t xml:space="preserve">до </w:t>
            </w:r>
            <w:r>
              <w:rPr>
                <w:sz w:val="26"/>
                <w:szCs w:val="26"/>
              </w:rPr>
              <w:t>25</w:t>
            </w:r>
            <w:r>
              <w:rPr>
                <w:sz w:val="26"/>
                <w:szCs w:val="26"/>
                <w:lang w:val="uk-UA"/>
              </w:rPr>
              <w:t>.</w:t>
            </w:r>
            <w:r>
              <w:rPr>
                <w:sz w:val="26"/>
                <w:szCs w:val="26"/>
              </w:rPr>
              <w:t>01</w:t>
            </w:r>
            <w:r>
              <w:rPr>
                <w:sz w:val="26"/>
                <w:szCs w:val="26"/>
                <w:lang w:val="uk-UA"/>
              </w:rPr>
              <w:t>.202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4</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Пошук і відбір літератури по темі бакалаврської роботи, складання списку використаних джерел</w:t>
            </w:r>
          </w:p>
        </w:tc>
        <w:tc>
          <w:tcPr>
            <w:tcW w:w="2340" w:type="dxa"/>
            <w:vAlign w:val="center"/>
          </w:tcPr>
          <w:p w:rsidR="00146B2D" w:rsidRPr="00AC1E32" w:rsidRDefault="00146B2D" w:rsidP="00D2520C">
            <w:pPr>
              <w:tabs>
                <w:tab w:val="left" w:pos="2251"/>
              </w:tabs>
              <w:jc w:val="center"/>
              <w:rPr>
                <w:sz w:val="26"/>
                <w:szCs w:val="26"/>
              </w:rPr>
            </w:pPr>
            <w:r>
              <w:rPr>
                <w:sz w:val="26"/>
                <w:szCs w:val="26"/>
              </w:rPr>
              <w:t>26</w:t>
            </w:r>
            <w:r>
              <w:rPr>
                <w:sz w:val="26"/>
                <w:szCs w:val="26"/>
                <w:lang w:val="uk-UA"/>
              </w:rPr>
              <w:t>.</w:t>
            </w:r>
            <w:r>
              <w:rPr>
                <w:sz w:val="26"/>
                <w:szCs w:val="26"/>
              </w:rPr>
              <w:t>0</w:t>
            </w:r>
            <w:r>
              <w:rPr>
                <w:sz w:val="26"/>
                <w:szCs w:val="26"/>
                <w:lang w:val="uk-UA"/>
              </w:rPr>
              <w:t>1.202</w:t>
            </w:r>
            <w:r>
              <w:rPr>
                <w:sz w:val="26"/>
                <w:szCs w:val="26"/>
              </w:rPr>
              <w:t>6</w:t>
            </w:r>
            <w:r>
              <w:rPr>
                <w:sz w:val="26"/>
                <w:szCs w:val="26"/>
                <w:lang w:val="uk-UA"/>
              </w:rPr>
              <w:t xml:space="preserve"> – </w:t>
            </w:r>
            <w:r>
              <w:rPr>
                <w:sz w:val="26"/>
                <w:szCs w:val="26"/>
              </w:rPr>
              <w:t>08</w:t>
            </w:r>
            <w:r>
              <w:rPr>
                <w:sz w:val="26"/>
                <w:szCs w:val="26"/>
                <w:lang w:val="uk-UA"/>
              </w:rPr>
              <w:t>.</w:t>
            </w:r>
            <w:r>
              <w:rPr>
                <w:sz w:val="26"/>
                <w:szCs w:val="26"/>
              </w:rPr>
              <w:t>02</w:t>
            </w:r>
            <w:r>
              <w:rPr>
                <w:sz w:val="26"/>
                <w:szCs w:val="26"/>
                <w:lang w:val="uk-UA"/>
              </w:rPr>
              <w:t>.202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5</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Аналітико-синтетичне опрацювання літератури до теми роботи</w:t>
            </w:r>
          </w:p>
        </w:tc>
        <w:tc>
          <w:tcPr>
            <w:tcW w:w="2340" w:type="dxa"/>
            <w:vAlign w:val="center"/>
          </w:tcPr>
          <w:p w:rsidR="00146B2D" w:rsidRPr="00AC1E32" w:rsidRDefault="00146B2D" w:rsidP="00D2520C">
            <w:pPr>
              <w:tabs>
                <w:tab w:val="left" w:pos="2251"/>
              </w:tabs>
              <w:jc w:val="center"/>
              <w:rPr>
                <w:sz w:val="26"/>
                <w:szCs w:val="26"/>
              </w:rPr>
            </w:pPr>
            <w:r>
              <w:rPr>
                <w:sz w:val="26"/>
                <w:szCs w:val="26"/>
              </w:rPr>
              <w:t>09</w:t>
            </w:r>
            <w:r>
              <w:rPr>
                <w:sz w:val="26"/>
                <w:szCs w:val="26"/>
                <w:lang w:val="uk-UA"/>
              </w:rPr>
              <w:t>.</w:t>
            </w:r>
            <w:r>
              <w:rPr>
                <w:sz w:val="26"/>
                <w:szCs w:val="26"/>
              </w:rPr>
              <w:t>02</w:t>
            </w:r>
            <w:r>
              <w:rPr>
                <w:sz w:val="26"/>
                <w:szCs w:val="26"/>
                <w:lang w:val="uk-UA"/>
              </w:rPr>
              <w:t>.202</w:t>
            </w:r>
            <w:r>
              <w:rPr>
                <w:sz w:val="26"/>
                <w:szCs w:val="26"/>
              </w:rPr>
              <w:t>6</w:t>
            </w:r>
            <w:r>
              <w:rPr>
                <w:sz w:val="26"/>
                <w:szCs w:val="26"/>
                <w:lang w:val="uk-UA"/>
              </w:rPr>
              <w:t xml:space="preserve"> – </w:t>
            </w:r>
            <w:r>
              <w:rPr>
                <w:sz w:val="26"/>
                <w:szCs w:val="26"/>
              </w:rPr>
              <w:t>23</w:t>
            </w:r>
            <w:r>
              <w:rPr>
                <w:sz w:val="26"/>
                <w:szCs w:val="26"/>
                <w:lang w:val="uk-UA"/>
              </w:rPr>
              <w:t>.02.202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rPr>
          <w:trHeight w:val="675"/>
        </w:trPr>
        <w:tc>
          <w:tcPr>
            <w:tcW w:w="648" w:type="dxa"/>
            <w:vMerge w:val="restart"/>
          </w:tcPr>
          <w:p w:rsidR="00146B2D" w:rsidRPr="00134A6B" w:rsidRDefault="00146B2D" w:rsidP="00D2520C">
            <w:pPr>
              <w:jc w:val="center"/>
              <w:rPr>
                <w:sz w:val="26"/>
                <w:szCs w:val="26"/>
                <w:lang w:val="uk-UA"/>
              </w:rPr>
            </w:pPr>
            <w:r>
              <w:rPr>
                <w:sz w:val="26"/>
                <w:szCs w:val="26"/>
                <w:lang w:val="uk-UA"/>
              </w:rPr>
              <w:t>6</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Написання тексту бакалаврської роботи відповідно до її структури:</w:t>
            </w:r>
          </w:p>
        </w:tc>
        <w:tc>
          <w:tcPr>
            <w:tcW w:w="2340" w:type="dxa"/>
            <w:vAlign w:val="center"/>
          </w:tcPr>
          <w:p w:rsidR="00146B2D" w:rsidRPr="00AC1E32" w:rsidRDefault="00146B2D" w:rsidP="00D2520C">
            <w:pPr>
              <w:tabs>
                <w:tab w:val="left" w:pos="2251"/>
              </w:tabs>
              <w:jc w:val="center"/>
              <w:rPr>
                <w:sz w:val="26"/>
                <w:szCs w:val="26"/>
              </w:rPr>
            </w:pPr>
            <w:r>
              <w:rPr>
                <w:sz w:val="26"/>
                <w:szCs w:val="26"/>
              </w:rPr>
              <w:t>24</w:t>
            </w:r>
            <w:r>
              <w:rPr>
                <w:sz w:val="26"/>
                <w:szCs w:val="26"/>
                <w:lang w:val="uk-UA"/>
              </w:rPr>
              <w:t>.02.202</w:t>
            </w:r>
            <w:r>
              <w:rPr>
                <w:sz w:val="26"/>
                <w:szCs w:val="26"/>
              </w:rPr>
              <w:t>6</w:t>
            </w:r>
            <w:r>
              <w:rPr>
                <w:sz w:val="26"/>
                <w:szCs w:val="26"/>
                <w:lang w:val="uk-UA"/>
              </w:rPr>
              <w:t xml:space="preserve"> – </w:t>
            </w:r>
            <w:r>
              <w:rPr>
                <w:sz w:val="26"/>
                <w:szCs w:val="26"/>
              </w:rPr>
              <w:t>15</w:t>
            </w:r>
            <w:r>
              <w:rPr>
                <w:sz w:val="26"/>
                <w:szCs w:val="26"/>
                <w:lang w:val="uk-UA"/>
              </w:rPr>
              <w:t>.04.202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rPr>
          <w:trHeight w:val="210"/>
        </w:trPr>
        <w:tc>
          <w:tcPr>
            <w:tcW w:w="648" w:type="dxa"/>
            <w:vMerge/>
          </w:tcPr>
          <w:p w:rsidR="00146B2D" w:rsidRPr="00134A6B" w:rsidRDefault="00146B2D" w:rsidP="00D2520C">
            <w:pPr>
              <w:jc w:val="center"/>
              <w:rPr>
                <w:sz w:val="26"/>
                <w:szCs w:val="26"/>
                <w:lang w:val="uk-UA"/>
              </w:rPr>
            </w:pPr>
          </w:p>
        </w:tc>
        <w:tc>
          <w:tcPr>
            <w:tcW w:w="671" w:type="dxa"/>
          </w:tcPr>
          <w:p w:rsidR="00146B2D" w:rsidRPr="00134A6B" w:rsidRDefault="00146B2D" w:rsidP="00D2520C">
            <w:pPr>
              <w:tabs>
                <w:tab w:val="num" w:pos="972"/>
                <w:tab w:val="left" w:pos="2251"/>
              </w:tabs>
              <w:rPr>
                <w:sz w:val="26"/>
                <w:szCs w:val="26"/>
                <w:lang w:val="uk-UA"/>
              </w:rPr>
            </w:pPr>
            <w:r>
              <w:rPr>
                <w:sz w:val="26"/>
                <w:szCs w:val="26"/>
                <w:lang w:val="uk-UA"/>
              </w:rPr>
              <w:t>6.1</w:t>
            </w:r>
          </w:p>
        </w:tc>
        <w:tc>
          <w:tcPr>
            <w:tcW w:w="3780" w:type="dxa"/>
          </w:tcPr>
          <w:p w:rsidR="00146B2D" w:rsidRPr="00F17401" w:rsidRDefault="00146B2D" w:rsidP="00D2520C">
            <w:pPr>
              <w:tabs>
                <w:tab w:val="num" w:pos="972"/>
                <w:tab w:val="left" w:pos="2251"/>
              </w:tabs>
              <w:ind w:left="72"/>
              <w:rPr>
                <w:sz w:val="26"/>
                <w:szCs w:val="26"/>
              </w:rPr>
            </w:pPr>
            <w:r>
              <w:rPr>
                <w:sz w:val="26"/>
                <w:szCs w:val="26"/>
              </w:rPr>
              <w:t xml:space="preserve">І </w:t>
            </w:r>
            <w:r>
              <w:rPr>
                <w:sz w:val="26"/>
                <w:szCs w:val="26"/>
                <w:lang w:val="uk-UA"/>
              </w:rPr>
              <w:t>розділ (теоретичний)</w:t>
            </w:r>
          </w:p>
        </w:tc>
        <w:tc>
          <w:tcPr>
            <w:tcW w:w="2340" w:type="dxa"/>
            <w:vAlign w:val="center"/>
          </w:tcPr>
          <w:p w:rsidR="00146B2D" w:rsidRPr="00AC1E32" w:rsidRDefault="00146B2D" w:rsidP="00D2520C">
            <w:pPr>
              <w:tabs>
                <w:tab w:val="left" w:pos="2251"/>
              </w:tabs>
              <w:jc w:val="center"/>
              <w:rPr>
                <w:sz w:val="26"/>
                <w:szCs w:val="26"/>
              </w:rPr>
            </w:pPr>
            <w:r>
              <w:rPr>
                <w:sz w:val="26"/>
                <w:szCs w:val="26"/>
              </w:rPr>
              <w:t>24</w:t>
            </w:r>
            <w:r>
              <w:rPr>
                <w:sz w:val="26"/>
                <w:szCs w:val="26"/>
                <w:lang w:val="uk-UA"/>
              </w:rPr>
              <w:t>.02.2</w:t>
            </w:r>
            <w:r>
              <w:rPr>
                <w:sz w:val="26"/>
                <w:szCs w:val="26"/>
              </w:rPr>
              <w:t>6</w:t>
            </w:r>
            <w:r>
              <w:rPr>
                <w:sz w:val="26"/>
                <w:szCs w:val="26"/>
                <w:lang w:val="uk-UA"/>
              </w:rPr>
              <w:t xml:space="preserve"> – </w:t>
            </w:r>
            <w:r>
              <w:rPr>
                <w:sz w:val="26"/>
                <w:szCs w:val="26"/>
              </w:rPr>
              <w:t>23</w:t>
            </w:r>
            <w:r>
              <w:rPr>
                <w:sz w:val="26"/>
                <w:szCs w:val="26"/>
                <w:lang w:val="uk-UA"/>
              </w:rPr>
              <w:t>.03.2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vMerge/>
          </w:tcPr>
          <w:p w:rsidR="00146B2D" w:rsidRPr="00134A6B" w:rsidRDefault="00146B2D" w:rsidP="00D2520C">
            <w:pPr>
              <w:jc w:val="center"/>
              <w:rPr>
                <w:sz w:val="26"/>
                <w:szCs w:val="26"/>
                <w:lang w:val="uk-UA"/>
              </w:rPr>
            </w:pPr>
          </w:p>
        </w:tc>
        <w:tc>
          <w:tcPr>
            <w:tcW w:w="671" w:type="dxa"/>
          </w:tcPr>
          <w:p w:rsidR="00146B2D" w:rsidRPr="00134A6B" w:rsidRDefault="00146B2D" w:rsidP="00D2520C">
            <w:pPr>
              <w:tabs>
                <w:tab w:val="left" w:pos="2251"/>
              </w:tabs>
              <w:rPr>
                <w:sz w:val="26"/>
                <w:szCs w:val="26"/>
                <w:lang w:val="uk-UA"/>
              </w:rPr>
            </w:pPr>
            <w:r>
              <w:rPr>
                <w:sz w:val="26"/>
                <w:szCs w:val="26"/>
                <w:lang w:val="uk-UA"/>
              </w:rPr>
              <w:t>6.2</w:t>
            </w:r>
          </w:p>
        </w:tc>
        <w:tc>
          <w:tcPr>
            <w:tcW w:w="3780" w:type="dxa"/>
          </w:tcPr>
          <w:p w:rsidR="00146B2D" w:rsidRPr="00F17401" w:rsidRDefault="00146B2D" w:rsidP="00D2520C">
            <w:pPr>
              <w:tabs>
                <w:tab w:val="num" w:pos="972"/>
                <w:tab w:val="left" w:pos="2251"/>
              </w:tabs>
              <w:ind w:left="72"/>
              <w:rPr>
                <w:sz w:val="26"/>
                <w:szCs w:val="26"/>
              </w:rPr>
            </w:pPr>
            <w:r>
              <w:rPr>
                <w:sz w:val="26"/>
                <w:szCs w:val="26"/>
              </w:rPr>
              <w:t xml:space="preserve">ІІ </w:t>
            </w:r>
            <w:r>
              <w:rPr>
                <w:sz w:val="26"/>
                <w:szCs w:val="26"/>
                <w:lang w:val="uk-UA"/>
              </w:rPr>
              <w:t>розділ (практичний)</w:t>
            </w:r>
          </w:p>
        </w:tc>
        <w:tc>
          <w:tcPr>
            <w:tcW w:w="2340" w:type="dxa"/>
            <w:vAlign w:val="center"/>
          </w:tcPr>
          <w:p w:rsidR="00146B2D" w:rsidRPr="00AC1E32" w:rsidRDefault="00146B2D" w:rsidP="00D2520C">
            <w:pPr>
              <w:tabs>
                <w:tab w:val="left" w:pos="2251"/>
              </w:tabs>
              <w:jc w:val="center"/>
              <w:rPr>
                <w:sz w:val="26"/>
                <w:szCs w:val="26"/>
              </w:rPr>
            </w:pPr>
            <w:r>
              <w:rPr>
                <w:sz w:val="26"/>
                <w:szCs w:val="26"/>
              </w:rPr>
              <w:t>24</w:t>
            </w:r>
            <w:r>
              <w:rPr>
                <w:sz w:val="26"/>
                <w:szCs w:val="26"/>
                <w:lang w:val="uk-UA"/>
              </w:rPr>
              <w:t>.03.2</w:t>
            </w:r>
            <w:r>
              <w:rPr>
                <w:sz w:val="26"/>
                <w:szCs w:val="26"/>
              </w:rPr>
              <w:t>6</w:t>
            </w:r>
            <w:r>
              <w:rPr>
                <w:sz w:val="26"/>
                <w:szCs w:val="26"/>
                <w:lang w:val="uk-UA"/>
              </w:rPr>
              <w:t xml:space="preserve"> – </w:t>
            </w:r>
            <w:r>
              <w:rPr>
                <w:sz w:val="26"/>
                <w:szCs w:val="26"/>
              </w:rPr>
              <w:t>15</w:t>
            </w:r>
            <w:r>
              <w:rPr>
                <w:sz w:val="26"/>
                <w:szCs w:val="26"/>
                <w:lang w:val="uk-UA"/>
              </w:rPr>
              <w:t>.04.2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7</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Написання вступу до теми бакалаврського дослідження</w:t>
            </w:r>
          </w:p>
        </w:tc>
        <w:tc>
          <w:tcPr>
            <w:tcW w:w="2340" w:type="dxa"/>
            <w:vAlign w:val="center"/>
          </w:tcPr>
          <w:p w:rsidR="00146B2D" w:rsidRPr="00AC1E32" w:rsidRDefault="00146B2D" w:rsidP="00D2520C">
            <w:pPr>
              <w:tabs>
                <w:tab w:val="left" w:pos="2251"/>
              </w:tabs>
              <w:jc w:val="center"/>
              <w:rPr>
                <w:sz w:val="26"/>
                <w:szCs w:val="26"/>
              </w:rPr>
            </w:pPr>
            <w:r>
              <w:rPr>
                <w:sz w:val="26"/>
                <w:szCs w:val="26"/>
              </w:rPr>
              <w:t>16</w:t>
            </w:r>
            <w:r>
              <w:rPr>
                <w:sz w:val="26"/>
                <w:szCs w:val="26"/>
                <w:lang w:val="uk-UA"/>
              </w:rPr>
              <w:t>.04.202</w:t>
            </w:r>
            <w:r>
              <w:rPr>
                <w:sz w:val="26"/>
                <w:szCs w:val="26"/>
              </w:rPr>
              <w:t>6</w:t>
            </w:r>
            <w:r>
              <w:rPr>
                <w:sz w:val="26"/>
                <w:szCs w:val="26"/>
                <w:lang w:val="uk-UA"/>
              </w:rPr>
              <w:t xml:space="preserve"> – </w:t>
            </w:r>
            <w:r>
              <w:rPr>
                <w:sz w:val="26"/>
                <w:szCs w:val="26"/>
              </w:rPr>
              <w:t>22</w:t>
            </w:r>
            <w:r>
              <w:rPr>
                <w:sz w:val="26"/>
                <w:szCs w:val="26"/>
                <w:lang w:val="uk-UA"/>
              </w:rPr>
              <w:t>.04.202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8</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Підготовка графічних матеріалів чи іншого унаочнення</w:t>
            </w:r>
          </w:p>
        </w:tc>
        <w:tc>
          <w:tcPr>
            <w:tcW w:w="2340" w:type="dxa"/>
            <w:vAlign w:val="center"/>
          </w:tcPr>
          <w:p w:rsidR="00146B2D" w:rsidRPr="00AC1E32" w:rsidRDefault="00146B2D" w:rsidP="00D2520C">
            <w:pPr>
              <w:tabs>
                <w:tab w:val="left" w:pos="2251"/>
              </w:tabs>
              <w:jc w:val="center"/>
              <w:rPr>
                <w:sz w:val="26"/>
                <w:szCs w:val="26"/>
              </w:rPr>
            </w:pPr>
            <w:r>
              <w:rPr>
                <w:sz w:val="26"/>
                <w:szCs w:val="26"/>
              </w:rPr>
              <w:t>23</w:t>
            </w:r>
            <w:r>
              <w:rPr>
                <w:sz w:val="26"/>
                <w:szCs w:val="26"/>
                <w:lang w:val="uk-UA"/>
              </w:rPr>
              <w:t>.04.202</w:t>
            </w:r>
            <w:r>
              <w:rPr>
                <w:sz w:val="26"/>
                <w:szCs w:val="26"/>
              </w:rPr>
              <w:t>6</w:t>
            </w:r>
            <w:r>
              <w:rPr>
                <w:sz w:val="26"/>
                <w:szCs w:val="26"/>
                <w:lang w:val="uk-UA"/>
              </w:rPr>
              <w:t xml:space="preserve"> – 30.04.202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9</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Формулювання висновків до кожного із розділів дослідження</w:t>
            </w:r>
          </w:p>
        </w:tc>
        <w:tc>
          <w:tcPr>
            <w:tcW w:w="2340" w:type="dxa"/>
            <w:vAlign w:val="center"/>
          </w:tcPr>
          <w:p w:rsidR="00146B2D" w:rsidRPr="00AC1E32" w:rsidRDefault="00146B2D" w:rsidP="00D2520C">
            <w:pPr>
              <w:tabs>
                <w:tab w:val="left" w:pos="2251"/>
              </w:tabs>
              <w:jc w:val="center"/>
              <w:rPr>
                <w:sz w:val="26"/>
                <w:szCs w:val="26"/>
              </w:rPr>
            </w:pPr>
            <w:r>
              <w:rPr>
                <w:sz w:val="26"/>
                <w:szCs w:val="26"/>
                <w:lang w:val="uk-UA"/>
              </w:rPr>
              <w:t>01.05.202</w:t>
            </w:r>
            <w:r>
              <w:rPr>
                <w:sz w:val="26"/>
                <w:szCs w:val="26"/>
              </w:rPr>
              <w:t>6</w:t>
            </w:r>
            <w:r>
              <w:rPr>
                <w:sz w:val="26"/>
                <w:szCs w:val="26"/>
                <w:lang w:val="uk-UA"/>
              </w:rPr>
              <w:t xml:space="preserve"> – </w:t>
            </w:r>
            <w:r>
              <w:rPr>
                <w:sz w:val="26"/>
                <w:szCs w:val="26"/>
              </w:rPr>
              <w:t>05</w:t>
            </w:r>
            <w:r>
              <w:rPr>
                <w:sz w:val="26"/>
                <w:szCs w:val="26"/>
                <w:lang w:val="uk-UA"/>
              </w:rPr>
              <w:t>.05.202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10</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Оформлення кінцевого списку використаних джерел та додатків</w:t>
            </w:r>
          </w:p>
        </w:tc>
        <w:tc>
          <w:tcPr>
            <w:tcW w:w="2340" w:type="dxa"/>
            <w:vAlign w:val="center"/>
          </w:tcPr>
          <w:p w:rsidR="00146B2D" w:rsidRPr="00AC1E32" w:rsidRDefault="00146B2D" w:rsidP="00D2520C">
            <w:pPr>
              <w:tabs>
                <w:tab w:val="left" w:pos="2251"/>
              </w:tabs>
              <w:jc w:val="center"/>
              <w:rPr>
                <w:sz w:val="26"/>
                <w:szCs w:val="26"/>
              </w:rPr>
            </w:pPr>
            <w:r>
              <w:rPr>
                <w:sz w:val="26"/>
                <w:szCs w:val="26"/>
              </w:rPr>
              <w:t>06</w:t>
            </w:r>
            <w:r>
              <w:rPr>
                <w:sz w:val="26"/>
                <w:szCs w:val="26"/>
                <w:lang w:val="uk-UA"/>
              </w:rPr>
              <w:t>.05.202</w:t>
            </w:r>
            <w:r>
              <w:rPr>
                <w:sz w:val="26"/>
                <w:szCs w:val="26"/>
              </w:rPr>
              <w:t>6</w:t>
            </w:r>
            <w:r>
              <w:rPr>
                <w:sz w:val="26"/>
                <w:szCs w:val="26"/>
                <w:lang w:val="uk-UA"/>
              </w:rPr>
              <w:t xml:space="preserve"> – </w:t>
            </w:r>
            <w:r>
              <w:rPr>
                <w:sz w:val="26"/>
                <w:szCs w:val="26"/>
              </w:rPr>
              <w:t>10</w:t>
            </w:r>
            <w:r>
              <w:rPr>
                <w:sz w:val="26"/>
                <w:szCs w:val="26"/>
                <w:lang w:val="uk-UA"/>
              </w:rPr>
              <w:t>.05.202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11</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Оформлення та попередній захист бакалаврської роботи</w:t>
            </w:r>
          </w:p>
        </w:tc>
        <w:tc>
          <w:tcPr>
            <w:tcW w:w="2340" w:type="dxa"/>
            <w:vAlign w:val="center"/>
          </w:tcPr>
          <w:p w:rsidR="00146B2D" w:rsidRPr="00AC1E32" w:rsidRDefault="00146B2D" w:rsidP="00D2520C">
            <w:pPr>
              <w:tabs>
                <w:tab w:val="left" w:pos="2251"/>
              </w:tabs>
              <w:jc w:val="center"/>
              <w:rPr>
                <w:sz w:val="26"/>
                <w:szCs w:val="26"/>
              </w:rPr>
            </w:pPr>
            <w:r>
              <w:rPr>
                <w:sz w:val="26"/>
                <w:szCs w:val="26"/>
                <w:lang w:val="uk-UA"/>
              </w:rPr>
              <w:t xml:space="preserve">до </w:t>
            </w:r>
            <w:r>
              <w:rPr>
                <w:sz w:val="26"/>
                <w:szCs w:val="26"/>
              </w:rPr>
              <w:t>15</w:t>
            </w:r>
            <w:r>
              <w:rPr>
                <w:sz w:val="26"/>
                <w:szCs w:val="26"/>
                <w:lang w:val="uk-UA"/>
              </w:rPr>
              <w:t>.05.202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12</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Внесення коректив та кінцеве редагування бакалаврської роботи</w:t>
            </w:r>
          </w:p>
        </w:tc>
        <w:tc>
          <w:tcPr>
            <w:tcW w:w="2340" w:type="dxa"/>
            <w:vAlign w:val="center"/>
          </w:tcPr>
          <w:p w:rsidR="00146B2D" w:rsidRPr="00AC1E32" w:rsidRDefault="00146B2D" w:rsidP="00D2520C">
            <w:pPr>
              <w:tabs>
                <w:tab w:val="left" w:pos="2251"/>
              </w:tabs>
              <w:jc w:val="center"/>
              <w:rPr>
                <w:sz w:val="26"/>
                <w:szCs w:val="26"/>
              </w:rPr>
            </w:pPr>
            <w:r>
              <w:rPr>
                <w:sz w:val="26"/>
                <w:szCs w:val="26"/>
              </w:rPr>
              <w:t>18</w:t>
            </w:r>
            <w:r>
              <w:rPr>
                <w:sz w:val="26"/>
                <w:szCs w:val="26"/>
                <w:lang w:val="uk-UA"/>
              </w:rPr>
              <w:t>.05.202</w:t>
            </w:r>
            <w:r>
              <w:rPr>
                <w:sz w:val="26"/>
                <w:szCs w:val="26"/>
              </w:rPr>
              <w:t xml:space="preserve">6 </w:t>
            </w:r>
            <w:r>
              <w:rPr>
                <w:sz w:val="26"/>
                <w:szCs w:val="26"/>
                <w:lang w:val="uk-UA"/>
              </w:rPr>
              <w:t xml:space="preserve">– </w:t>
            </w:r>
            <w:r>
              <w:rPr>
                <w:sz w:val="26"/>
                <w:szCs w:val="26"/>
              </w:rPr>
              <w:t>26</w:t>
            </w:r>
            <w:r>
              <w:rPr>
                <w:sz w:val="26"/>
                <w:szCs w:val="26"/>
                <w:lang w:val="uk-UA"/>
              </w:rPr>
              <w:t>.0</w:t>
            </w:r>
            <w:r>
              <w:rPr>
                <w:sz w:val="26"/>
                <w:szCs w:val="26"/>
              </w:rPr>
              <w:t>5</w:t>
            </w:r>
            <w:r>
              <w:rPr>
                <w:sz w:val="26"/>
                <w:szCs w:val="26"/>
                <w:lang w:val="uk-UA"/>
              </w:rPr>
              <w:t>.202</w:t>
            </w:r>
            <w:r>
              <w:rPr>
                <w:sz w:val="26"/>
                <w:szCs w:val="26"/>
              </w:rPr>
              <w:t>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13</w:t>
            </w:r>
          </w:p>
        </w:tc>
        <w:tc>
          <w:tcPr>
            <w:tcW w:w="4451" w:type="dxa"/>
            <w:gridSpan w:val="2"/>
          </w:tcPr>
          <w:p w:rsidR="00146B2D" w:rsidRPr="00134A6B" w:rsidRDefault="00146B2D" w:rsidP="00D2520C">
            <w:pPr>
              <w:tabs>
                <w:tab w:val="left" w:pos="2251"/>
              </w:tabs>
              <w:rPr>
                <w:sz w:val="26"/>
                <w:szCs w:val="26"/>
                <w:lang w:val="uk-UA"/>
              </w:rPr>
            </w:pPr>
            <w:r>
              <w:rPr>
                <w:sz w:val="26"/>
                <w:szCs w:val="26"/>
                <w:lang w:val="uk-UA"/>
              </w:rPr>
              <w:t>Реєстрація бакалаврської роботи на кафедрі</w:t>
            </w:r>
          </w:p>
        </w:tc>
        <w:tc>
          <w:tcPr>
            <w:tcW w:w="2340" w:type="dxa"/>
            <w:vAlign w:val="center"/>
          </w:tcPr>
          <w:p w:rsidR="00146B2D" w:rsidRPr="00134A6B" w:rsidRDefault="00146B2D" w:rsidP="00D2520C">
            <w:pPr>
              <w:tabs>
                <w:tab w:val="left" w:pos="2251"/>
              </w:tabs>
              <w:jc w:val="center"/>
              <w:rPr>
                <w:sz w:val="26"/>
                <w:szCs w:val="26"/>
                <w:highlight w:val="yellow"/>
                <w:lang w:val="uk-UA"/>
              </w:rPr>
            </w:pPr>
            <w:r>
              <w:rPr>
                <w:sz w:val="26"/>
                <w:szCs w:val="26"/>
                <w:lang w:val="uk-UA"/>
              </w:rPr>
              <w:t>до 05.06.2026</w:t>
            </w:r>
          </w:p>
        </w:tc>
        <w:tc>
          <w:tcPr>
            <w:tcW w:w="1979" w:type="dxa"/>
            <w:vAlign w:val="center"/>
          </w:tcPr>
          <w:p w:rsidR="00146B2D" w:rsidRPr="00E53545" w:rsidRDefault="00146B2D" w:rsidP="00D2520C">
            <w:pPr>
              <w:jc w:val="center"/>
              <w:rPr>
                <w:i/>
                <w:sz w:val="26"/>
                <w:szCs w:val="26"/>
                <w:lang w:val="uk-UA"/>
              </w:rPr>
            </w:pPr>
            <w:r>
              <w:rPr>
                <w:i/>
                <w:sz w:val="26"/>
                <w:szCs w:val="26"/>
                <w:lang w:val="uk-UA"/>
              </w:rPr>
              <w:t>виконано</w:t>
            </w:r>
          </w:p>
        </w:tc>
      </w:tr>
      <w:tr w:rsidR="00146B2D" w:rsidRPr="00134A6B" w:rsidTr="00D2520C">
        <w:tc>
          <w:tcPr>
            <w:tcW w:w="648" w:type="dxa"/>
          </w:tcPr>
          <w:p w:rsidR="00146B2D" w:rsidRPr="00134A6B" w:rsidRDefault="00146B2D" w:rsidP="00D2520C">
            <w:pPr>
              <w:jc w:val="center"/>
              <w:rPr>
                <w:sz w:val="26"/>
                <w:szCs w:val="26"/>
                <w:lang w:val="uk-UA"/>
              </w:rPr>
            </w:pPr>
            <w:r>
              <w:rPr>
                <w:sz w:val="26"/>
                <w:szCs w:val="26"/>
                <w:lang w:val="uk-UA"/>
              </w:rPr>
              <w:t>14</w:t>
            </w:r>
          </w:p>
        </w:tc>
        <w:tc>
          <w:tcPr>
            <w:tcW w:w="4451" w:type="dxa"/>
            <w:gridSpan w:val="2"/>
          </w:tcPr>
          <w:p w:rsidR="00146B2D" w:rsidRPr="00134A6B" w:rsidRDefault="00146B2D" w:rsidP="00D2520C">
            <w:pPr>
              <w:tabs>
                <w:tab w:val="num" w:pos="972"/>
                <w:tab w:val="left" w:pos="2251"/>
              </w:tabs>
              <w:rPr>
                <w:sz w:val="26"/>
                <w:szCs w:val="26"/>
                <w:lang w:val="uk-UA"/>
              </w:rPr>
            </w:pPr>
            <w:r>
              <w:rPr>
                <w:sz w:val="26"/>
                <w:szCs w:val="26"/>
                <w:lang w:val="uk-UA"/>
              </w:rPr>
              <w:t>Захист бакалаврської роботи</w:t>
            </w:r>
          </w:p>
        </w:tc>
        <w:tc>
          <w:tcPr>
            <w:tcW w:w="2340" w:type="dxa"/>
            <w:vAlign w:val="center"/>
          </w:tcPr>
          <w:p w:rsidR="00146B2D" w:rsidRPr="00134A6B" w:rsidRDefault="00146B2D" w:rsidP="00D2520C">
            <w:pPr>
              <w:tabs>
                <w:tab w:val="left" w:pos="2394"/>
              </w:tabs>
              <w:jc w:val="center"/>
              <w:rPr>
                <w:sz w:val="26"/>
                <w:szCs w:val="26"/>
                <w:lang w:val="uk-UA"/>
              </w:rPr>
            </w:pPr>
            <w:r>
              <w:rPr>
                <w:sz w:val="26"/>
                <w:szCs w:val="26"/>
                <w:lang w:val="uk-UA"/>
              </w:rPr>
              <w:t>1</w:t>
            </w:r>
            <w:r w:rsidR="00974D1E">
              <w:rPr>
                <w:sz w:val="26"/>
                <w:szCs w:val="26"/>
                <w:lang w:val="uk-UA"/>
              </w:rPr>
              <w:t>7</w:t>
            </w:r>
            <w:r>
              <w:rPr>
                <w:sz w:val="26"/>
                <w:szCs w:val="26"/>
                <w:lang w:val="uk-UA"/>
              </w:rPr>
              <w:t>.06.2026</w:t>
            </w:r>
          </w:p>
        </w:tc>
        <w:tc>
          <w:tcPr>
            <w:tcW w:w="1979" w:type="dxa"/>
            <w:vAlign w:val="center"/>
          </w:tcPr>
          <w:p w:rsidR="00146B2D" w:rsidRPr="00E53545" w:rsidRDefault="00146B2D" w:rsidP="00D2520C">
            <w:pPr>
              <w:jc w:val="center"/>
              <w:rPr>
                <w:i/>
                <w:sz w:val="26"/>
                <w:szCs w:val="26"/>
                <w:lang w:val="uk-UA"/>
              </w:rPr>
            </w:pPr>
          </w:p>
        </w:tc>
      </w:tr>
    </w:tbl>
    <w:p w:rsidR="00146B2D" w:rsidRPr="00134A6B" w:rsidRDefault="00146B2D" w:rsidP="00146B2D">
      <w:pPr>
        <w:tabs>
          <w:tab w:val="left" w:pos="1620"/>
          <w:tab w:val="left" w:pos="3960"/>
          <w:tab w:val="left" w:pos="6660"/>
        </w:tabs>
        <w:jc w:val="both"/>
        <w:rPr>
          <w:b/>
          <w:lang w:val="uk-UA"/>
        </w:rPr>
      </w:pPr>
    </w:p>
    <w:p w:rsidR="00146B2D" w:rsidRPr="00134A6B" w:rsidRDefault="00146B2D" w:rsidP="00146B2D">
      <w:pPr>
        <w:tabs>
          <w:tab w:val="left" w:pos="1620"/>
          <w:tab w:val="left" w:pos="4320"/>
          <w:tab w:val="left" w:pos="7200"/>
        </w:tabs>
        <w:jc w:val="both"/>
        <w:rPr>
          <w:lang w:val="uk-UA"/>
        </w:rPr>
      </w:pPr>
    </w:p>
    <w:p w:rsidR="00146B2D" w:rsidRPr="00147297" w:rsidRDefault="00146B2D" w:rsidP="00146B2D">
      <w:pPr>
        <w:tabs>
          <w:tab w:val="left" w:pos="4111"/>
          <w:tab w:val="left" w:pos="4536"/>
          <w:tab w:val="left" w:pos="7200"/>
        </w:tabs>
        <w:ind w:left="-284"/>
        <w:jc w:val="both"/>
        <w:rPr>
          <w:color w:val="FFFFFF"/>
          <w:lang w:val="uk-UA"/>
        </w:rPr>
      </w:pPr>
      <w:r>
        <w:rPr>
          <w:lang w:val="uk-UA"/>
        </w:rPr>
        <w:t xml:space="preserve">          Студент</w:t>
      </w:r>
      <w:r>
        <w:rPr>
          <w:lang w:val="uk-UA"/>
        </w:rPr>
        <w:tab/>
        <w:t>_______________  Катерина-Аліна ЄРУЗЕЛЬ</w:t>
      </w:r>
    </w:p>
    <w:p w:rsidR="00146B2D" w:rsidRPr="00134A6B" w:rsidRDefault="00146B2D" w:rsidP="00146B2D">
      <w:pPr>
        <w:tabs>
          <w:tab w:val="left" w:pos="3686"/>
          <w:tab w:val="left" w:pos="7200"/>
        </w:tabs>
        <w:ind w:left="-142"/>
        <w:jc w:val="both"/>
        <w:rPr>
          <w:u w:val="single"/>
          <w:lang w:val="uk-UA"/>
        </w:rPr>
      </w:pPr>
    </w:p>
    <w:p w:rsidR="00146B2D" w:rsidRPr="00134A6B" w:rsidRDefault="00146B2D" w:rsidP="00146B2D">
      <w:pPr>
        <w:tabs>
          <w:tab w:val="left" w:pos="3686"/>
          <w:tab w:val="left" w:pos="7200"/>
        </w:tabs>
        <w:ind w:left="-142" w:right="333"/>
        <w:jc w:val="right"/>
        <w:rPr>
          <w:lang w:val="uk-UA"/>
        </w:rPr>
      </w:pPr>
      <w:r>
        <w:rPr>
          <w:lang w:val="uk-UA"/>
        </w:rPr>
        <w:t xml:space="preserve">  Керівник</w:t>
      </w:r>
      <w:r>
        <w:rPr>
          <w:b/>
          <w:lang w:val="uk-UA"/>
        </w:rPr>
        <w:t xml:space="preserve"> </w:t>
      </w:r>
      <w:r>
        <w:rPr>
          <w:lang w:val="uk-UA"/>
        </w:rPr>
        <w:t>роботи</w:t>
      </w:r>
      <w:r>
        <w:rPr>
          <w:lang w:val="uk-UA"/>
        </w:rPr>
        <w:tab/>
      </w:r>
      <w:r>
        <w:rPr>
          <w:b/>
          <w:lang w:val="uk-UA"/>
        </w:rPr>
        <w:t>_______________</w:t>
      </w:r>
      <w:r>
        <w:rPr>
          <w:b/>
          <w:lang w:val="uk-UA"/>
        </w:rPr>
        <w:tab/>
      </w:r>
      <w:r>
        <w:rPr>
          <w:lang w:val="uk-UA"/>
        </w:rPr>
        <w:t>Оксана ЛАБА</w:t>
      </w:r>
    </w:p>
    <w:p w:rsidR="00146B2D" w:rsidRDefault="00146B2D" w:rsidP="00146B2D">
      <w:pPr>
        <w:pStyle w:val="Default"/>
        <w:tabs>
          <w:tab w:val="left" w:pos="3686"/>
        </w:tabs>
        <w:ind w:left="-142"/>
        <w:rPr>
          <w:rFonts w:ascii="Times New Roman" w:eastAsiaTheme="minorHAnsi" w:hAnsi="Times New Roman" w:cstheme="minorBidi"/>
          <w:color w:val="auto"/>
          <w:sz w:val="23"/>
          <w:szCs w:val="23"/>
          <w:lang w:val="uk-UA"/>
        </w:rPr>
      </w:pPr>
    </w:p>
    <w:p w:rsidR="00146B2D" w:rsidRDefault="00146B2D" w:rsidP="00146B2D">
      <w:pPr>
        <w:spacing w:after="360" w:line="360" w:lineRule="auto"/>
        <w:jc w:val="center"/>
        <w:rPr>
          <w:b/>
          <w:bCs/>
          <w:lang w:val="uk-UA"/>
        </w:rPr>
      </w:pPr>
    </w:p>
    <w:p w:rsidR="00146B2D" w:rsidRDefault="00146B2D" w:rsidP="00146B2D">
      <w:pPr>
        <w:spacing w:after="360" w:line="360" w:lineRule="auto"/>
        <w:jc w:val="center"/>
        <w:rPr>
          <w:b/>
          <w:bCs/>
          <w:lang w:val="uk-UA"/>
        </w:rPr>
      </w:pPr>
    </w:p>
    <w:p w:rsidR="00146B2D" w:rsidRDefault="00146B2D" w:rsidP="00146B2D">
      <w:pPr>
        <w:spacing w:after="360" w:line="360" w:lineRule="auto"/>
        <w:jc w:val="center"/>
        <w:rPr>
          <w:b/>
          <w:bCs/>
          <w:lang w:val="uk-UA"/>
        </w:rPr>
      </w:pPr>
    </w:p>
    <w:p w:rsidR="00151C63" w:rsidRPr="00B91331" w:rsidRDefault="00151C63" w:rsidP="00151C63">
      <w:pPr>
        <w:pStyle w:val="NormalWeb"/>
        <w:jc w:val="center"/>
        <w:rPr>
          <w:color w:val="000000"/>
          <w:sz w:val="28"/>
          <w:szCs w:val="28"/>
        </w:rPr>
      </w:pPr>
      <w:r>
        <w:rPr>
          <w:rStyle w:val="Strong"/>
          <w:rFonts w:eastAsiaTheme="majorEastAsia"/>
          <w:color w:val="000000"/>
          <w:sz w:val="28"/>
          <w:szCs w:val="28"/>
        </w:rPr>
        <w:lastRenderedPageBreak/>
        <w:t>ЗМІСТ</w:t>
      </w:r>
    </w:p>
    <w:p w:rsidR="00151C63" w:rsidRPr="00B91331" w:rsidRDefault="00151C63" w:rsidP="00151C63">
      <w:pPr>
        <w:pStyle w:val="NormalWeb"/>
        <w:spacing w:before="0" w:beforeAutospacing="0" w:after="0" w:afterAutospacing="0" w:line="360" w:lineRule="auto"/>
        <w:ind w:hanging="142"/>
        <w:jc w:val="both"/>
        <w:rPr>
          <w:color w:val="000000"/>
          <w:sz w:val="28"/>
          <w:szCs w:val="28"/>
        </w:rPr>
      </w:pPr>
    </w:p>
    <w:tbl>
      <w:tblPr>
        <w:tblStyle w:val="TableGrid"/>
        <w:tblW w:w="9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gridCol w:w="496"/>
      </w:tblGrid>
      <w:tr w:rsidR="00C4294F" w:rsidRPr="001246CD" w:rsidTr="00C4294F">
        <w:tc>
          <w:tcPr>
            <w:tcW w:w="9336" w:type="dxa"/>
          </w:tcPr>
          <w:p w:rsidR="00151C63" w:rsidRPr="001246CD" w:rsidRDefault="00151C63" w:rsidP="00D2520C">
            <w:pPr>
              <w:spacing w:line="360" w:lineRule="auto"/>
              <w:jc w:val="both"/>
              <w:rPr>
                <w:rFonts w:ascii="Times New Roman" w:hAnsi="Times New Roman" w:cs="Times New Roman"/>
                <w:sz w:val="28"/>
                <w:szCs w:val="28"/>
                <w:lang w:val="uk-UA"/>
              </w:rPr>
            </w:pPr>
            <w:r>
              <w:rPr>
                <w:rFonts w:ascii="Times New Roman" w:hAnsi="Times New Roman" w:cs="Times New Roman"/>
                <w:b/>
                <w:bCs/>
                <w:color w:val="000000"/>
                <w:sz w:val="28"/>
                <w:szCs w:val="28"/>
              </w:rPr>
              <w:t>ВСТУП</w:t>
            </w:r>
            <w:r>
              <w:rPr>
                <w:rFonts w:ascii="Times New Roman" w:hAnsi="Times New Roman" w:cs="Times New Roman"/>
                <w:color w:val="000000"/>
                <w:sz w:val="28"/>
                <w:szCs w:val="28"/>
                <w:lang w:val="uk-UA"/>
              </w:rPr>
              <w:t>……………………………………………………………………………</w:t>
            </w:r>
          </w:p>
        </w:tc>
        <w:tc>
          <w:tcPr>
            <w:tcW w:w="496" w:type="dxa"/>
          </w:tcPr>
          <w:p w:rsidR="00151C63"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C4294F" w:rsidRPr="001246CD" w:rsidTr="00C4294F">
        <w:tc>
          <w:tcPr>
            <w:tcW w:w="9336" w:type="dxa"/>
          </w:tcPr>
          <w:p w:rsidR="00151C63" w:rsidRPr="001246CD" w:rsidRDefault="00151C63" w:rsidP="00D2520C">
            <w:pPr>
              <w:spacing w:line="360" w:lineRule="auto"/>
              <w:jc w:val="both"/>
              <w:rPr>
                <w:rFonts w:ascii="Times New Roman" w:hAnsi="Times New Roman" w:cs="Times New Roman"/>
                <w:sz w:val="28"/>
                <w:szCs w:val="28"/>
                <w:lang w:val="uk-UA"/>
              </w:rPr>
            </w:pPr>
            <w:r>
              <w:rPr>
                <w:rStyle w:val="Strong"/>
                <w:rFonts w:ascii="Times New Roman" w:eastAsiaTheme="majorEastAsia" w:hAnsi="Times New Roman" w:cs="Times New Roman"/>
                <w:color w:val="000000"/>
                <w:sz w:val="28"/>
                <w:szCs w:val="28"/>
              </w:rPr>
              <w:t>РОЗДІЛ 1. ТЕОРЕТИЧНІ ОСНОВИ КОРПОРАТИВНИХ КОМУНІКАЦІЙ У СОЦІАЛЬНИХ МЕРЕЖАХ ТА ПРОФЕСІЙНИХ ПЛАТФОРМАХ</w:t>
            </w:r>
            <w:r>
              <w:rPr>
                <w:rStyle w:val="Strong"/>
                <w:rFonts w:ascii="Times New Roman" w:eastAsiaTheme="majorEastAsia" w:hAnsi="Times New Roman" w:cs="Times New Roman"/>
                <w:b w:val="0"/>
                <w:bCs w:val="0"/>
                <w:color w:val="000000"/>
                <w:sz w:val="28"/>
                <w:szCs w:val="28"/>
                <w:lang w:val="uk-UA"/>
              </w:rPr>
              <w:t>…</w:t>
            </w:r>
            <w:r>
              <w:rPr>
                <w:rStyle w:val="Strong"/>
                <w:rFonts w:eastAsiaTheme="majorEastAsia"/>
                <w:lang w:val="uk-UA"/>
              </w:rPr>
              <w:t>………………………………………………………………………………………</w:t>
            </w:r>
          </w:p>
        </w:tc>
        <w:tc>
          <w:tcPr>
            <w:tcW w:w="496" w:type="dxa"/>
          </w:tcPr>
          <w:p w:rsidR="00151C63" w:rsidRDefault="00151C63" w:rsidP="00D2520C">
            <w:pPr>
              <w:spacing w:line="360" w:lineRule="auto"/>
              <w:jc w:val="both"/>
              <w:rPr>
                <w:rFonts w:ascii="Times New Roman" w:hAnsi="Times New Roman" w:cs="Times New Roman"/>
                <w:sz w:val="28"/>
                <w:szCs w:val="28"/>
                <w:lang w:val="uk-UA"/>
              </w:rPr>
            </w:pPr>
          </w:p>
          <w:p w:rsidR="00C4294F" w:rsidRDefault="00C4294F" w:rsidP="00D2520C">
            <w:pPr>
              <w:spacing w:line="360" w:lineRule="auto"/>
              <w:jc w:val="both"/>
              <w:rPr>
                <w:rFonts w:ascii="Times New Roman" w:hAnsi="Times New Roman" w:cs="Times New Roman"/>
                <w:sz w:val="28"/>
                <w:szCs w:val="28"/>
                <w:lang w:val="uk-UA"/>
              </w:rPr>
            </w:pPr>
          </w:p>
          <w:p w:rsidR="00C4294F"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4294F" w:rsidRPr="001246CD" w:rsidTr="00C4294F">
        <w:tc>
          <w:tcPr>
            <w:tcW w:w="9336" w:type="dxa"/>
          </w:tcPr>
          <w:p w:rsidR="00151C63" w:rsidRPr="001246CD" w:rsidRDefault="00151C63" w:rsidP="00D2520C">
            <w:pPr>
              <w:spacing w:line="360" w:lineRule="auto"/>
              <w:ind w:firstLine="746"/>
              <w:jc w:val="both"/>
              <w:rPr>
                <w:rFonts w:ascii="Times New Roman" w:hAnsi="Times New Roman" w:cs="Times New Roman"/>
                <w:sz w:val="28"/>
                <w:szCs w:val="28"/>
                <w:lang w:val="uk-UA"/>
              </w:rPr>
            </w:pPr>
            <w:r>
              <w:rPr>
                <w:rFonts w:ascii="Times New Roman" w:hAnsi="Times New Roman" w:cs="Times New Roman"/>
                <w:color w:val="000000"/>
                <w:sz w:val="28"/>
                <w:szCs w:val="28"/>
              </w:rPr>
              <w:t>1.1. Поняття корпоративних комунікацій та їх роль у сучасному бізнесі</w:t>
            </w:r>
          </w:p>
        </w:tc>
        <w:tc>
          <w:tcPr>
            <w:tcW w:w="496" w:type="dxa"/>
          </w:tcPr>
          <w:p w:rsidR="00151C63"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4294F" w:rsidRPr="001246CD" w:rsidTr="00C4294F">
        <w:tc>
          <w:tcPr>
            <w:tcW w:w="9336" w:type="dxa"/>
          </w:tcPr>
          <w:p w:rsidR="00151C63" w:rsidRPr="001246CD" w:rsidRDefault="00151C63" w:rsidP="00D2520C">
            <w:pPr>
              <w:spacing w:line="360" w:lineRule="auto"/>
              <w:ind w:firstLine="746"/>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1</w:t>
            </w:r>
            <w:r>
              <w:rPr>
                <w:rFonts w:ascii="Times New Roman" w:hAnsi="Times New Roman" w:cs="Times New Roman"/>
                <w:color w:val="000000"/>
                <w:sz w:val="28"/>
                <w:szCs w:val="28"/>
              </w:rPr>
              <w:t>.2. Соціальні мережі як інструмент корпоративних комунікацій</w:t>
            </w:r>
            <w:r>
              <w:rPr>
                <w:rFonts w:ascii="Times New Roman" w:hAnsi="Times New Roman" w:cs="Times New Roman"/>
                <w:color w:val="000000"/>
                <w:sz w:val="28"/>
                <w:szCs w:val="28"/>
                <w:lang w:val="uk-UA"/>
              </w:rPr>
              <w:t>……...</w:t>
            </w:r>
          </w:p>
        </w:tc>
        <w:tc>
          <w:tcPr>
            <w:tcW w:w="496" w:type="dxa"/>
          </w:tcPr>
          <w:p w:rsidR="00151C63"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C4294F" w:rsidRPr="001246CD" w:rsidTr="00C4294F">
        <w:tc>
          <w:tcPr>
            <w:tcW w:w="9336" w:type="dxa"/>
          </w:tcPr>
          <w:p w:rsidR="00151C63" w:rsidRPr="001246CD" w:rsidRDefault="00151C63" w:rsidP="00D2520C">
            <w:pPr>
              <w:spacing w:line="360" w:lineRule="auto"/>
              <w:ind w:firstLine="746"/>
              <w:jc w:val="both"/>
              <w:rPr>
                <w:rFonts w:ascii="Times New Roman" w:hAnsi="Times New Roman" w:cs="Times New Roman"/>
                <w:sz w:val="28"/>
                <w:szCs w:val="28"/>
                <w:lang w:val="uk-UA"/>
              </w:rPr>
            </w:pPr>
            <w:r>
              <w:rPr>
                <w:rFonts w:ascii="Times New Roman" w:hAnsi="Times New Roman" w:cs="Times New Roman"/>
                <w:color w:val="000000"/>
                <w:sz w:val="28"/>
                <w:szCs w:val="28"/>
              </w:rPr>
              <w:t>1.3. Професійні платформи у системі бізнес-комунікацій</w:t>
            </w:r>
            <w:r>
              <w:rPr>
                <w:rFonts w:ascii="Times New Roman" w:hAnsi="Times New Roman" w:cs="Times New Roman"/>
                <w:color w:val="000000"/>
                <w:sz w:val="28"/>
                <w:szCs w:val="28"/>
                <w:lang w:val="uk-UA"/>
              </w:rPr>
              <w:t>………………</w:t>
            </w:r>
          </w:p>
        </w:tc>
        <w:tc>
          <w:tcPr>
            <w:tcW w:w="496" w:type="dxa"/>
          </w:tcPr>
          <w:p w:rsidR="00151C63"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C4294F" w:rsidRPr="001246CD" w:rsidTr="00C4294F">
        <w:tc>
          <w:tcPr>
            <w:tcW w:w="9336" w:type="dxa"/>
          </w:tcPr>
          <w:p w:rsidR="00151C63" w:rsidRPr="001246CD" w:rsidRDefault="00151C63" w:rsidP="00D2520C">
            <w:pPr>
              <w:spacing w:line="360" w:lineRule="auto"/>
              <w:jc w:val="both"/>
              <w:rPr>
                <w:rFonts w:ascii="Times New Roman" w:hAnsi="Times New Roman" w:cs="Times New Roman"/>
                <w:sz w:val="28"/>
                <w:szCs w:val="28"/>
                <w:lang w:val="uk-UA"/>
              </w:rPr>
            </w:pPr>
            <w:r>
              <w:rPr>
                <w:rStyle w:val="Strong"/>
                <w:rFonts w:ascii="Times New Roman" w:eastAsiaTheme="majorEastAsia" w:hAnsi="Times New Roman" w:cs="Times New Roman"/>
                <w:color w:val="000000"/>
                <w:sz w:val="28"/>
                <w:szCs w:val="28"/>
              </w:rPr>
              <w:t>РОЗДІЛ 2. АНАЛІЗ ВИКОРИСТАННЯ СОЦІАЛЬНИХ МЕРЕЖ ТА ПРОФЕСІЙНИХ ПЛАТФОРМ У ДІЯЛЬНОСТІ ФОП «НОВИЙ СЕЗОН»</w:t>
            </w:r>
            <w:r>
              <w:rPr>
                <w:rStyle w:val="apple-converted-space"/>
                <w:rFonts w:ascii="Times New Roman" w:eastAsiaTheme="majorEastAsia" w:hAnsi="Times New Roman" w:cs="Times New Roman"/>
                <w:color w:val="000000"/>
                <w:sz w:val="28"/>
                <w:szCs w:val="28"/>
              </w:rPr>
              <w:t> </w:t>
            </w:r>
            <w:r>
              <w:rPr>
                <w:rStyle w:val="apple-converted-space"/>
                <w:rFonts w:ascii="Times New Roman" w:eastAsiaTheme="majorEastAsia" w:hAnsi="Times New Roman" w:cs="Times New Roman"/>
                <w:color w:val="000000"/>
                <w:sz w:val="28"/>
                <w:szCs w:val="28"/>
                <w:lang w:val="uk-UA"/>
              </w:rPr>
              <w:t>…</w:t>
            </w:r>
            <w:r>
              <w:rPr>
                <w:rStyle w:val="apple-converted-space"/>
                <w:rFonts w:ascii="Times New Roman" w:hAnsi="Times New Roman" w:cs="Times New Roman"/>
                <w:color w:val="000000"/>
                <w:sz w:val="28"/>
                <w:szCs w:val="28"/>
                <w:lang w:val="uk-UA"/>
              </w:rPr>
              <w:t>……………………………………………………………………….</w:t>
            </w:r>
          </w:p>
        </w:tc>
        <w:tc>
          <w:tcPr>
            <w:tcW w:w="496" w:type="dxa"/>
          </w:tcPr>
          <w:p w:rsidR="00151C63" w:rsidRDefault="00151C63" w:rsidP="00D2520C">
            <w:pPr>
              <w:spacing w:line="360" w:lineRule="auto"/>
              <w:jc w:val="both"/>
              <w:rPr>
                <w:rFonts w:ascii="Times New Roman" w:hAnsi="Times New Roman" w:cs="Times New Roman"/>
                <w:sz w:val="28"/>
                <w:szCs w:val="28"/>
                <w:lang w:val="uk-UA"/>
              </w:rPr>
            </w:pPr>
          </w:p>
          <w:p w:rsidR="00C4294F" w:rsidRDefault="00C4294F" w:rsidP="00D2520C">
            <w:pPr>
              <w:spacing w:line="360" w:lineRule="auto"/>
              <w:jc w:val="both"/>
              <w:rPr>
                <w:rFonts w:ascii="Times New Roman" w:hAnsi="Times New Roman" w:cs="Times New Roman"/>
                <w:sz w:val="28"/>
                <w:szCs w:val="28"/>
                <w:lang w:val="uk-UA"/>
              </w:rPr>
            </w:pPr>
          </w:p>
          <w:p w:rsidR="00C4294F"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C4294F" w:rsidRPr="001246CD" w:rsidTr="00C4294F">
        <w:tc>
          <w:tcPr>
            <w:tcW w:w="9336" w:type="dxa"/>
          </w:tcPr>
          <w:p w:rsidR="00151C63" w:rsidRPr="001246CD" w:rsidRDefault="00151C63" w:rsidP="00D2520C">
            <w:pPr>
              <w:spacing w:line="360" w:lineRule="auto"/>
              <w:ind w:firstLine="888"/>
              <w:jc w:val="both"/>
              <w:rPr>
                <w:rFonts w:ascii="Times New Roman" w:hAnsi="Times New Roman" w:cs="Times New Roman"/>
                <w:sz w:val="28"/>
                <w:szCs w:val="28"/>
                <w:lang w:val="uk-UA"/>
              </w:rPr>
            </w:pPr>
            <w:r>
              <w:rPr>
                <w:rFonts w:ascii="Times New Roman" w:hAnsi="Times New Roman" w:cs="Times New Roman"/>
                <w:color w:val="000000"/>
                <w:sz w:val="28"/>
                <w:szCs w:val="28"/>
              </w:rPr>
              <w:t>2.1. Загальна характеристика діяльності ФОП «Новий сезон»</w:t>
            </w:r>
            <w:r>
              <w:rPr>
                <w:rFonts w:ascii="Times New Roman" w:hAnsi="Times New Roman" w:cs="Times New Roman"/>
                <w:color w:val="000000"/>
                <w:sz w:val="28"/>
                <w:szCs w:val="28"/>
                <w:lang w:val="uk-UA"/>
              </w:rPr>
              <w:t>………..</w:t>
            </w:r>
          </w:p>
        </w:tc>
        <w:tc>
          <w:tcPr>
            <w:tcW w:w="496" w:type="dxa"/>
          </w:tcPr>
          <w:p w:rsidR="00151C63"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C4294F" w:rsidRPr="001246CD" w:rsidTr="00C4294F">
        <w:tc>
          <w:tcPr>
            <w:tcW w:w="9336" w:type="dxa"/>
          </w:tcPr>
          <w:p w:rsidR="00151C63" w:rsidRPr="001246CD" w:rsidRDefault="00151C63" w:rsidP="00D2520C">
            <w:pPr>
              <w:spacing w:line="360" w:lineRule="auto"/>
              <w:ind w:firstLine="888"/>
              <w:jc w:val="both"/>
              <w:rPr>
                <w:rFonts w:ascii="Times New Roman" w:hAnsi="Times New Roman" w:cs="Times New Roman"/>
                <w:sz w:val="28"/>
                <w:szCs w:val="28"/>
                <w:lang w:val="uk-UA"/>
              </w:rPr>
            </w:pPr>
            <w:r>
              <w:rPr>
                <w:rFonts w:ascii="Times New Roman" w:hAnsi="Times New Roman" w:cs="Times New Roman"/>
                <w:color w:val="000000"/>
                <w:sz w:val="28"/>
                <w:szCs w:val="28"/>
              </w:rPr>
              <w:t>2.2. Аналіз використання соціальних мереж у корпоративних комунікаціях підприємства</w:t>
            </w:r>
            <w:r>
              <w:rPr>
                <w:rFonts w:ascii="Times New Roman" w:hAnsi="Times New Roman" w:cs="Times New Roman"/>
                <w:color w:val="000000"/>
                <w:sz w:val="28"/>
                <w:szCs w:val="28"/>
                <w:lang w:val="uk-UA"/>
              </w:rPr>
              <w:t>………………………………………………………</w:t>
            </w:r>
          </w:p>
        </w:tc>
        <w:tc>
          <w:tcPr>
            <w:tcW w:w="496" w:type="dxa"/>
          </w:tcPr>
          <w:p w:rsidR="00151C63" w:rsidRDefault="00151C63" w:rsidP="00D2520C">
            <w:pPr>
              <w:spacing w:line="360" w:lineRule="auto"/>
              <w:jc w:val="both"/>
              <w:rPr>
                <w:rFonts w:ascii="Times New Roman" w:hAnsi="Times New Roman" w:cs="Times New Roman"/>
                <w:sz w:val="28"/>
                <w:szCs w:val="28"/>
                <w:lang w:val="uk-UA"/>
              </w:rPr>
            </w:pPr>
          </w:p>
          <w:p w:rsidR="00C4294F"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43</w:t>
            </w:r>
          </w:p>
        </w:tc>
      </w:tr>
      <w:tr w:rsidR="00C4294F" w:rsidRPr="001246CD" w:rsidTr="00C4294F">
        <w:tc>
          <w:tcPr>
            <w:tcW w:w="9336" w:type="dxa"/>
          </w:tcPr>
          <w:p w:rsidR="00151C63" w:rsidRPr="001246CD" w:rsidRDefault="00151C63" w:rsidP="00D2520C">
            <w:pPr>
              <w:spacing w:line="360" w:lineRule="auto"/>
              <w:ind w:firstLine="888"/>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2</w:t>
            </w:r>
            <w:r>
              <w:rPr>
                <w:rFonts w:ascii="Times New Roman" w:hAnsi="Times New Roman" w:cs="Times New Roman"/>
                <w:color w:val="000000"/>
                <w:sz w:val="28"/>
                <w:szCs w:val="28"/>
              </w:rPr>
              <w:t>.3. Рекомендації щодо вдосконалення використання соціальних мереж та професійних платформ у діяльності ФОП «Новий сезон»</w:t>
            </w:r>
            <w:r>
              <w:rPr>
                <w:rFonts w:ascii="Times New Roman" w:hAnsi="Times New Roman" w:cs="Times New Roman"/>
                <w:color w:val="000000"/>
                <w:sz w:val="28"/>
                <w:szCs w:val="28"/>
                <w:lang w:val="uk-UA"/>
              </w:rPr>
              <w:t>………….</w:t>
            </w:r>
          </w:p>
        </w:tc>
        <w:tc>
          <w:tcPr>
            <w:tcW w:w="496" w:type="dxa"/>
          </w:tcPr>
          <w:p w:rsidR="00151C63" w:rsidRDefault="00151C63" w:rsidP="00D2520C">
            <w:pPr>
              <w:spacing w:line="360" w:lineRule="auto"/>
              <w:jc w:val="both"/>
              <w:rPr>
                <w:rFonts w:ascii="Times New Roman" w:hAnsi="Times New Roman" w:cs="Times New Roman"/>
                <w:sz w:val="28"/>
                <w:szCs w:val="28"/>
                <w:lang w:val="uk-UA"/>
              </w:rPr>
            </w:pPr>
          </w:p>
          <w:p w:rsidR="00C4294F"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46</w:t>
            </w:r>
          </w:p>
        </w:tc>
      </w:tr>
      <w:tr w:rsidR="00C4294F" w:rsidRPr="001246CD" w:rsidTr="00C4294F">
        <w:tc>
          <w:tcPr>
            <w:tcW w:w="9336" w:type="dxa"/>
          </w:tcPr>
          <w:p w:rsidR="00151C63" w:rsidRPr="001246CD" w:rsidRDefault="00151C63" w:rsidP="00D2520C">
            <w:pPr>
              <w:spacing w:line="360" w:lineRule="auto"/>
              <w:jc w:val="both"/>
              <w:rPr>
                <w:rFonts w:ascii="Times New Roman" w:hAnsi="Times New Roman" w:cs="Times New Roman"/>
                <w:sz w:val="28"/>
                <w:szCs w:val="28"/>
                <w:lang w:val="uk-UA"/>
              </w:rPr>
            </w:pPr>
            <w:r>
              <w:rPr>
                <w:rFonts w:ascii="Times New Roman" w:hAnsi="Times New Roman" w:cs="Times New Roman"/>
                <w:b/>
                <w:bCs/>
                <w:color w:val="000000"/>
                <w:sz w:val="28"/>
                <w:szCs w:val="28"/>
              </w:rPr>
              <w:t>ВИСНОВКИ</w:t>
            </w:r>
            <w:r>
              <w:rPr>
                <w:rFonts w:ascii="Times New Roman" w:hAnsi="Times New Roman" w:cs="Times New Roman"/>
                <w:b/>
                <w:bCs/>
                <w:color w:val="000000"/>
                <w:sz w:val="28"/>
                <w:szCs w:val="28"/>
                <w:lang w:val="uk-UA"/>
              </w:rPr>
              <w:t xml:space="preserve"> </w:t>
            </w:r>
            <w:r>
              <w:rPr>
                <w:lang w:val="uk-UA"/>
              </w:rPr>
              <w:t>…………………………………………………………………………………………………..</w:t>
            </w:r>
          </w:p>
        </w:tc>
        <w:tc>
          <w:tcPr>
            <w:tcW w:w="496" w:type="dxa"/>
          </w:tcPr>
          <w:p w:rsidR="00151C63"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57</w:t>
            </w:r>
          </w:p>
        </w:tc>
      </w:tr>
      <w:tr w:rsidR="00C4294F" w:rsidRPr="001246CD" w:rsidTr="00C4294F">
        <w:tc>
          <w:tcPr>
            <w:tcW w:w="9336" w:type="dxa"/>
          </w:tcPr>
          <w:p w:rsidR="00151C63" w:rsidRPr="001246CD" w:rsidRDefault="00151C63" w:rsidP="00D2520C">
            <w:pPr>
              <w:spacing w:line="360" w:lineRule="auto"/>
              <w:jc w:val="both"/>
              <w:rPr>
                <w:rFonts w:ascii="Times New Roman" w:hAnsi="Times New Roman" w:cs="Times New Roman"/>
                <w:sz w:val="28"/>
                <w:szCs w:val="28"/>
                <w:lang w:val="uk-UA"/>
              </w:rPr>
            </w:pPr>
            <w:r>
              <w:rPr>
                <w:rFonts w:ascii="Times New Roman" w:hAnsi="Times New Roman" w:cs="Times New Roman"/>
                <w:b/>
                <w:bCs/>
                <w:color w:val="000000"/>
                <w:sz w:val="28"/>
                <w:szCs w:val="28"/>
              </w:rPr>
              <w:t>СПИСОК ВИКОРИСТАНИХ ДЖЕРЕЛ</w:t>
            </w:r>
            <w:r>
              <w:rPr>
                <w:rFonts w:ascii="Times New Roman" w:hAnsi="Times New Roman" w:cs="Times New Roman"/>
                <w:b/>
                <w:bCs/>
                <w:color w:val="000000"/>
                <w:sz w:val="28"/>
                <w:szCs w:val="28"/>
                <w:lang w:val="uk-UA"/>
              </w:rPr>
              <w:t xml:space="preserve"> </w:t>
            </w:r>
            <w:r>
              <w:rPr>
                <w:rFonts w:ascii="Times New Roman" w:hAnsi="Times New Roman" w:cs="Times New Roman"/>
                <w:color w:val="000000"/>
                <w:sz w:val="28"/>
                <w:szCs w:val="28"/>
                <w:lang w:val="uk-UA"/>
              </w:rPr>
              <w:t>……………………………………..</w:t>
            </w:r>
          </w:p>
        </w:tc>
        <w:tc>
          <w:tcPr>
            <w:tcW w:w="496" w:type="dxa"/>
          </w:tcPr>
          <w:p w:rsidR="00151C63" w:rsidRPr="001246CD" w:rsidRDefault="00C4294F" w:rsidP="00D2520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60</w:t>
            </w:r>
          </w:p>
        </w:tc>
      </w:tr>
    </w:tbl>
    <w:p w:rsidR="00151C63" w:rsidRPr="00B91331" w:rsidRDefault="00151C63" w:rsidP="00151C63">
      <w:pPr>
        <w:spacing w:line="360" w:lineRule="auto"/>
        <w:ind w:hanging="142"/>
        <w:jc w:val="both"/>
        <w:rPr>
          <w:lang w:val="uk-UA"/>
        </w:rPr>
      </w:pPr>
    </w:p>
    <w:p w:rsidR="00151C63" w:rsidRDefault="00151C63" w:rsidP="00151C63">
      <w:pPr>
        <w:pStyle w:val="NormalWeb"/>
        <w:jc w:val="center"/>
        <w:rPr>
          <w:b/>
          <w:bCs/>
          <w:color w:val="000000"/>
          <w:sz w:val="28"/>
          <w:szCs w:val="28"/>
          <w:lang w:val="uk-UA"/>
        </w:rPr>
      </w:pPr>
    </w:p>
    <w:p w:rsidR="00151C63" w:rsidRDefault="00151C63" w:rsidP="00151C63">
      <w:pPr>
        <w:pStyle w:val="NormalWeb"/>
        <w:jc w:val="center"/>
        <w:rPr>
          <w:b/>
          <w:bCs/>
          <w:color w:val="000000"/>
          <w:sz w:val="28"/>
          <w:szCs w:val="28"/>
          <w:lang w:val="uk-UA"/>
        </w:rPr>
      </w:pPr>
    </w:p>
    <w:p w:rsidR="00151C63" w:rsidRDefault="00151C63" w:rsidP="00151C63">
      <w:pPr>
        <w:pStyle w:val="NormalWeb"/>
        <w:jc w:val="center"/>
        <w:rPr>
          <w:b/>
          <w:bCs/>
          <w:color w:val="000000"/>
          <w:sz w:val="28"/>
          <w:szCs w:val="28"/>
          <w:lang w:val="uk-UA"/>
        </w:rPr>
      </w:pPr>
    </w:p>
    <w:p w:rsidR="00C4294F" w:rsidRDefault="00C4294F" w:rsidP="00151C63">
      <w:pPr>
        <w:pStyle w:val="NormalWeb"/>
        <w:jc w:val="center"/>
        <w:rPr>
          <w:b/>
          <w:bCs/>
          <w:color w:val="000000"/>
          <w:sz w:val="28"/>
          <w:szCs w:val="28"/>
          <w:lang w:val="uk-UA"/>
        </w:rPr>
      </w:pPr>
    </w:p>
    <w:p w:rsidR="00151C63" w:rsidRDefault="00151C63" w:rsidP="00151C63">
      <w:pPr>
        <w:pStyle w:val="NormalWeb"/>
        <w:jc w:val="center"/>
        <w:rPr>
          <w:b/>
          <w:bCs/>
          <w:color w:val="000000"/>
          <w:sz w:val="28"/>
          <w:szCs w:val="28"/>
          <w:lang w:val="uk-UA"/>
        </w:rPr>
      </w:pPr>
    </w:p>
    <w:p w:rsidR="00151C63" w:rsidRDefault="00151C63" w:rsidP="00151C63">
      <w:pPr>
        <w:pStyle w:val="NormalWeb"/>
        <w:jc w:val="center"/>
        <w:rPr>
          <w:b/>
          <w:bCs/>
          <w:color w:val="000000"/>
          <w:sz w:val="28"/>
          <w:szCs w:val="28"/>
          <w:lang w:val="uk-UA"/>
        </w:rPr>
      </w:pPr>
    </w:p>
    <w:p w:rsidR="00151C63" w:rsidRDefault="00151C63" w:rsidP="00151C63">
      <w:pPr>
        <w:pStyle w:val="NormalWeb"/>
        <w:jc w:val="center"/>
        <w:rPr>
          <w:b/>
          <w:bCs/>
          <w:color w:val="000000"/>
          <w:sz w:val="28"/>
          <w:szCs w:val="28"/>
          <w:lang w:val="uk-UA"/>
        </w:rPr>
      </w:pPr>
    </w:p>
    <w:p w:rsidR="00151C63" w:rsidRPr="00151C63" w:rsidRDefault="00151C63" w:rsidP="00151C63">
      <w:pPr>
        <w:pStyle w:val="NormalWeb"/>
        <w:jc w:val="center"/>
        <w:rPr>
          <w:b/>
          <w:bCs/>
          <w:color w:val="000000"/>
          <w:sz w:val="28"/>
          <w:szCs w:val="28"/>
        </w:rPr>
      </w:pPr>
      <w:r>
        <w:rPr>
          <w:b/>
          <w:bCs/>
          <w:color w:val="000000"/>
          <w:sz w:val="28"/>
          <w:szCs w:val="28"/>
        </w:rPr>
        <w:lastRenderedPageBreak/>
        <w:t>АНОТАЦІЯ</w:t>
      </w:r>
    </w:p>
    <w:p w:rsidR="00151C63" w:rsidRPr="00151C63" w:rsidRDefault="00151C63" w:rsidP="00151C63">
      <w:pPr>
        <w:pStyle w:val="NormalWeb"/>
        <w:spacing w:before="0" w:beforeAutospacing="0" w:after="0" w:afterAutospacing="0" w:line="360" w:lineRule="auto"/>
        <w:ind w:firstLine="709"/>
        <w:jc w:val="both"/>
        <w:rPr>
          <w:b/>
          <w:bCs/>
          <w:color w:val="000000"/>
          <w:sz w:val="28"/>
          <w:szCs w:val="28"/>
        </w:rPr>
      </w:pPr>
      <w:r>
        <w:rPr>
          <w:b/>
          <w:bCs/>
          <w:color w:val="000000"/>
          <w:sz w:val="28"/>
          <w:szCs w:val="28"/>
        </w:rPr>
        <w:t xml:space="preserve">Єрузель </w:t>
      </w:r>
      <w:r>
        <w:rPr>
          <w:b/>
          <w:bCs/>
          <w:color w:val="000000"/>
          <w:sz w:val="28"/>
          <w:szCs w:val="28"/>
          <w:lang w:val="uk-UA"/>
        </w:rPr>
        <w:t>К-</w:t>
      </w:r>
      <w:r>
        <w:rPr>
          <w:b/>
          <w:bCs/>
          <w:color w:val="000000"/>
          <w:sz w:val="28"/>
          <w:szCs w:val="28"/>
        </w:rPr>
        <w:t xml:space="preserve">А. Використання соціальних мереж та професійних платформ для корпоративних комунікацій (на прикладі ФОП «Новий сезон»). ІФНТУНГ, 2026. </w:t>
      </w:r>
      <w:r>
        <w:rPr>
          <w:b/>
          <w:bCs/>
          <w:color w:val="000000"/>
          <w:sz w:val="28"/>
          <w:szCs w:val="28"/>
          <w:lang w:val="uk-UA"/>
        </w:rPr>
        <w:t>63</w:t>
      </w:r>
      <w:r>
        <w:rPr>
          <w:b/>
          <w:bCs/>
          <w:color w:val="000000"/>
          <w:sz w:val="28"/>
          <w:szCs w:val="28"/>
        </w:rPr>
        <w:t xml:space="preserve"> с.</w:t>
      </w:r>
    </w:p>
    <w:p w:rsidR="00151C63" w:rsidRPr="00151C63" w:rsidRDefault="00151C63" w:rsidP="00151C63">
      <w:pPr>
        <w:pStyle w:val="NormalWeb"/>
        <w:spacing w:before="0" w:beforeAutospacing="0" w:after="0" w:afterAutospacing="0" w:line="360" w:lineRule="auto"/>
        <w:ind w:firstLine="709"/>
        <w:jc w:val="both"/>
        <w:rPr>
          <w:color w:val="000000"/>
          <w:sz w:val="28"/>
          <w:szCs w:val="28"/>
        </w:rPr>
      </w:pPr>
      <w:r>
        <w:rPr>
          <w:color w:val="000000"/>
          <w:sz w:val="28"/>
          <w:szCs w:val="28"/>
        </w:rPr>
        <w:t>Бакалаврська робота на здобуття освітнього ступеня бакалавра за освітньо-професійною програмою «Документознавство та інформаційна діяльність», спеціальності 029 «Інформаційна, бібліотечна та архівна справа». Івано-Франківський національний технічний університет нафти і газу. Івано-Франківськ, 2026.</w:t>
      </w:r>
    </w:p>
    <w:p w:rsidR="00151C63" w:rsidRPr="00151C63" w:rsidRDefault="00151C63" w:rsidP="00151C63">
      <w:pPr>
        <w:pStyle w:val="NormalWeb"/>
        <w:spacing w:before="0" w:beforeAutospacing="0" w:after="0" w:afterAutospacing="0" w:line="360" w:lineRule="auto"/>
        <w:ind w:firstLine="709"/>
        <w:jc w:val="both"/>
        <w:rPr>
          <w:color w:val="000000"/>
          <w:sz w:val="28"/>
          <w:szCs w:val="28"/>
        </w:rPr>
      </w:pPr>
      <w:r>
        <w:rPr>
          <w:color w:val="000000"/>
          <w:sz w:val="28"/>
          <w:szCs w:val="28"/>
        </w:rPr>
        <w:t>У бакалаврській роботі досліджено особливості використання соціальних мереж та професійних платформ у системі корпоративних комунікацій сучасних підприємств. Розглянуто теоретичні засади корпоративних комунікацій, їх функції, структуру та значення для забезпечення ефективної взаємодії між підприємством і його цільовими аудиторіями. Визначено роль соціальних мереж і професійних платформ як інструментів формування корпоративного іміджу, підтримки ділової репутації, просування бренду та налагодження комунікації із зацікавленими сторонами.</w:t>
      </w:r>
    </w:p>
    <w:p w:rsidR="00151C63" w:rsidRPr="00151C63" w:rsidRDefault="00151C63" w:rsidP="00151C63">
      <w:pPr>
        <w:pStyle w:val="NormalWeb"/>
        <w:spacing w:before="0" w:beforeAutospacing="0" w:after="0" w:afterAutospacing="0" w:line="360" w:lineRule="auto"/>
        <w:ind w:firstLine="709"/>
        <w:jc w:val="both"/>
        <w:rPr>
          <w:color w:val="000000"/>
          <w:sz w:val="28"/>
          <w:szCs w:val="28"/>
        </w:rPr>
      </w:pPr>
      <w:r>
        <w:rPr>
          <w:color w:val="000000"/>
          <w:sz w:val="28"/>
          <w:szCs w:val="28"/>
        </w:rPr>
        <w:t>У роботі проаналізовано діяльність ФОП «Новий сезон», особливості використання соціальних мереж у комунікаційній діяльності підприємства та організацію інформаційних процесів.</w:t>
      </w:r>
      <w:r>
        <w:rPr>
          <w:color w:val="000000"/>
          <w:sz w:val="28"/>
          <w:szCs w:val="28"/>
          <w:lang w:val="uk-UA"/>
        </w:rPr>
        <w:t xml:space="preserve"> </w:t>
      </w:r>
      <w:r>
        <w:rPr>
          <w:color w:val="000000"/>
          <w:sz w:val="28"/>
          <w:szCs w:val="28"/>
        </w:rPr>
        <w:t>На основі проведеного дослідження запропоновано рекомендації щодо вдосконалення корпоративних комунікацій та оптимізації інформаційних процесів. Зокрема, обґрунтовано доцільність використання цифрових інструментів для автоматизації інформаційного забезпечення діяльності підприємства та розроблено концепцію чат-бота для підтримки внутрішніх комунікацій, контролю виконання завдань і оперативного доступу до необхідної інформації.</w:t>
      </w: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r>
        <w:rPr>
          <w:b/>
          <w:bCs/>
          <w:color w:val="000000"/>
          <w:sz w:val="28"/>
          <w:szCs w:val="28"/>
        </w:rPr>
        <w:t>Ключові слова:</w:t>
      </w:r>
      <w:r>
        <w:rPr>
          <w:color w:val="000000"/>
          <w:sz w:val="28"/>
          <w:szCs w:val="28"/>
        </w:rPr>
        <w:t xml:space="preserve"> корпоративні комунікації, соціальні мережі, професійні платформи, цифрові комунікації, інформаційне забезпечення, чат-бот.</w:t>
      </w: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Pr="00151C63" w:rsidRDefault="00151C63" w:rsidP="00151C63">
      <w:pPr>
        <w:pStyle w:val="isselectedend"/>
        <w:jc w:val="center"/>
        <w:rPr>
          <w:b/>
          <w:bCs/>
          <w:color w:val="000000"/>
          <w:sz w:val="28"/>
          <w:szCs w:val="28"/>
        </w:rPr>
      </w:pPr>
      <w:r>
        <w:rPr>
          <w:b/>
          <w:bCs/>
          <w:color w:val="000000"/>
          <w:sz w:val="28"/>
          <w:szCs w:val="28"/>
        </w:rPr>
        <w:lastRenderedPageBreak/>
        <w:t>ABSTRACT</w:t>
      </w:r>
    </w:p>
    <w:p w:rsidR="00151C63" w:rsidRPr="00151C63" w:rsidRDefault="00151C63" w:rsidP="00151C63">
      <w:pPr>
        <w:pStyle w:val="isselectedend"/>
        <w:spacing w:before="0" w:beforeAutospacing="0" w:after="0" w:afterAutospacing="0" w:line="360" w:lineRule="auto"/>
        <w:ind w:firstLine="709"/>
        <w:jc w:val="both"/>
        <w:rPr>
          <w:b/>
          <w:bCs/>
          <w:color w:val="000000"/>
          <w:sz w:val="28"/>
          <w:szCs w:val="28"/>
        </w:rPr>
      </w:pPr>
      <w:r>
        <w:rPr>
          <w:b/>
          <w:bCs/>
          <w:color w:val="000000"/>
          <w:sz w:val="28"/>
          <w:szCs w:val="28"/>
        </w:rPr>
        <w:t xml:space="preserve">Yeruzel </w:t>
      </w:r>
      <w:r>
        <w:rPr>
          <w:b/>
          <w:bCs/>
          <w:color w:val="000000"/>
          <w:sz w:val="28"/>
          <w:szCs w:val="28"/>
          <w:lang w:val="en-US"/>
        </w:rPr>
        <w:t>K-</w:t>
      </w:r>
      <w:r>
        <w:rPr>
          <w:b/>
          <w:bCs/>
          <w:color w:val="000000"/>
          <w:sz w:val="28"/>
          <w:szCs w:val="28"/>
        </w:rPr>
        <w:t xml:space="preserve">A. Use of Social Networks and Professional Platforms for Corporate Communications (on the Example of Sole Proprietorship "Novyi Sezon"). IFNTUOG, 2026. </w:t>
      </w:r>
      <w:r>
        <w:rPr>
          <w:b/>
          <w:bCs/>
          <w:color w:val="000000"/>
          <w:sz w:val="28"/>
          <w:szCs w:val="28"/>
          <w:lang w:val="uk-UA"/>
        </w:rPr>
        <w:t>63</w:t>
      </w:r>
      <w:r>
        <w:rPr>
          <w:b/>
          <w:bCs/>
          <w:color w:val="000000"/>
          <w:sz w:val="28"/>
          <w:szCs w:val="28"/>
        </w:rPr>
        <w:t xml:space="preserve"> p.</w:t>
      </w:r>
    </w:p>
    <w:p w:rsidR="00151C63" w:rsidRPr="00151C63" w:rsidRDefault="00151C63" w:rsidP="00151C63">
      <w:pPr>
        <w:pStyle w:val="isselectedend"/>
        <w:spacing w:before="0" w:beforeAutospacing="0" w:after="0" w:afterAutospacing="0" w:line="360" w:lineRule="auto"/>
        <w:ind w:firstLine="709"/>
        <w:jc w:val="both"/>
        <w:rPr>
          <w:color w:val="000000"/>
          <w:sz w:val="28"/>
          <w:szCs w:val="28"/>
        </w:rPr>
      </w:pPr>
      <w:r>
        <w:rPr>
          <w:color w:val="000000"/>
          <w:sz w:val="28"/>
          <w:szCs w:val="28"/>
        </w:rPr>
        <w:t>Bachelor’s thesis in the specialty 029 «Information, Library and Archival Studies», educational and professional program «Records Management and Information Activity». Ivano-Frankivsk National Technical University of Oil and Gas. Ivano-Frankivsk, 2026.</w:t>
      </w:r>
    </w:p>
    <w:p w:rsidR="00151C63" w:rsidRPr="00151C63" w:rsidRDefault="00151C63" w:rsidP="00151C63">
      <w:pPr>
        <w:pStyle w:val="isselectedend"/>
        <w:spacing w:before="0" w:beforeAutospacing="0" w:after="0" w:afterAutospacing="0" w:line="360" w:lineRule="auto"/>
        <w:ind w:firstLine="709"/>
        <w:jc w:val="both"/>
        <w:rPr>
          <w:color w:val="000000"/>
          <w:sz w:val="28"/>
          <w:szCs w:val="28"/>
        </w:rPr>
      </w:pPr>
      <w:r>
        <w:rPr>
          <w:color w:val="000000"/>
          <w:sz w:val="28"/>
          <w:szCs w:val="28"/>
        </w:rPr>
        <w:t>The bachelor's thesis examines the use of social networks and professional platforms in the system of corporate communications of modern enterprises. The theoretical foundations of corporate communications, their functions, structure, and significance for effective interaction between an organization and its target audiences are considered. The role of social networks and professional platforms as tools for corporate image building, reputation management, brand promotion, and stakeholder communication is determined.</w:t>
      </w:r>
    </w:p>
    <w:p w:rsidR="00151C63" w:rsidRPr="00151C63" w:rsidRDefault="00151C63" w:rsidP="00151C63">
      <w:pPr>
        <w:pStyle w:val="isselectedend"/>
        <w:spacing w:before="0" w:beforeAutospacing="0" w:after="0" w:afterAutospacing="0" w:line="360" w:lineRule="auto"/>
        <w:ind w:firstLine="709"/>
        <w:jc w:val="both"/>
        <w:rPr>
          <w:color w:val="000000"/>
          <w:sz w:val="28"/>
          <w:szCs w:val="28"/>
        </w:rPr>
      </w:pPr>
      <w:r>
        <w:rPr>
          <w:color w:val="000000"/>
          <w:sz w:val="28"/>
          <w:szCs w:val="28"/>
        </w:rPr>
        <w:t>The study analyzes the activities of Sole Proprietorship "Novyi Sezon", the use of social networks in the company's communication activities, and the organization of information processes. Existing communication channels, information flows, and documentation practices are examined. The main problems of information support are identified, including fragmented data storage, the absence of an integrated information system, and the prevalence of informal communication processes.</w:t>
      </w:r>
    </w:p>
    <w:p w:rsidR="00151C63" w:rsidRPr="00151C63" w:rsidRDefault="00151C63" w:rsidP="00151C63">
      <w:pPr>
        <w:pStyle w:val="isselectedend"/>
        <w:spacing w:before="0" w:beforeAutospacing="0" w:after="0" w:afterAutospacing="0" w:line="360" w:lineRule="auto"/>
        <w:ind w:firstLine="709"/>
        <w:jc w:val="both"/>
        <w:rPr>
          <w:color w:val="000000"/>
          <w:sz w:val="28"/>
          <w:szCs w:val="28"/>
        </w:rPr>
      </w:pPr>
      <w:r>
        <w:rPr>
          <w:color w:val="000000"/>
          <w:sz w:val="28"/>
          <w:szCs w:val="28"/>
        </w:rPr>
        <w:t>Based on the results of the research, recommendations for improving corporate communications and optimizing information processes are proposed. In particular, the feasibility of implementing digital tools for automating information support is substantiated, and a chatbot concept for supporting internal communications, task management, and rapid access to operational information is developed.</w:t>
      </w:r>
    </w:p>
    <w:p w:rsidR="00151C63" w:rsidRPr="00151C63" w:rsidRDefault="00151C63" w:rsidP="00151C63">
      <w:pPr>
        <w:pStyle w:val="NormalWeb"/>
        <w:spacing w:before="0" w:beforeAutospacing="0" w:after="0" w:afterAutospacing="0" w:line="360" w:lineRule="auto"/>
        <w:ind w:firstLine="709"/>
        <w:jc w:val="both"/>
        <w:rPr>
          <w:color w:val="000000"/>
          <w:sz w:val="28"/>
          <w:szCs w:val="28"/>
        </w:rPr>
      </w:pPr>
      <w:r>
        <w:rPr>
          <w:b/>
          <w:bCs/>
          <w:color w:val="000000"/>
          <w:sz w:val="28"/>
          <w:szCs w:val="28"/>
        </w:rPr>
        <w:t>Keywords:</w:t>
      </w:r>
      <w:r>
        <w:rPr>
          <w:color w:val="000000"/>
          <w:sz w:val="28"/>
          <w:szCs w:val="28"/>
        </w:rPr>
        <w:t xml:space="preserve"> corporate communications, social networks, professional platforms, digital communications, information support, chatbot.</w:t>
      </w: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P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D540DC" w:rsidRDefault="00D540DC">
      <w:pPr>
        <w:sectPr w:rsidR="00D540DC">
          <w:headerReference w:type="default" r:id="rId8"/>
          <w:pgSz w:w="11906" w:h="16838"/>
          <w:pgMar w:top="1134" w:right="567" w:bottom="1134" w:left="1701" w:header="708" w:footer="708" w:gutter="0"/>
          <w:cols w:space="720"/>
          <w:docGrid w:linePitch="360"/>
        </w:sectPr>
      </w:pPr>
    </w:p>
    <w:p w:rsidR="00151C63" w:rsidRDefault="00151C63" w:rsidP="00151C63">
      <w:pPr>
        <w:spacing w:after="360" w:line="360" w:lineRule="auto"/>
        <w:jc w:val="center"/>
      </w:pPr>
      <w:r>
        <w:rPr>
          <w:b/>
          <w:bCs/>
        </w:rPr>
        <w:lastRenderedPageBreak/>
        <w:t>ВСТУП</w:t>
      </w:r>
    </w:p>
    <w:p w:rsidR="00151C63" w:rsidRDefault="00151C63" w:rsidP="00151C63">
      <w:pPr>
        <w:spacing w:line="360" w:lineRule="auto"/>
        <w:ind w:firstLine="709"/>
        <w:jc w:val="both"/>
        <w:rPr>
          <w:lang w:val="uk-UA"/>
        </w:rPr>
      </w:pPr>
    </w:p>
    <w:p w:rsidR="00151C63" w:rsidRDefault="00151C63" w:rsidP="00151C63">
      <w:pPr>
        <w:spacing w:line="360" w:lineRule="auto"/>
        <w:ind w:firstLine="709"/>
        <w:jc w:val="both"/>
      </w:pPr>
      <w:r>
        <w:t>Сучасне бізнес-середовище характеризується високим рівнем цифровізації та постійним розвитком інформаційно-комунікаційних технологій. За таких умов корпоративні комунікації набувають особливого значення як інструмент забезпечення взаємодії підприємств із клієнтами, партнерами, працівниками та іншими зацікавленими сторонами. Важливе місце в системі корпоративних комунікацій сьогодні займають соціальні мережі та професійні платформи, які дозволяють оперативно поширювати інформацію, підтримувати зворотний зв’язок з аудиторією та формувати позитивний імідж організації.</w:t>
      </w:r>
    </w:p>
    <w:p w:rsidR="00151C63" w:rsidRDefault="00151C63" w:rsidP="00151C63">
      <w:pPr>
        <w:spacing w:line="360" w:lineRule="auto"/>
        <w:ind w:firstLine="709"/>
        <w:jc w:val="both"/>
      </w:pPr>
      <w:r>
        <w:rPr>
          <w:b/>
          <w:bCs/>
        </w:rPr>
        <w:t>Актуальність теми дослідження</w:t>
      </w:r>
      <w:r>
        <w:t xml:space="preserve"> зумовлена зростанням ролі цифрових каналів комунікації у діяльності підприємств різних форм власності та сфер діяльності. Соціальні мережі вже давно перестали виконувати виключно функцію міжособистісного спілкування і перетворилися на повноцінний інструмент маркетингових, управлінських та репутаційних комунікацій. Водночас професійні платформи забезпечують нові можливості для розвитку ділових зв’язків, пошуку партнерів, просування бренду роботодавця та організації внутрішньокорпоративної взаємодії. В умовах зростання конкуренції та інформаційного перевантаження ефективне використання таких платформ стає важливою складовою забезпечення конкурентоспроможності підприємств.</w:t>
      </w:r>
    </w:p>
    <w:p w:rsidR="00151C63" w:rsidRDefault="00151C63" w:rsidP="00151C63">
      <w:pPr>
        <w:spacing w:line="360" w:lineRule="auto"/>
        <w:ind w:firstLine="709"/>
        <w:jc w:val="both"/>
      </w:pPr>
      <w:r>
        <w:t xml:space="preserve">Проблематика корпоративних комунікацій перебуває у центрі уваги багатьох вітчизняних і зарубіжних науковців. Значний внесок у дослідження теоретичних засад корпоративних комунікацій, цифрового маркетингу, управління репутацією та комунікаційних стратегій зробили зарубіжні вчені Філіп Котлер, Девід Мірман Скотт, Пол Аргенті, Майкл Стелзнер, а також українські дослідники сфери маркетингових і бізнес-комунікацій Л. Балабанова, М. Окландер, С. Ілляшенко, А. Старостіна та інші. Попри значну кількість наукових праць, питання комплексного використання соціальних мереж і професійних платформ у системі корпоративних комунікацій потребують </w:t>
      </w:r>
      <w:r>
        <w:lastRenderedPageBreak/>
        <w:t>подальшого дослідження з урахуванням сучасних тенденцій цифрової трансформації бізнесу, розвитку штучного інтелекту та змін у поведінці споживачів.</w:t>
      </w:r>
    </w:p>
    <w:p w:rsidR="00151C63" w:rsidRDefault="00151C63" w:rsidP="00151C63">
      <w:pPr>
        <w:spacing w:line="360" w:lineRule="auto"/>
        <w:ind w:firstLine="709"/>
        <w:jc w:val="both"/>
      </w:pPr>
      <w:r>
        <w:rPr>
          <w:b/>
          <w:bCs/>
        </w:rPr>
        <w:t>Метою роботи є</w:t>
      </w:r>
      <w:r>
        <w:t xml:space="preserve"> дослідження особливостей використання соціальних мереж та професійних платформ у системі корпоративних комунікацій підприємств і визначення напрямів підвищення ефективності їх застосування в сучасних умовах.</w:t>
      </w:r>
    </w:p>
    <w:p w:rsidR="00151C63" w:rsidRDefault="00151C63" w:rsidP="00151C63">
      <w:pPr>
        <w:spacing w:line="360" w:lineRule="auto"/>
        <w:ind w:firstLine="709"/>
        <w:jc w:val="both"/>
      </w:pPr>
      <w:r>
        <w:t xml:space="preserve">Для досягнення поставленої мети визначено такі </w:t>
      </w:r>
      <w:r>
        <w:rPr>
          <w:b/>
          <w:bCs/>
        </w:rPr>
        <w:t>завдання дослідження</w:t>
      </w:r>
      <w:r>
        <w:t>:</w:t>
      </w:r>
    </w:p>
    <w:p w:rsidR="00151C63" w:rsidRDefault="00151C63" w:rsidP="00151C63">
      <w:pPr>
        <w:spacing w:line="360" w:lineRule="auto"/>
        <w:ind w:firstLine="340"/>
        <w:jc w:val="both"/>
      </w:pPr>
      <w:r>
        <w:t>– розглянути поняття корпоративних комунікацій та визначити їх роль у сучасному бізнесі;</w:t>
      </w:r>
    </w:p>
    <w:p w:rsidR="00151C63" w:rsidRDefault="00151C63" w:rsidP="00151C63">
      <w:pPr>
        <w:spacing w:line="360" w:lineRule="auto"/>
        <w:ind w:firstLine="340"/>
        <w:jc w:val="both"/>
      </w:pPr>
      <w:r>
        <w:t>– дослідити особливості використання соціальних мереж як інструменту корпоративних комунікацій;</w:t>
      </w:r>
    </w:p>
    <w:p w:rsidR="00151C63" w:rsidRDefault="00151C63" w:rsidP="00151C63">
      <w:pPr>
        <w:spacing w:line="360" w:lineRule="auto"/>
        <w:ind w:firstLine="340"/>
        <w:jc w:val="both"/>
      </w:pPr>
      <w:r>
        <w:t>– охарактеризувати професійні платформи у системі бізнес-комунікацій;</w:t>
      </w:r>
    </w:p>
    <w:p w:rsidR="00151C63" w:rsidRDefault="00151C63" w:rsidP="00151C63">
      <w:pPr>
        <w:spacing w:line="360" w:lineRule="auto"/>
        <w:ind w:firstLine="340"/>
        <w:jc w:val="both"/>
      </w:pPr>
      <w:r>
        <w:t>– провести аналіз діяльності ФОП «Новий сезон» та визначити особливості організації корпоративних комунікацій на підприємстві;</w:t>
      </w:r>
    </w:p>
    <w:p w:rsidR="00151C63" w:rsidRDefault="00151C63" w:rsidP="00151C63">
      <w:pPr>
        <w:spacing w:line="360" w:lineRule="auto"/>
        <w:ind w:firstLine="340"/>
        <w:jc w:val="both"/>
      </w:pPr>
      <w:r>
        <w:t>– проаналізувати використання соціальних мереж у корпоративних комунікаціях ФОП «Новий сезон»;</w:t>
      </w:r>
    </w:p>
    <w:p w:rsidR="00151C63" w:rsidRDefault="00151C63" w:rsidP="00151C63">
      <w:pPr>
        <w:spacing w:line="360" w:lineRule="auto"/>
        <w:ind w:firstLine="340"/>
        <w:jc w:val="both"/>
      </w:pPr>
      <w:r>
        <w:t>– розробити рекомендації щодо вдосконалення використання соціальних мереж та професійних платформ у діяльності ФОП «Новий сезон».</w:t>
      </w:r>
    </w:p>
    <w:p w:rsidR="00151C63" w:rsidRDefault="00151C63" w:rsidP="00151C63">
      <w:pPr>
        <w:spacing w:line="360" w:lineRule="auto"/>
        <w:ind w:firstLine="709"/>
        <w:jc w:val="both"/>
      </w:pPr>
      <w:r>
        <w:rPr>
          <w:b/>
          <w:bCs/>
        </w:rPr>
        <w:t>Об’єктом дослідження є</w:t>
      </w:r>
      <w:r>
        <w:t xml:space="preserve"> корпоративні комунікації підприємств у цифровому середовищі.</w:t>
      </w:r>
    </w:p>
    <w:p w:rsidR="00151C63" w:rsidRDefault="00151C63" w:rsidP="00151C63">
      <w:pPr>
        <w:spacing w:line="360" w:lineRule="auto"/>
        <w:ind w:firstLine="709"/>
        <w:jc w:val="both"/>
      </w:pPr>
      <w:r>
        <w:rPr>
          <w:b/>
          <w:bCs/>
        </w:rPr>
        <w:t>Предметом дослідження</w:t>
      </w:r>
      <w:r>
        <w:t xml:space="preserve"> є теоретичні, організаційні та практичні аспекти використання соціальних мереж і професійних платформ у системі корпоративних комунікацій.</w:t>
      </w:r>
    </w:p>
    <w:p w:rsidR="00151C63" w:rsidRDefault="00151C63" w:rsidP="00151C63">
      <w:pPr>
        <w:spacing w:line="360" w:lineRule="auto"/>
        <w:ind w:firstLine="709"/>
        <w:jc w:val="both"/>
      </w:pPr>
      <w:r>
        <w:t xml:space="preserve">У процесі виконання роботи використано комплекс загальнонаукових та спеціальних методів дослідження. Метод аналізу та синтезу застосовано для узагальнення теоретичних підходів до визначення сутності корпоративних комунікацій. Метод порівняння використано для дослідження особливостей різних соціальних мереж і професійних платформ. Системний підхід дав змогу розглядати корпоративні комунікації як цілісну систему взаємопов’язаних </w:t>
      </w:r>
      <w:r>
        <w:lastRenderedPageBreak/>
        <w:t>елементів. Метод узагальнення використовувався під час формулювання висновків і практичних рекомендацій.</w:t>
      </w:r>
    </w:p>
    <w:p w:rsidR="00151C63" w:rsidRDefault="00151C63" w:rsidP="00151C63">
      <w:pPr>
        <w:spacing w:line="360" w:lineRule="auto"/>
        <w:ind w:firstLine="709"/>
        <w:jc w:val="both"/>
      </w:pPr>
      <w:r>
        <w:t>Практичне значення отриманих результатів полягає у можливості використання сформульованих рекомендацій підприємствами, організаціями та фізичними особами-підприємцями для вдосконалення комунікаційної діяльності у цифровому середовищі, підвищення ефективності взаємодії з цільовими аудиторіями та формування позитивної ділової репутації.</w:t>
      </w:r>
    </w:p>
    <w:p w:rsidR="00151C63" w:rsidRDefault="00151C63" w:rsidP="00151C63">
      <w:pPr>
        <w:spacing w:line="360" w:lineRule="auto"/>
        <w:ind w:firstLine="709"/>
        <w:jc w:val="both"/>
      </w:pPr>
      <w:r>
        <w:rPr>
          <w:b/>
          <w:bCs/>
        </w:rPr>
        <w:t>Структура роботи</w:t>
      </w:r>
      <w:r>
        <w:t xml:space="preserve"> зумовлена метою та завданнями дослідження. Робота складається зі вступу, трьох розділів, висновків та списку використаних джерел. Загальний обсяг роботи становить </w:t>
      </w:r>
      <w:r>
        <w:rPr>
          <w:lang w:val="uk-UA"/>
        </w:rPr>
        <w:t xml:space="preserve">63 </w:t>
      </w:r>
      <w:r>
        <w:t xml:space="preserve">сторінок. Робота містить </w:t>
      </w:r>
      <w:r w:rsidR="00D85F72">
        <w:rPr>
          <w:lang w:val="uk-UA"/>
        </w:rPr>
        <w:t>10</w:t>
      </w:r>
      <w:r>
        <w:rPr>
          <w:lang w:val="uk-UA"/>
        </w:rPr>
        <w:t xml:space="preserve"> </w:t>
      </w:r>
      <w:r>
        <w:t xml:space="preserve">таблиць, </w:t>
      </w:r>
      <w:r w:rsidR="00D85F72">
        <w:rPr>
          <w:lang w:val="uk-UA"/>
        </w:rPr>
        <w:t xml:space="preserve">5 </w:t>
      </w:r>
      <w:r>
        <w:t>рисунків та список використаних джерел із 45 найменувань.</w:t>
      </w: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Pr="00397ED4" w:rsidRDefault="00151C63" w:rsidP="00151C63">
      <w:pPr>
        <w:pStyle w:val="NormalWeb"/>
        <w:spacing w:before="0" w:beforeAutospacing="0" w:after="0" w:afterAutospacing="0" w:line="360" w:lineRule="auto"/>
        <w:ind w:firstLine="709"/>
        <w:jc w:val="both"/>
        <w:rPr>
          <w:color w:val="000000"/>
          <w:sz w:val="28"/>
          <w:szCs w:val="28"/>
          <w:lang w:val="uk-UA"/>
        </w:rPr>
      </w:pPr>
    </w:p>
    <w:p w:rsidR="00151C63" w:rsidRPr="001B7BDE" w:rsidRDefault="00151C63" w:rsidP="00151C63">
      <w:pPr>
        <w:spacing w:after="720" w:line="360" w:lineRule="auto"/>
        <w:jc w:val="center"/>
      </w:pPr>
      <w:r>
        <w:rPr>
          <w:b/>
          <w:bCs/>
          <w:caps/>
        </w:rPr>
        <w:lastRenderedPageBreak/>
        <w:t>РОЗДІЛ 1</w:t>
      </w:r>
      <w:r>
        <w:rPr>
          <w:lang w:val="uk-UA"/>
        </w:rPr>
        <w:br/>
      </w:r>
      <w:r>
        <w:rPr>
          <w:b/>
          <w:bCs/>
          <w:caps/>
        </w:rPr>
        <w:t>ТЕОРЕТИЧНІ ОСНОВИ КОРПОРАТИВНИХ КОМУНІКАЦІЙ У СОЦІАЛЬНИХ МЕРЕЖАХ ТА ПРОФЕСІЙНИХ ПЛАТФОРМАХ</w:t>
      </w:r>
    </w:p>
    <w:p w:rsidR="00151C63" w:rsidRPr="001B7BDE" w:rsidRDefault="00151C63" w:rsidP="00151C63">
      <w:pPr>
        <w:spacing w:before="360" w:line="360" w:lineRule="auto"/>
        <w:ind w:firstLine="720"/>
        <w:jc w:val="both"/>
      </w:pPr>
      <w:r>
        <w:rPr>
          <w:b/>
          <w:bCs/>
        </w:rPr>
        <w:t>1.1. Поняття корпоративних комунікацій та їх роль у сучасному бізнесі</w:t>
      </w:r>
    </w:p>
    <w:p w:rsidR="00151C63" w:rsidRPr="001B7BDE" w:rsidRDefault="00151C63" w:rsidP="00151C63">
      <w:pPr>
        <w:spacing w:line="360" w:lineRule="auto"/>
        <w:ind w:firstLine="720"/>
        <w:jc w:val="both"/>
      </w:pPr>
      <w:r>
        <w:t>У сучасному бізнес-середовищі корпоративні комунікації відіграють ключову роль у формуванні іміджу компанії, забезпеченні ефективної взаємодії між структурними підрозділами та встановленні сталих відносин із зовнішніми стейкхолдерами. Глобалізація ринків, цифровізація економіки та зростання конкуренції суттєво змінили вимоги до якості та оперативності корпоративних комунікацій, зробивши їх одним із стратегічних активів будь-якого підприємства.</w:t>
      </w:r>
    </w:p>
    <w:p w:rsidR="00151C63" w:rsidRPr="001B7BDE" w:rsidRDefault="00151C63" w:rsidP="00151C63">
      <w:pPr>
        <w:spacing w:line="360" w:lineRule="auto"/>
        <w:ind w:firstLine="720"/>
        <w:jc w:val="both"/>
      </w:pPr>
      <w:r>
        <w:t>Поняття «корпоративні комунікації» є багатоаспектним і трактується по-різному залежно від наукової школи та контексту дослідження. У широкому розумінні корпоративні комунікації – це сукупність процесів, методів та інструментів передачі інформації між організацією та її внутрішнім і зовнішнім середовищем з метою формування позитивного образу компанії, забезпечення узгодженості дій та досягнення стратегічних цілей [45].</w:t>
      </w:r>
    </w:p>
    <w:p w:rsidR="00151C63" w:rsidRPr="001B7BDE" w:rsidRDefault="00151C63" w:rsidP="00151C63">
      <w:pPr>
        <w:spacing w:line="360" w:lineRule="auto"/>
        <w:ind w:firstLine="720"/>
        <w:jc w:val="both"/>
      </w:pPr>
      <w:r>
        <w:t>Зарубіжні дослідники Ван Ріл та Фомбрун визначають корпоративні комунікації як «інструмент управління, за допомогою якого всі свідомо використовувані форми внутрішніх та зовнішніх комунікацій гармонізуються таким чином, щоб максимально ефективно і результативно створювати сприятливу базу для відносин з групами, від яких залежить компанія» [45]. Це визначення підкреслює стратегічний характер корпоративних комунікацій та їхню орієнтацію на досягнення конкурентних переваг.</w:t>
      </w:r>
    </w:p>
    <w:p w:rsidR="00151C63" w:rsidRPr="001B7BDE" w:rsidRDefault="00151C63" w:rsidP="00151C63">
      <w:pPr>
        <w:spacing w:line="360" w:lineRule="auto"/>
        <w:ind w:firstLine="720"/>
        <w:jc w:val="both"/>
      </w:pPr>
      <w:r>
        <w:t xml:space="preserve">Вітчизняні науковці також активно досліджують проблематику корпоративних комунікацій. Зокрема, дослідник Г. Г. Почепцов розглядає корпоративні комунікації як «комплекс дій по управлінню корпоративним образом», наголошуючи на важливості цілеспрямованого впливу на сприйняття організації різними аудиторіями [13]. Натомість В. Г. Королько акцентує увагу </w:t>
      </w:r>
      <w:r>
        <w:lastRenderedPageBreak/>
        <w:t>на функціональному аспекті корпоративних комунікацій, розглядаючи їх як «систему заходів, спрямованих на встановлення взаємовигідних відносин між організацією та її цільовими аудиторіями» [6].</w:t>
      </w:r>
    </w:p>
    <w:p w:rsidR="00151C63" w:rsidRPr="001B7BDE" w:rsidRDefault="00151C63" w:rsidP="00151C63">
      <w:pPr>
        <w:spacing w:line="360" w:lineRule="auto"/>
        <w:ind w:firstLine="720"/>
        <w:jc w:val="both"/>
      </w:pPr>
      <w:r>
        <w:t>Структурно корпоративні комунікації поділяють на внутрішні та зовнішні. Внутрішні корпоративні комунікації охоплюють інформаційні потоки всередині організації – між керівництвом і підлеглими, між підрозділами, між окремими співробітниками. Вони забезпечують узгодженість дій, формують корпоративну культуру, сприяють мотивації персоналу та підвищенню продуктивності праці. До основних інструментів внутрішніх корпоративних комунікацій належать: корпоративні портали та інтранет-системи, електронна пошта, корпоративні месенджери, наради та збори, корпоративні видання, дошки оголошень тощо [22]. Характеристика основних видів корпоративних комунікацій наведена в таблиці 1.1.</w:t>
      </w:r>
    </w:p>
    <w:p w:rsidR="00151C63" w:rsidRPr="00D61AA1" w:rsidRDefault="00151C63" w:rsidP="00151C63">
      <w:pPr>
        <w:spacing w:before="100" w:beforeAutospacing="1" w:after="100" w:afterAutospacing="1"/>
        <w:jc w:val="center"/>
        <w:rPr>
          <w:color w:val="000000"/>
        </w:rPr>
      </w:pPr>
      <w:r>
        <w:rPr>
          <w:color w:val="000000"/>
        </w:rPr>
        <w:t>Таблиця 1.1 – Основні види корпоративних комунікацій та їх характеристика</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1798"/>
        <w:gridCol w:w="5435"/>
      </w:tblGrid>
      <w:tr w:rsidR="00151C63" w:rsidRPr="00D61AA1" w:rsidTr="00D2520C">
        <w:trPr>
          <w:tblHeader/>
          <w:tblCellSpacing w:w="15" w:type="dxa"/>
        </w:trPr>
        <w:tc>
          <w:tcPr>
            <w:tcW w:w="0" w:type="auto"/>
            <w:vAlign w:val="center"/>
            <w:hideMark/>
          </w:tcPr>
          <w:p w:rsidR="00151C63" w:rsidRPr="00D61AA1" w:rsidRDefault="00151C63" w:rsidP="00D2520C">
            <w:pPr>
              <w:spacing w:line="276" w:lineRule="auto"/>
              <w:jc w:val="center"/>
              <w:rPr>
                <w:b/>
                <w:bCs/>
                <w:color w:val="000000"/>
                <w:sz w:val="24"/>
                <w:szCs w:val="24"/>
              </w:rPr>
            </w:pPr>
            <w:r>
              <w:rPr>
                <w:b/>
                <w:bCs/>
                <w:color w:val="000000"/>
                <w:sz w:val="24"/>
                <w:szCs w:val="24"/>
              </w:rPr>
              <w:t>Критерій класифікації</w:t>
            </w:r>
          </w:p>
        </w:tc>
        <w:tc>
          <w:tcPr>
            <w:tcW w:w="0" w:type="auto"/>
            <w:vAlign w:val="center"/>
            <w:hideMark/>
          </w:tcPr>
          <w:p w:rsidR="00151C63" w:rsidRPr="00D61AA1" w:rsidRDefault="00151C63" w:rsidP="00D2520C">
            <w:pPr>
              <w:spacing w:line="276" w:lineRule="auto"/>
              <w:jc w:val="center"/>
              <w:rPr>
                <w:b/>
                <w:bCs/>
                <w:color w:val="000000"/>
                <w:sz w:val="24"/>
                <w:szCs w:val="24"/>
              </w:rPr>
            </w:pPr>
            <w:r>
              <w:rPr>
                <w:b/>
                <w:bCs/>
                <w:color w:val="000000"/>
                <w:sz w:val="24"/>
                <w:szCs w:val="24"/>
              </w:rPr>
              <w:t>Різновид комунікацій</w:t>
            </w:r>
          </w:p>
        </w:tc>
        <w:tc>
          <w:tcPr>
            <w:tcW w:w="0" w:type="auto"/>
            <w:vAlign w:val="center"/>
            <w:hideMark/>
          </w:tcPr>
          <w:p w:rsidR="00151C63" w:rsidRPr="00D61AA1" w:rsidRDefault="00151C63" w:rsidP="00D2520C">
            <w:pPr>
              <w:spacing w:line="276" w:lineRule="auto"/>
              <w:jc w:val="center"/>
              <w:rPr>
                <w:b/>
                <w:bCs/>
                <w:color w:val="000000"/>
                <w:sz w:val="24"/>
                <w:szCs w:val="24"/>
              </w:rPr>
            </w:pPr>
            <w:r>
              <w:rPr>
                <w:b/>
                <w:bCs/>
                <w:color w:val="000000"/>
                <w:sz w:val="24"/>
                <w:szCs w:val="24"/>
              </w:rPr>
              <w:t>Характерні особливості</w:t>
            </w:r>
          </w:p>
        </w:tc>
      </w:tr>
      <w:tr w:rsidR="00151C63" w:rsidRPr="00D61AA1" w:rsidTr="00D2520C">
        <w:trPr>
          <w:tblCellSpacing w:w="15" w:type="dxa"/>
        </w:trPr>
        <w:tc>
          <w:tcPr>
            <w:tcW w:w="0" w:type="auto"/>
            <w:vAlign w:val="center"/>
            <w:hideMark/>
          </w:tcPr>
          <w:p w:rsidR="00151C63" w:rsidRPr="0018461A" w:rsidRDefault="00151C63" w:rsidP="00D2520C">
            <w:pPr>
              <w:spacing w:line="276" w:lineRule="auto"/>
              <w:rPr>
                <w:b/>
                <w:bCs/>
                <w:color w:val="000000"/>
                <w:sz w:val="24"/>
                <w:szCs w:val="24"/>
              </w:rPr>
            </w:pPr>
            <w:r>
              <w:rPr>
                <w:b/>
                <w:bCs/>
                <w:color w:val="000000"/>
                <w:sz w:val="24"/>
                <w:szCs w:val="24"/>
              </w:rPr>
              <w:t>Напрям комунікаційної взаємодії</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Внутрішні</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Забезпечують обмін інформацією між працівниками, структурними підрозділами та керівництвом організації</w:t>
            </w:r>
          </w:p>
        </w:tc>
      </w:tr>
      <w:tr w:rsidR="00151C63" w:rsidRPr="00D61AA1" w:rsidTr="00D2520C">
        <w:trPr>
          <w:tblCellSpacing w:w="15" w:type="dxa"/>
        </w:trPr>
        <w:tc>
          <w:tcPr>
            <w:tcW w:w="0" w:type="auto"/>
            <w:vAlign w:val="center"/>
            <w:hideMark/>
          </w:tcPr>
          <w:p w:rsidR="00151C63" w:rsidRPr="0018461A" w:rsidRDefault="00151C63" w:rsidP="00D2520C">
            <w:pPr>
              <w:spacing w:line="276" w:lineRule="auto"/>
              <w:rPr>
                <w:b/>
                <w:bCs/>
                <w:color w:val="000000"/>
                <w:sz w:val="24"/>
                <w:szCs w:val="24"/>
              </w:rPr>
            </w:pP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Зовнішні</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Спрямовані на взаємодію підприємства з клієнтами, партнерами, засобами масової інформації та іншими зовнішніми аудиторіями</w:t>
            </w:r>
          </w:p>
        </w:tc>
      </w:tr>
      <w:tr w:rsidR="00151C63" w:rsidRPr="00D61AA1" w:rsidTr="00D2520C">
        <w:trPr>
          <w:tblCellSpacing w:w="15" w:type="dxa"/>
        </w:trPr>
        <w:tc>
          <w:tcPr>
            <w:tcW w:w="0" w:type="auto"/>
            <w:vAlign w:val="center"/>
            <w:hideMark/>
          </w:tcPr>
          <w:p w:rsidR="00151C63" w:rsidRPr="0018461A" w:rsidRDefault="00151C63" w:rsidP="00D2520C">
            <w:pPr>
              <w:spacing w:line="276" w:lineRule="auto"/>
              <w:rPr>
                <w:b/>
                <w:bCs/>
                <w:color w:val="000000"/>
                <w:sz w:val="24"/>
                <w:szCs w:val="24"/>
              </w:rPr>
            </w:pPr>
            <w:r>
              <w:rPr>
                <w:b/>
                <w:bCs/>
                <w:color w:val="000000"/>
                <w:sz w:val="24"/>
                <w:szCs w:val="24"/>
              </w:rPr>
              <w:t>Форма передачі інформації</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Вербальні</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Реалізуються через усне та письмове спілкування, документи, ділове листування та переговори</w:t>
            </w:r>
          </w:p>
        </w:tc>
      </w:tr>
      <w:tr w:rsidR="00151C63" w:rsidRPr="00D61AA1" w:rsidTr="00D2520C">
        <w:trPr>
          <w:tblCellSpacing w:w="15" w:type="dxa"/>
        </w:trPr>
        <w:tc>
          <w:tcPr>
            <w:tcW w:w="0" w:type="auto"/>
            <w:vAlign w:val="center"/>
            <w:hideMark/>
          </w:tcPr>
          <w:p w:rsidR="00151C63" w:rsidRPr="0018461A" w:rsidRDefault="00151C63" w:rsidP="00D2520C">
            <w:pPr>
              <w:spacing w:line="276" w:lineRule="auto"/>
              <w:rPr>
                <w:b/>
                <w:bCs/>
                <w:color w:val="000000"/>
                <w:sz w:val="24"/>
                <w:szCs w:val="24"/>
              </w:rPr>
            </w:pP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Невербальні</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Передбачають використання візуальних елементів, корпоративної символіки, дизайну та поведінкових моделей</w:t>
            </w:r>
          </w:p>
        </w:tc>
      </w:tr>
      <w:tr w:rsidR="00151C63" w:rsidRPr="00D61AA1" w:rsidTr="00D2520C">
        <w:trPr>
          <w:tblCellSpacing w:w="15" w:type="dxa"/>
        </w:trPr>
        <w:tc>
          <w:tcPr>
            <w:tcW w:w="0" w:type="auto"/>
            <w:vAlign w:val="center"/>
            <w:hideMark/>
          </w:tcPr>
          <w:p w:rsidR="00151C63" w:rsidRPr="0018461A" w:rsidRDefault="00151C63" w:rsidP="00D2520C">
            <w:pPr>
              <w:spacing w:line="276" w:lineRule="auto"/>
              <w:rPr>
                <w:b/>
                <w:bCs/>
                <w:color w:val="000000"/>
                <w:sz w:val="24"/>
                <w:szCs w:val="24"/>
              </w:rPr>
            </w:pPr>
            <w:r>
              <w:rPr>
                <w:b/>
                <w:bCs/>
                <w:color w:val="000000"/>
                <w:sz w:val="24"/>
                <w:szCs w:val="24"/>
              </w:rPr>
              <w:t>Канали комунікації</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Традиційні</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Охоплюють друковані видання, телебачення, радіо, виставкові заходи та прямі контакти</w:t>
            </w:r>
          </w:p>
        </w:tc>
      </w:tr>
      <w:tr w:rsidR="00151C63" w:rsidRPr="00D61AA1" w:rsidTr="00D2520C">
        <w:trPr>
          <w:tblCellSpacing w:w="15" w:type="dxa"/>
        </w:trPr>
        <w:tc>
          <w:tcPr>
            <w:tcW w:w="0" w:type="auto"/>
            <w:vAlign w:val="center"/>
            <w:hideMark/>
          </w:tcPr>
          <w:p w:rsidR="00151C63" w:rsidRPr="0018461A" w:rsidRDefault="00151C63" w:rsidP="00D2520C">
            <w:pPr>
              <w:spacing w:line="276" w:lineRule="auto"/>
              <w:rPr>
                <w:b/>
                <w:bCs/>
                <w:color w:val="000000"/>
                <w:sz w:val="24"/>
                <w:szCs w:val="24"/>
              </w:rPr>
            </w:pP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Цифрові</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Включають вебсайти, соціальні мережі, електронну пошту, месенджери та інші онлайн-платформи</w:t>
            </w:r>
          </w:p>
        </w:tc>
      </w:tr>
      <w:tr w:rsidR="00151C63" w:rsidRPr="00D61AA1" w:rsidTr="00D2520C">
        <w:trPr>
          <w:tblCellSpacing w:w="15" w:type="dxa"/>
        </w:trPr>
        <w:tc>
          <w:tcPr>
            <w:tcW w:w="0" w:type="auto"/>
            <w:vAlign w:val="center"/>
            <w:hideMark/>
          </w:tcPr>
          <w:p w:rsidR="00151C63" w:rsidRPr="0018461A" w:rsidRDefault="00151C63" w:rsidP="00D2520C">
            <w:pPr>
              <w:spacing w:line="276" w:lineRule="auto"/>
              <w:rPr>
                <w:b/>
                <w:bCs/>
                <w:color w:val="000000"/>
                <w:sz w:val="24"/>
                <w:szCs w:val="24"/>
              </w:rPr>
            </w:pPr>
            <w:r>
              <w:rPr>
                <w:b/>
                <w:bCs/>
                <w:color w:val="000000"/>
                <w:sz w:val="24"/>
                <w:szCs w:val="24"/>
              </w:rPr>
              <w:t>Характер здійснення комунікацій</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Систематичні</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Проводяться відповідно до визначеного плану та комунікаційної стратегії підприємства</w:t>
            </w:r>
          </w:p>
        </w:tc>
      </w:tr>
      <w:tr w:rsidR="00151C63" w:rsidRPr="00D61AA1" w:rsidTr="00D2520C">
        <w:trPr>
          <w:tblCellSpacing w:w="15" w:type="dxa"/>
        </w:trPr>
        <w:tc>
          <w:tcPr>
            <w:tcW w:w="0" w:type="auto"/>
            <w:vAlign w:val="center"/>
            <w:hideMark/>
          </w:tcPr>
          <w:p w:rsidR="00151C63" w:rsidRPr="00D61AA1" w:rsidRDefault="00151C63" w:rsidP="00D2520C">
            <w:pPr>
              <w:spacing w:line="276" w:lineRule="auto"/>
              <w:rPr>
                <w:color w:val="000000"/>
                <w:sz w:val="24"/>
                <w:szCs w:val="24"/>
              </w:rPr>
            </w:pP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Ситуативні</w:t>
            </w:r>
          </w:p>
        </w:tc>
        <w:tc>
          <w:tcPr>
            <w:tcW w:w="0" w:type="auto"/>
            <w:vAlign w:val="center"/>
            <w:hideMark/>
          </w:tcPr>
          <w:p w:rsidR="00151C63" w:rsidRPr="00D61AA1" w:rsidRDefault="00151C63" w:rsidP="00D2520C">
            <w:pPr>
              <w:spacing w:line="276" w:lineRule="auto"/>
              <w:rPr>
                <w:color w:val="000000"/>
                <w:sz w:val="24"/>
                <w:szCs w:val="24"/>
              </w:rPr>
            </w:pPr>
            <w:r>
              <w:rPr>
                <w:color w:val="000000"/>
                <w:sz w:val="24"/>
                <w:szCs w:val="24"/>
              </w:rPr>
              <w:t>Виникають у відповідь на конкретні події, зміни зовнішнього середовища або кризові ситуації</w:t>
            </w:r>
          </w:p>
        </w:tc>
      </w:tr>
    </w:tbl>
    <w:p w:rsidR="00151C63" w:rsidRPr="001B7BDE" w:rsidRDefault="00151C63" w:rsidP="00151C63">
      <w:pPr>
        <w:spacing w:line="360" w:lineRule="auto"/>
        <w:ind w:firstLine="720"/>
        <w:jc w:val="both"/>
      </w:pPr>
      <w:r>
        <w:lastRenderedPageBreak/>
        <w:t>Зовнішні корпоративні комунікації спрямовані на взаємодію організації із зовнішнім середовищем – клієнтами, партнерами, постачальниками, державними органами, ЗМІ та широкою громадськістю. Саме зовнішні комунікації формують репутацію компанії, залучають нових клієнтів та зміцнюють позиції на ринку. Серед основних форм зовнішніх корпоративних комунікацій виокремлюють: рекламу, зв`язки з громадськістю (PR), маркетингові комунікації, відносини з інвесторами, корпоративний веб-сайт та присутність у соціальних мережах [23].</w:t>
      </w:r>
    </w:p>
    <w:p w:rsidR="00151C63" w:rsidRPr="001B7BDE" w:rsidRDefault="00151C63" w:rsidP="00151C63">
      <w:pPr>
        <w:spacing w:line="360" w:lineRule="auto"/>
        <w:ind w:firstLine="720"/>
        <w:jc w:val="both"/>
      </w:pPr>
      <w:r>
        <w:t>У контексті сучасного бізнесу особливого значення набуває концепція інтегрованих маркетингових комунікацій (ІМК), яка передбачає координоване використання різних комунікаційних інструментів для досягнення синергетичного ефекту. Застосування принципів ІМК дозволяє компаніям забезпечити узгодженість повідомлень на всіх платформах та каналах комунікації, що сприяє формуванню цілісного та впізнаваного образу бренду [14].</w:t>
      </w:r>
    </w:p>
    <w:p w:rsidR="00151C63" w:rsidRPr="001B7BDE" w:rsidRDefault="00151C63" w:rsidP="00151C63">
      <w:pPr>
        <w:spacing w:line="360" w:lineRule="auto"/>
        <w:ind w:firstLine="720"/>
        <w:jc w:val="both"/>
      </w:pPr>
      <w:r>
        <w:t>Функції корпоративних комунікацій у сучасному бізнесі є багатоплановими. Серед найважливіших виокремлюють такі: інформаційна функція – забезпечення своєчасного та точного поширення інформації; мотиваційна функція – стимулювання зацікавленості стейкхолдерів у взаємодії з організацією; функція управління – координація дій персоналу та підрозділів; функція формування іміджу – цілеспрямований вплив на сприйняття організації; функція встановлення зворотного зв'язку – отримання реакцій цільових аудиторій [10].</w:t>
      </w:r>
    </w:p>
    <w:p w:rsidR="00151C63" w:rsidRPr="001B7BDE" w:rsidRDefault="00151C63" w:rsidP="00151C63">
      <w:pPr>
        <w:spacing w:line="360" w:lineRule="auto"/>
        <w:ind w:firstLine="720"/>
        <w:jc w:val="both"/>
      </w:pPr>
      <w:r>
        <w:t>Ефективність корпоративних комунікацій залежить від низки чинників, серед яких: чіткість і зрозумілість повідомлень; відповідність комунікаційних каналів цільовій аудиторії; регулярність та послідовність комунікацій; здатність адаптуватися до змін у зовнішньому середовищі; наявність зворотного зв'язку. Особливого значення ці характеристики набувають в умовах цифрової трансформації бізнесу, коли традиційні канали комунікації поступово поступаються місцем цифровим [34].</w:t>
      </w:r>
    </w:p>
    <w:p w:rsidR="00151C63" w:rsidRPr="001B7BDE" w:rsidRDefault="00151C63" w:rsidP="00151C63">
      <w:pPr>
        <w:spacing w:line="360" w:lineRule="auto"/>
        <w:ind w:firstLine="720"/>
        <w:jc w:val="both"/>
      </w:pPr>
      <w:r>
        <w:lastRenderedPageBreak/>
        <w:t>Цифрова революція кардинально змінила ландшафт корпоративних комунікацій. Поява та стрімкий розвиток Інтернету, соціальних мереж та мобільних технологій відкрили нові можливості для взаємодії організацій зі своїми аудиторіями. Сьогодні компанії можуть миттєво комунікувати з мільйонами потенційних клієнтів у всьому світі, отримувати зворотний зв'язок у режимі реального часу та адаптувати свої комунікаційні стратегії відповідно до змін у поведінці та уподобаннях споживачів [39].</w:t>
      </w:r>
    </w:p>
    <w:p w:rsidR="00151C63" w:rsidRPr="001B7BDE" w:rsidRDefault="00151C63" w:rsidP="00151C63">
      <w:pPr>
        <w:spacing w:line="360" w:lineRule="auto"/>
        <w:ind w:firstLine="720"/>
        <w:jc w:val="both"/>
      </w:pPr>
      <w:r>
        <w:t>Важливим аспектом корпоративних комунікацій є управління репутацією. Репутація компанії – це нематеріальний актив, який формується протягом тривалого часу і може суттєво впливати на її ринкову вартість. Дослідження показують, що понад 70% ринкової вартості провідних компаній формується саме за рахунок нематеріальних активів, серед яких репутація займає особливе місце [45]. Управління репутацією в умовах цифрової економіки вимагає комплексного підходу, що поєднує стратегічне планування комунікацій, моніторинг медіапростору та оперативне реагування на потенційні кризові ситуації.</w:t>
      </w:r>
    </w:p>
    <w:p w:rsidR="00151C63" w:rsidRPr="001B7BDE" w:rsidRDefault="00151C63" w:rsidP="00151C63">
      <w:pPr>
        <w:spacing w:line="360" w:lineRule="auto"/>
        <w:ind w:firstLine="720"/>
        <w:jc w:val="both"/>
        <w:rPr>
          <w:lang w:val="uk-UA"/>
        </w:rPr>
      </w:pPr>
      <w:r>
        <w:t>Таким чином, корпоративні комунікації є стратегічно важливим елементом управління сучасною організацією. Вони забезпечують ефективну взаємодію підприємства із зовнішнім і внутрішнім середовищем, сприяють формуванню позитивного іміджу та репутації, а також є необхідною умовою досягнення стратегічних цілей бізнесу. Розвиток цифрових технологій значно розширив можливості корпоративних комунікацій, надавши їм нових форм та інструментів, серед яких особливе місце займають соціальні мережі та професійні платформи.</w:t>
      </w:r>
    </w:p>
    <w:p w:rsidR="00151C63" w:rsidRDefault="00151C63" w:rsidP="00151C63">
      <w:pPr>
        <w:spacing w:line="360" w:lineRule="auto"/>
        <w:ind w:firstLine="720"/>
        <w:jc w:val="both"/>
        <w:rPr>
          <w:lang w:val="uk-UA"/>
        </w:rPr>
      </w:pPr>
    </w:p>
    <w:p w:rsidR="00151C63" w:rsidRPr="001B7BDE" w:rsidRDefault="00151C63" w:rsidP="00151C63">
      <w:pPr>
        <w:spacing w:line="360" w:lineRule="auto"/>
        <w:ind w:firstLine="720"/>
        <w:jc w:val="both"/>
        <w:rPr>
          <w:lang w:val="uk-UA"/>
        </w:rPr>
      </w:pPr>
    </w:p>
    <w:p w:rsidR="00151C63" w:rsidRPr="001B7BDE" w:rsidRDefault="00151C63" w:rsidP="00151C63">
      <w:pPr>
        <w:spacing w:before="360" w:line="360" w:lineRule="auto"/>
        <w:ind w:firstLine="720"/>
        <w:jc w:val="both"/>
      </w:pPr>
      <w:r>
        <w:rPr>
          <w:b/>
          <w:bCs/>
        </w:rPr>
        <w:t>1.2. Соціальні мережі як інструмент корпоративних комунікацій</w:t>
      </w:r>
    </w:p>
    <w:p w:rsidR="00151C63" w:rsidRPr="001B7BDE" w:rsidRDefault="00151C63" w:rsidP="00151C63">
      <w:pPr>
        <w:spacing w:line="360" w:lineRule="auto"/>
        <w:ind w:firstLine="720"/>
        <w:jc w:val="both"/>
      </w:pPr>
      <w:r>
        <w:t xml:space="preserve">Соціальні мережі перетворилися на один із найпотужніших інструментів корпоративних комунікацій у XXI столітті. Їхній вплив на бізнес-середовище </w:t>
      </w:r>
      <w:r>
        <w:lastRenderedPageBreak/>
        <w:t>важко переоцінити: сьогодні присутність компанії в соціальних медіа є практично обов'язковою умовою конкурентоспроможності на ринку. За даними глобальних досліджень, станом на 2024 рік кількість активних користувачів соціальних мереж у світі перевищує 5 мільярдів осіб, що становить близько 62% населення планети [29].</w:t>
      </w:r>
    </w:p>
    <w:p w:rsidR="00151C63" w:rsidRPr="001B7BDE" w:rsidRDefault="00151C63" w:rsidP="00151C63">
      <w:pPr>
        <w:spacing w:line="360" w:lineRule="auto"/>
        <w:ind w:firstLine="720"/>
        <w:jc w:val="both"/>
      </w:pPr>
      <w:r>
        <w:t>Важливо також розглянути поняття комунікаційної стратегії організації. Комунікаційна стратегія – це довгостроковий план діяльності компанії у сфері комунікацій, що визначає цілі, цільові аудиторії, ключові повідомлення, канали та інструменти взаємодії, а також методи вимірювання ефективності комунікаційної діяльності. Розробка та реалізація ефективної комунікаційної стратегії є необхідною умовою успішного функціонування будь-якого бізнесу в умовах насиченого інформаційного середовища [41].</w:t>
      </w:r>
    </w:p>
    <w:p w:rsidR="00151C63" w:rsidRPr="001B7BDE" w:rsidRDefault="00151C63" w:rsidP="00151C63">
      <w:pPr>
        <w:spacing w:line="360" w:lineRule="auto"/>
        <w:ind w:firstLine="720"/>
        <w:jc w:val="both"/>
      </w:pPr>
      <w:r>
        <w:t>Корпоративна ідентичність є невід'ємною складовою системи корпоративних комунікацій. Вона включає фірмовий стиль (логотип, кольори, шрифти), місію та цінності компанії, корпоративну культуру, а також тон та стиль комунікацій (tone of voice). Узгодженість корпоративної ідентичності на всіх платформах і каналах комунікацій сприяє формуванню впізнаваного та цілісного образу компанії в очах цільових аудиторій [13].</w:t>
      </w:r>
    </w:p>
    <w:p w:rsidR="00151C63" w:rsidRPr="001B7BDE" w:rsidRDefault="00151C63" w:rsidP="00151C63">
      <w:pPr>
        <w:spacing w:line="360" w:lineRule="auto"/>
        <w:ind w:firstLine="720"/>
        <w:jc w:val="both"/>
      </w:pPr>
      <w:r>
        <w:t>Кризові комунікації є важливим аспектом системи корпоративних комунікацій. В умовах стрімкого поширення інформації через соціальні мережі будь-яка кризова ситуація може набути вірусного характеру та завдати серйозної шкоди репутації компанії. Ефективне управління кризовими комунікаціями передбачає оперативне реагування, прозорість, щирість та готовність визнавати помилки. Дослідження показують, що компанії, які адекватно реагують на кризи, нерідко зміцнюють свою репутацію порівняно з докризовим рівнем [23].</w:t>
      </w:r>
    </w:p>
    <w:p w:rsidR="00151C63" w:rsidRPr="001B7BDE" w:rsidRDefault="00151C63" w:rsidP="00151C63">
      <w:pPr>
        <w:spacing w:line="360" w:lineRule="auto"/>
        <w:ind w:firstLine="720"/>
        <w:jc w:val="both"/>
      </w:pPr>
      <w:r>
        <w:t xml:space="preserve">Управління репутацією в онлайн-середовищі (Online Reputation Management, ORM) є відносно новою, але надзвичайно важливою дисципліною у сфері корпоративних комунікацій. ORM охоплює моніторинг згадок бренду в інтернеті, роботу з відгуками клієнтів, просування позитивного контенту в пошукових системах та оперативне реагування на негатив. Ключовими </w:t>
      </w:r>
      <w:r>
        <w:lastRenderedPageBreak/>
        <w:t>інструментами ORM є: Google Alerts, Brand24, Mention та спеціалізовані агентства репутаційного менеджменту. Ефективна стратегія ORM дозволяє компанії проактивно формувати свій онлайн-образ, не чекаючи, поки репутаційні проблеми стануть критичними [41].</w:t>
      </w:r>
    </w:p>
    <w:p w:rsidR="00151C63" w:rsidRPr="001B7BDE" w:rsidRDefault="00151C63" w:rsidP="00151C63">
      <w:pPr>
        <w:spacing w:line="360" w:lineRule="auto"/>
        <w:ind w:firstLine="720"/>
        <w:jc w:val="both"/>
      </w:pPr>
      <w:r>
        <w:t>Employer branding – формування привабливого образу роботодавця – є важливим напрямом корпоративних комунікацій, спрямованим на залучення та утримання талановитих співробітників. У конкурентному середовищі ринку праці компанії активно використовують соціальні мережі (LinkedIn, Instagram, Facebook) для демонстрації корпоративної культури, умов праці та можливостей кар'єрного зростання. Контент про «день зі співробітником», корпоративні заходи та досягнення команди ефективно формує образ роботодавця як привабливого місця для розвитку кар'єри [38].</w:t>
      </w:r>
    </w:p>
    <w:p w:rsidR="00151C63" w:rsidRPr="001B7BDE" w:rsidRDefault="00151C63" w:rsidP="00151C63">
      <w:pPr>
        <w:spacing w:line="360" w:lineRule="auto"/>
        <w:ind w:firstLine="720"/>
        <w:jc w:val="both"/>
      </w:pPr>
      <w:r>
        <w:t>Локалізація комунікацій є важливим аспектом для компаній, що ведуть діяльність у різних регіонах або країнах. Адаптація мови, тону, культурних референцій та навіть продуктових пропозицій до особливостей локальних ринків суттєво підвищує ефективність комунікацій. Навіть для невеликих підприємств, що орієнтуються на місцевий ринок, важливо враховувати регіональні особливості та говорити з клієнтами на їхній мові – у прямому та переносному сенсі. Використання місцевих топонімів, культурних символів та актуальних для регіону тем підвищує ідентифікацію аудиторії з брендом [42].</w:t>
      </w:r>
    </w:p>
    <w:p w:rsidR="00151C63" w:rsidRPr="001B7BDE" w:rsidRDefault="00151C63" w:rsidP="00151C63">
      <w:pPr>
        <w:spacing w:line="360" w:lineRule="auto"/>
        <w:ind w:firstLine="720"/>
        <w:jc w:val="both"/>
      </w:pPr>
      <w:r>
        <w:t>Поняття «стейкхолдери» у контексті корпоративних комунікацій охоплює всі зацікавлені сторони, що мають вплив на діяльність організації або на яких впливає ця діяльність. До основних груп стейкхолдерів належать: клієнти та споживачі, постачальники та партнери, інвестори та акціонери, державні органи та регулятори, ЗМІ, місцеві громади та широка громадськість, власний персонал. Ефективна комунікація з кожною групою стейкхолдерів вимагає індивідуального підходу та адаптації повідомлень з урахуванням специфіки кожної аудиторії [45].</w:t>
      </w:r>
    </w:p>
    <w:p w:rsidR="00151C63" w:rsidRPr="001B7BDE" w:rsidRDefault="00151C63" w:rsidP="00151C63">
      <w:pPr>
        <w:spacing w:line="360" w:lineRule="auto"/>
        <w:ind w:firstLine="720"/>
        <w:jc w:val="both"/>
      </w:pPr>
      <w:r>
        <w:t xml:space="preserve">Зв'язки з громадськістю (PR) є важливою складовою системи корпоративних комунікацій. PR охоплює сукупність заходів, спрямованих на </w:t>
      </w:r>
      <w:r>
        <w:lastRenderedPageBreak/>
        <w:t>формування та підтримку позитивного образу організації в очах різних цільових аудиторій через ЗМІ та інші канали комунікацій. Серед основних PR-інструментів виокремлюють: прес-релізи та публікації в ЗМІ, прес-конференції та брифінги, спонсорство та благодійність, участь у виставках та конференціях, корпоративні заходи. У цифрову епоху PR-діяльність дедалі більше переміщується до онлайн-середовища, зокрема до соціальних мереж та медіаплатформ [27].</w:t>
      </w:r>
    </w:p>
    <w:p w:rsidR="00151C63" w:rsidRPr="001B7BDE" w:rsidRDefault="00151C63" w:rsidP="00151C63">
      <w:pPr>
        <w:spacing w:line="360" w:lineRule="auto"/>
        <w:ind w:firstLine="720"/>
        <w:jc w:val="both"/>
      </w:pPr>
      <w:r>
        <w:t>Внутрішні корпоративні комунікації відіграють ключову роль у формуванні корпоративної культури та забезпеченні залученості персоналу. Дослідження компанії Gallup свідчать, що підприємства з високим рівнем залученості співробітників демонструють на 21% вищу прибутковість та на 41% нижчий рівень прогулів порівняно з компаніями з низьким рівнем залученості. Ефективні внутрішні комунікації є одним із ключових чинників формування залученості персоналу. Корпоративні інтранет-портали, регулярні командні зустрічі, корпоративні розсилки та спеціалізовані платформи для внутрішніх комунікацій сприяють побудові відкритого та довірчого середовища в організації [44].</w:t>
      </w:r>
    </w:p>
    <w:p w:rsidR="00151C63" w:rsidRPr="001B7BDE" w:rsidRDefault="00151C63" w:rsidP="00151C63">
      <w:pPr>
        <w:spacing w:line="360" w:lineRule="auto"/>
        <w:ind w:firstLine="720"/>
        <w:jc w:val="both"/>
      </w:pPr>
      <w:r>
        <w:t>Дослідження показують, що ефективні корпоративні комунікації безпосередньо впливають на фінансові показники компаній. Аналіз Watson Wyatt свідчить, що організації, які ефективно здійснюють корпоративні комунікації, генерують у три-чотири рази більший дохід для акціонерів порівняно з компаніями, що мають слабкі комунікаційні системи. Ці дані підкреслюють стратегічну важливість інвестицій у розвиток системи корпоративних комунікацій та пояснюють зростаючу увагу топ-менеджменту до питань комунікаційної стратегії [28].</w:t>
      </w:r>
    </w:p>
    <w:p w:rsidR="00151C63" w:rsidRPr="001B7BDE" w:rsidRDefault="00151C63" w:rsidP="00151C63">
      <w:pPr>
        <w:spacing w:line="360" w:lineRule="auto"/>
        <w:ind w:firstLine="720"/>
        <w:jc w:val="both"/>
      </w:pPr>
      <w:r>
        <w:t xml:space="preserve">Цифрова трансформація бізнесу кардинально змінює підходи до корпоративних комунікацій. Автоматизація маркетингових комунікацій, персоналізація повідомлень на основі даних, використання штучного інтелекту для аналізу поведінки споживачів [35] – все це відкриває нові можливості для підвищення ефективності комунікаційної діяльності. Водночас цифровізація </w:t>
      </w:r>
      <w:r>
        <w:lastRenderedPageBreak/>
        <w:t>підвищує вимоги до компетентності фахівців з комунікацій: сучасний PR- або SMM-менеджер повинен вільно орієнтуватися у цифровому середовищі, розуміти принципи роботи алгоритмів соціальних мереж та вміти інтерпретувати аналітичні дані [30].</w:t>
      </w:r>
    </w:p>
    <w:p w:rsidR="00151C63" w:rsidRPr="001B7BDE" w:rsidRDefault="00151C63" w:rsidP="00151C63">
      <w:pPr>
        <w:spacing w:line="360" w:lineRule="auto"/>
        <w:ind w:firstLine="720"/>
        <w:jc w:val="both"/>
      </w:pPr>
      <w:r>
        <w:t>Конвергенція традиційних та цифрових комунікаційних каналів є важливою тенденцією у розвитку корпоративних комунікацій. Незважаючи на домінування цифрових каналів, традиційні методи комунікацій (пряма поштова розсилка, зовнішня реклама, участь у виставках та конференціях) не втрачають своєї ефективності для певних цільових аудиторій та контекстів. Найбільш ефективними є інтегровані комунікаційні кампанії, що поєднують переваги різних каналів: охоплення та таргетинг цифрових медіа з відчутністю та довірою традиційних форматів [41].</w:t>
      </w:r>
    </w:p>
    <w:p w:rsidR="00151C63" w:rsidRPr="001B7BDE" w:rsidRDefault="00151C63" w:rsidP="00151C63">
      <w:pPr>
        <w:spacing w:line="360" w:lineRule="auto"/>
        <w:ind w:firstLine="720"/>
        <w:jc w:val="both"/>
      </w:pPr>
      <w:r>
        <w:t>Соціальні мережі також відіграють важливу роль у процесах підтримки клієнтів після покупки (after-sales support). Функції публічних коментарів та приватних повідомлень у соціальних мережах дозволяють клієнтам звертатися до компанії у зручний для них спосіб, а публічний характер комунікацій стимулює компанії до оперативного та якісного вирішення проблем. Дослідження свідчать, що вирішення скарги клієнта у соціальних мережах протягом 5 хвилин зменшує ймовірність відтоку клієнта на 40% та збільшує його схильність рекомендувати компанію на 25% [43].</w:t>
      </w:r>
    </w:p>
    <w:p w:rsidR="00151C63" w:rsidRPr="001B7BDE" w:rsidRDefault="00151C63" w:rsidP="00151C63">
      <w:pPr>
        <w:spacing w:line="360" w:lineRule="auto"/>
        <w:ind w:firstLine="720"/>
        <w:jc w:val="both"/>
      </w:pPr>
      <w:r>
        <w:t>Геймification у корпоративних комунікаціях є інноваційним підходом, що передбачає використання ігрових механік (нагороди, конкурси, рейтинги, досягнення) для підвищення залученості аудиторії. У соціальних мережах гейміфікація реалізується через конкурси та розіграші, програми лояльності з балами та нагородами, виклики (challenges) та марафони. Такі кампанії генерують значну кількість користувацького контенту (UGC), підвищують впізнаваність бренду та стимулюють вірусне поширення контенту [41].</w:t>
      </w:r>
    </w:p>
    <w:p w:rsidR="00151C63" w:rsidRPr="001B7BDE" w:rsidRDefault="00151C63" w:rsidP="00151C63">
      <w:pPr>
        <w:spacing w:line="360" w:lineRule="auto"/>
        <w:ind w:firstLine="720"/>
        <w:jc w:val="both"/>
      </w:pPr>
      <w:r>
        <w:t xml:space="preserve">Доступність та інклюзивність у цифрових комунікаціях є важливими принципами сучасного бізнесу. Забезпечення доступності контенту (субтитри до відео, альтернативні текстові описи зображень, ясна та зрозуміла мова) </w:t>
      </w:r>
      <w:r>
        <w:lastRenderedPageBreak/>
        <w:t>розширює аудиторію, що може взаємодіяти з комунікаціями компанії, та демонструє соціальну відповідальність бізнесу. Соціально відповідальний підхід до комунікацій позитивно впливає на образ бренду та сприяє формуванню лояльності аудиторії [14].</w:t>
      </w:r>
    </w:p>
    <w:p w:rsidR="00151C63" w:rsidRPr="001B7BDE" w:rsidRDefault="00151C63" w:rsidP="00151C63">
      <w:pPr>
        <w:spacing w:line="360" w:lineRule="auto"/>
        <w:ind w:firstLine="720"/>
        <w:jc w:val="both"/>
      </w:pPr>
      <w:r>
        <w:t>Когортний аналіз аудиторії є важливим інструментом для вдосконалення стратегії корпоративних комунікацій. Він передбачає сегментацію аудиторії за спільними характеристиками (час вступу до спільноти, тип першої взаємодії з брендом тощо) та аналіз поведінки кожного сегменту з часом. Такий підхід дозволяє виявити закономірності у поведінці клієнтів, оптимізувати воронку залучення нових підписників та розробити персоналізовані стратегії утримання для різних сегментів аудиторії [32].</w:t>
      </w:r>
    </w:p>
    <w:p w:rsidR="00151C63" w:rsidRPr="001B7BDE" w:rsidRDefault="00151C63" w:rsidP="00151C63">
      <w:pPr>
        <w:spacing w:line="360" w:lineRule="auto"/>
        <w:ind w:firstLine="720"/>
        <w:jc w:val="both"/>
      </w:pPr>
      <w:r>
        <w:t>Тренди у споживчій поведінці суттєво впливають на розвиток корпоративних комунікацій через соціальні мережі. Зростання популярності «нативного» контенту, що органічно вписується у стрічку новин та виглядає як публікація звичайного користувача; запит на автентичність та прозорість від брендів; тренд на соціально відповідальне споживання; зростання значущості репутаційних факторів при виборі між конкурентами – все це формує нові вимоги до підходів та форматів корпоративних комунікацій у соціальних медіа [39].</w:t>
      </w:r>
    </w:p>
    <w:p w:rsidR="00151C63" w:rsidRPr="001B7BDE" w:rsidRDefault="00151C63" w:rsidP="00151C63">
      <w:pPr>
        <w:spacing w:line="360" w:lineRule="auto"/>
        <w:ind w:firstLine="720"/>
        <w:jc w:val="both"/>
      </w:pPr>
      <w:r>
        <w:t>Формування контент-маркетингової екосистеми є стратегічним підходом до побудови ефективних корпоративних комунікацій. Контент-маркетингова екосистема включає: власний контент-хаб (корпоративний блог або ресурсний центр на сайті), акаунти у соціальних мережах як канали дистрибуції контенту, email-розсилку для роботи з підписниками [31], відеоплатформи та подкасти. Така система дозволяє компанії стати незалежним медіа, що формує лояльну аудиторію та генерує органічний трафік без постійної залежності від платної реклами [38].</w:t>
      </w:r>
    </w:p>
    <w:p w:rsidR="00151C63" w:rsidRPr="001B7BDE" w:rsidRDefault="00151C63" w:rsidP="00151C63">
      <w:pPr>
        <w:spacing w:line="360" w:lineRule="auto"/>
        <w:ind w:firstLine="720"/>
        <w:jc w:val="both"/>
      </w:pPr>
      <w:r>
        <w:t xml:space="preserve">Вимірювання повернення інвестицій (ROI) у корпоративні комунікації є актуальним завданням для більшості організацій. Традиційно корпоративні комунікації вважалися сферою, де ROI важко виміряти. Однак розвиток </w:t>
      </w:r>
      <w:r>
        <w:lastRenderedPageBreak/>
        <w:t>цифрової аналітики суттєво змінив ситуацію: сьогодні можна з достатньою точністю відстежити, як конкретна публікація у соціальних мережах вплинула на трафік сайту, кількість запитів та обсяг продажів. Атрибуційні моделі (перший дотик, останній дотик, лінійна атрибуція тощо) дозволяють розподіляти цінність конверсії між різними каналами комунікацій [42].</w:t>
      </w:r>
    </w:p>
    <w:p w:rsidR="00151C63" w:rsidRPr="001B7BDE" w:rsidRDefault="00151C63" w:rsidP="00151C63">
      <w:pPr>
        <w:spacing w:line="360" w:lineRule="auto"/>
        <w:ind w:firstLine="720"/>
        <w:jc w:val="both"/>
      </w:pPr>
      <w:r>
        <w:t>Соціальна мережа як концепція виникла задовго до появи Інтернету – ще в середині XX століття соціологи почали вивчати структуру соціальних зв`язків між людьми. Однак у контексті цифрових технологій під соціальною мережею розуміють онлайн-платформу, що дозволяє користувачам створювати профілі, формувати мережі контактів та обмінюватися контентом. Перші комерційні соціальні мережі (SixDegrees, Friendster) з'явилися наприкінці 1990-х – на початку 2000-х років, але справжній бум розпочався з появою Facebook у 2004 році [33].</w:t>
      </w:r>
    </w:p>
    <w:p w:rsidR="00151C63" w:rsidRDefault="00151C63" w:rsidP="00151C63">
      <w:pPr>
        <w:spacing w:line="360" w:lineRule="auto"/>
        <w:ind w:firstLine="720"/>
        <w:jc w:val="both"/>
      </w:pPr>
      <w:r>
        <w:t>Для цілей корпоративних комунікацій соціальні мережі можна класифікувати за кількома ознаками, що дозволяє організаціям обирати найбільш ефективні канали взаємодії із цільовими аудиторіями. За типом контенту виокремлюють текстово-орієнтовані платформи (Twitter/X, LinkedIn), які використовуються для оперативного поширення новин, професійних дискусій та ділового спілкування; візуально-орієнтовані платформи (Instagram, Pinterest), що забезпечують представлення бренду через фотографії, графіку та інші візуальні матеріали; відео-платформи (YouTube, TikTok), які дозволяють створювати та поширювати відеоконтент для інформування, навчання та просування продукції чи послуг; а також комбіновані платформи (Facebook, Telegram), що поєднують можливості публікації текстових, графічних, аудіо- та відеоматеріалів. Така різноманітність форматів сприяє більш ефективному охопленню різних груп стейкхолдерів та забезпечує гнучкість корпоративних комунікацій.</w:t>
      </w:r>
    </w:p>
    <w:p w:rsidR="00151C63" w:rsidRPr="001B7BDE" w:rsidRDefault="00151C63" w:rsidP="00151C63">
      <w:pPr>
        <w:spacing w:line="360" w:lineRule="auto"/>
        <w:ind w:firstLine="720"/>
        <w:jc w:val="both"/>
      </w:pPr>
      <w:r>
        <w:t xml:space="preserve">За типом аудиторії соціальні мережі поділяються на загальні та спеціалізовані. Загальні соціальні мережі, такі як Facebook та Instagram, орієнтовані на широку аудиторію і використовуються для формування </w:t>
      </w:r>
      <w:r>
        <w:lastRenderedPageBreak/>
        <w:t>позитивного іміджу компанії, підвищення впізнаваності бренду та підтримки взаємодії з клієнтами. Спеціалізовані платформи, зокрема LinkedIn для професійних комунікацій або Behance для представників творчих професій, дають можливість здійснювати більш цільове позиціонування організації, розвивати професійні контакти та залучати потенційних партнерів і працівників [24]. Порівняльну характеристику основних соціальних мереж, що використовуються в корпоративних комунікаціях, наведено в таблиці 1.2.</w:t>
      </w:r>
    </w:p>
    <w:p w:rsidR="00151C63" w:rsidRPr="002628AE" w:rsidRDefault="00151C63" w:rsidP="00151C63">
      <w:pPr>
        <w:spacing w:before="240" w:after="120" w:line="360" w:lineRule="auto"/>
        <w:jc w:val="center"/>
        <w:rPr>
          <w:lang w:val="uk-UA"/>
        </w:rPr>
      </w:pPr>
      <w:r>
        <w:t>Таблиця 1.2 – Порівняльна характеристика основних соціальних мереж для корпоративних комунікацій</w:t>
      </w:r>
    </w:p>
    <w:tbl>
      <w:tblPr>
        <w:tblW w:w="0" w:type="auto"/>
        <w:tblCellSpacing w:w="15" w:type="dxa"/>
        <w:tblBorders>
          <w:top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6"/>
        <w:gridCol w:w="1953"/>
        <w:gridCol w:w="2035"/>
        <w:gridCol w:w="2241"/>
        <w:gridCol w:w="2128"/>
      </w:tblGrid>
      <w:tr w:rsidR="00151C63" w:rsidRPr="002628AE" w:rsidTr="00D2520C">
        <w:trPr>
          <w:tblHeader/>
          <w:tblCellSpacing w:w="15" w:type="dxa"/>
        </w:trPr>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Соціальна мережа</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Характеристика аудиторії</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Переважні формати контенту</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Комунікаційні можливості для бізнесу</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Особливості використання</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Instagram</w:t>
            </w:r>
          </w:p>
        </w:tc>
        <w:tc>
          <w:tcPr>
            <w:tcW w:w="0" w:type="auto"/>
            <w:vAlign w:val="center"/>
            <w:hideMark/>
          </w:tcPr>
          <w:p w:rsidR="00151C63" w:rsidRPr="002628AE" w:rsidRDefault="00151C63" w:rsidP="00D2520C">
            <w:pPr>
              <w:rPr>
                <w:color w:val="000000"/>
                <w:sz w:val="24"/>
                <w:szCs w:val="24"/>
              </w:rPr>
            </w:pPr>
            <w:r>
              <w:rPr>
                <w:color w:val="000000"/>
                <w:sz w:val="24"/>
                <w:szCs w:val="24"/>
              </w:rPr>
              <w:t>Понад 2 млрд користувачів</w:t>
            </w:r>
          </w:p>
        </w:tc>
        <w:tc>
          <w:tcPr>
            <w:tcW w:w="0" w:type="auto"/>
            <w:vAlign w:val="center"/>
            <w:hideMark/>
          </w:tcPr>
          <w:p w:rsidR="00151C63" w:rsidRPr="002628AE" w:rsidRDefault="00151C63" w:rsidP="00D2520C">
            <w:pPr>
              <w:rPr>
                <w:color w:val="000000"/>
                <w:sz w:val="24"/>
                <w:szCs w:val="24"/>
              </w:rPr>
            </w:pPr>
            <w:r>
              <w:rPr>
                <w:color w:val="000000"/>
                <w:sz w:val="24"/>
                <w:szCs w:val="24"/>
              </w:rPr>
              <w:t>Фото, короткі відео (Reels), Stories</w:t>
            </w:r>
          </w:p>
        </w:tc>
        <w:tc>
          <w:tcPr>
            <w:tcW w:w="0" w:type="auto"/>
            <w:vAlign w:val="center"/>
            <w:hideMark/>
          </w:tcPr>
          <w:p w:rsidR="00151C63" w:rsidRPr="002628AE" w:rsidRDefault="00151C63" w:rsidP="00D2520C">
            <w:pPr>
              <w:rPr>
                <w:color w:val="000000"/>
                <w:sz w:val="24"/>
                <w:szCs w:val="24"/>
              </w:rPr>
            </w:pPr>
            <w:r>
              <w:rPr>
                <w:color w:val="000000"/>
                <w:sz w:val="24"/>
                <w:szCs w:val="24"/>
              </w:rPr>
              <w:t>Просування бренду, взаємодія з аудиторією, демонстрація продукції, таргетована реклама</w:t>
            </w:r>
          </w:p>
        </w:tc>
        <w:tc>
          <w:tcPr>
            <w:tcW w:w="0" w:type="auto"/>
            <w:vAlign w:val="center"/>
            <w:hideMark/>
          </w:tcPr>
          <w:p w:rsidR="00151C63" w:rsidRPr="002628AE" w:rsidRDefault="00151C63" w:rsidP="00D2520C">
            <w:pPr>
              <w:rPr>
                <w:color w:val="000000"/>
                <w:sz w:val="24"/>
                <w:szCs w:val="24"/>
              </w:rPr>
            </w:pPr>
            <w:r>
              <w:rPr>
                <w:color w:val="000000"/>
                <w:sz w:val="24"/>
                <w:szCs w:val="24"/>
              </w:rPr>
              <w:t>Висока конкуренція за увагу користувачів та залежність охоплення від алгоритмів платформи</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Facebook</w:t>
            </w:r>
          </w:p>
        </w:tc>
        <w:tc>
          <w:tcPr>
            <w:tcW w:w="0" w:type="auto"/>
            <w:vAlign w:val="center"/>
            <w:hideMark/>
          </w:tcPr>
          <w:p w:rsidR="00151C63" w:rsidRPr="002628AE" w:rsidRDefault="00151C63" w:rsidP="00D2520C">
            <w:pPr>
              <w:rPr>
                <w:color w:val="000000"/>
                <w:sz w:val="24"/>
                <w:szCs w:val="24"/>
              </w:rPr>
            </w:pPr>
            <w:r>
              <w:rPr>
                <w:color w:val="000000"/>
                <w:sz w:val="24"/>
                <w:szCs w:val="24"/>
              </w:rPr>
              <w:t>Понад 3 млрд користувачів</w:t>
            </w:r>
          </w:p>
        </w:tc>
        <w:tc>
          <w:tcPr>
            <w:tcW w:w="0" w:type="auto"/>
            <w:vAlign w:val="center"/>
            <w:hideMark/>
          </w:tcPr>
          <w:p w:rsidR="00151C63" w:rsidRPr="002628AE" w:rsidRDefault="00151C63" w:rsidP="00D2520C">
            <w:pPr>
              <w:rPr>
                <w:color w:val="000000"/>
                <w:sz w:val="24"/>
                <w:szCs w:val="24"/>
              </w:rPr>
            </w:pPr>
            <w:r>
              <w:rPr>
                <w:color w:val="000000"/>
                <w:sz w:val="24"/>
                <w:szCs w:val="24"/>
              </w:rPr>
              <w:t>Текстові повідомлення, фото, відео, події</w:t>
            </w:r>
          </w:p>
        </w:tc>
        <w:tc>
          <w:tcPr>
            <w:tcW w:w="0" w:type="auto"/>
            <w:vAlign w:val="center"/>
            <w:hideMark/>
          </w:tcPr>
          <w:p w:rsidR="00151C63" w:rsidRPr="002628AE" w:rsidRDefault="00151C63" w:rsidP="00D2520C">
            <w:pPr>
              <w:rPr>
                <w:color w:val="000000"/>
                <w:sz w:val="24"/>
                <w:szCs w:val="24"/>
              </w:rPr>
            </w:pPr>
            <w:r>
              <w:rPr>
                <w:color w:val="000000"/>
                <w:sz w:val="24"/>
                <w:szCs w:val="24"/>
              </w:rPr>
              <w:t>Формування спільнот, рекламні кампанії, підтримка зворотного зв'язку з клієнтами</w:t>
            </w:r>
          </w:p>
        </w:tc>
        <w:tc>
          <w:tcPr>
            <w:tcW w:w="0" w:type="auto"/>
            <w:vAlign w:val="center"/>
            <w:hideMark/>
          </w:tcPr>
          <w:p w:rsidR="00151C63" w:rsidRPr="002628AE" w:rsidRDefault="00151C63" w:rsidP="00D2520C">
            <w:pPr>
              <w:rPr>
                <w:color w:val="000000"/>
                <w:sz w:val="24"/>
                <w:szCs w:val="24"/>
              </w:rPr>
            </w:pPr>
            <w:r>
              <w:rPr>
                <w:color w:val="000000"/>
                <w:sz w:val="24"/>
                <w:szCs w:val="24"/>
              </w:rPr>
              <w:t>Поступове зниження популярності серед молодшої аудиторії</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LinkedIn</w:t>
            </w:r>
          </w:p>
        </w:tc>
        <w:tc>
          <w:tcPr>
            <w:tcW w:w="0" w:type="auto"/>
            <w:vAlign w:val="center"/>
            <w:hideMark/>
          </w:tcPr>
          <w:p w:rsidR="00151C63" w:rsidRPr="002628AE" w:rsidRDefault="00151C63" w:rsidP="00D2520C">
            <w:pPr>
              <w:rPr>
                <w:color w:val="000000"/>
                <w:sz w:val="24"/>
                <w:szCs w:val="24"/>
              </w:rPr>
            </w:pPr>
            <w:r>
              <w:rPr>
                <w:color w:val="000000"/>
                <w:sz w:val="24"/>
                <w:szCs w:val="24"/>
              </w:rPr>
              <w:t>Понад 1 млрд користувачів</w:t>
            </w:r>
          </w:p>
        </w:tc>
        <w:tc>
          <w:tcPr>
            <w:tcW w:w="0" w:type="auto"/>
            <w:vAlign w:val="center"/>
            <w:hideMark/>
          </w:tcPr>
          <w:p w:rsidR="00151C63" w:rsidRPr="002628AE" w:rsidRDefault="00151C63" w:rsidP="00D2520C">
            <w:pPr>
              <w:rPr>
                <w:color w:val="000000"/>
                <w:sz w:val="24"/>
                <w:szCs w:val="24"/>
              </w:rPr>
            </w:pPr>
            <w:r>
              <w:rPr>
                <w:color w:val="000000"/>
                <w:sz w:val="24"/>
                <w:szCs w:val="24"/>
              </w:rPr>
              <w:t>Професійні публікації, статті, вакансії</w:t>
            </w:r>
          </w:p>
        </w:tc>
        <w:tc>
          <w:tcPr>
            <w:tcW w:w="0" w:type="auto"/>
            <w:vAlign w:val="center"/>
            <w:hideMark/>
          </w:tcPr>
          <w:p w:rsidR="00151C63" w:rsidRPr="002628AE" w:rsidRDefault="00151C63" w:rsidP="00D2520C">
            <w:pPr>
              <w:rPr>
                <w:color w:val="000000"/>
                <w:sz w:val="24"/>
                <w:szCs w:val="24"/>
              </w:rPr>
            </w:pPr>
            <w:r>
              <w:rPr>
                <w:color w:val="000000"/>
                <w:sz w:val="24"/>
                <w:szCs w:val="24"/>
              </w:rPr>
              <w:t>B2B-комунікації, рекрутинг, розвиток ділових контактів та корпоративного іміджу</w:t>
            </w:r>
          </w:p>
        </w:tc>
        <w:tc>
          <w:tcPr>
            <w:tcW w:w="0" w:type="auto"/>
            <w:vAlign w:val="center"/>
            <w:hideMark/>
          </w:tcPr>
          <w:p w:rsidR="00151C63" w:rsidRPr="002628AE" w:rsidRDefault="00151C63" w:rsidP="00D2520C">
            <w:pPr>
              <w:rPr>
                <w:color w:val="000000"/>
                <w:sz w:val="24"/>
                <w:szCs w:val="24"/>
              </w:rPr>
            </w:pPr>
            <w:r>
              <w:rPr>
                <w:color w:val="000000"/>
                <w:sz w:val="24"/>
                <w:szCs w:val="24"/>
              </w:rPr>
              <w:t>Орієнтація переважно на професійну аудиторію</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TikTok</w:t>
            </w:r>
          </w:p>
        </w:tc>
        <w:tc>
          <w:tcPr>
            <w:tcW w:w="0" w:type="auto"/>
            <w:vAlign w:val="center"/>
            <w:hideMark/>
          </w:tcPr>
          <w:p w:rsidR="00151C63" w:rsidRPr="002628AE" w:rsidRDefault="00151C63" w:rsidP="00D2520C">
            <w:pPr>
              <w:rPr>
                <w:color w:val="000000"/>
                <w:sz w:val="24"/>
                <w:szCs w:val="24"/>
              </w:rPr>
            </w:pPr>
            <w:r>
              <w:rPr>
                <w:color w:val="000000"/>
                <w:sz w:val="24"/>
                <w:szCs w:val="24"/>
              </w:rPr>
              <w:t>Понад 1,5 млрд користувачів</w:t>
            </w:r>
          </w:p>
        </w:tc>
        <w:tc>
          <w:tcPr>
            <w:tcW w:w="0" w:type="auto"/>
            <w:vAlign w:val="center"/>
            <w:hideMark/>
          </w:tcPr>
          <w:p w:rsidR="00151C63" w:rsidRPr="002628AE" w:rsidRDefault="00151C63" w:rsidP="00D2520C">
            <w:pPr>
              <w:rPr>
                <w:color w:val="000000"/>
                <w:sz w:val="24"/>
                <w:szCs w:val="24"/>
              </w:rPr>
            </w:pPr>
            <w:r>
              <w:rPr>
                <w:color w:val="000000"/>
                <w:sz w:val="24"/>
                <w:szCs w:val="24"/>
              </w:rPr>
              <w:t>Короткі відеоролики</w:t>
            </w:r>
          </w:p>
        </w:tc>
        <w:tc>
          <w:tcPr>
            <w:tcW w:w="0" w:type="auto"/>
            <w:vAlign w:val="center"/>
            <w:hideMark/>
          </w:tcPr>
          <w:p w:rsidR="00151C63" w:rsidRPr="002628AE" w:rsidRDefault="00151C63" w:rsidP="00D2520C">
            <w:pPr>
              <w:rPr>
                <w:color w:val="000000"/>
                <w:sz w:val="24"/>
                <w:szCs w:val="24"/>
              </w:rPr>
            </w:pPr>
            <w:r>
              <w:rPr>
                <w:color w:val="000000"/>
                <w:sz w:val="24"/>
                <w:szCs w:val="24"/>
              </w:rPr>
              <w:t>Швидке поширення контенту, залучення молодої аудиторії, підвищення впізнаваності бренду</w:t>
            </w:r>
          </w:p>
        </w:tc>
        <w:tc>
          <w:tcPr>
            <w:tcW w:w="0" w:type="auto"/>
            <w:vAlign w:val="center"/>
            <w:hideMark/>
          </w:tcPr>
          <w:p w:rsidR="00151C63" w:rsidRPr="002628AE" w:rsidRDefault="00151C63" w:rsidP="00D2520C">
            <w:pPr>
              <w:rPr>
                <w:color w:val="000000"/>
                <w:sz w:val="24"/>
                <w:szCs w:val="24"/>
              </w:rPr>
            </w:pPr>
            <w:r>
              <w:rPr>
                <w:color w:val="000000"/>
                <w:sz w:val="24"/>
                <w:szCs w:val="24"/>
              </w:rPr>
              <w:t>Потребує постійного створення креативного відеоконтенту</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Telegram</w:t>
            </w:r>
          </w:p>
        </w:tc>
        <w:tc>
          <w:tcPr>
            <w:tcW w:w="0" w:type="auto"/>
            <w:vAlign w:val="center"/>
            <w:hideMark/>
          </w:tcPr>
          <w:p w:rsidR="00151C63" w:rsidRPr="002628AE" w:rsidRDefault="00151C63" w:rsidP="00D2520C">
            <w:pPr>
              <w:rPr>
                <w:color w:val="000000"/>
                <w:sz w:val="24"/>
                <w:szCs w:val="24"/>
              </w:rPr>
            </w:pPr>
            <w:r>
              <w:rPr>
                <w:color w:val="000000"/>
                <w:sz w:val="24"/>
                <w:szCs w:val="24"/>
              </w:rPr>
              <w:t>Понад 900 млн користувачів</w:t>
            </w:r>
          </w:p>
        </w:tc>
        <w:tc>
          <w:tcPr>
            <w:tcW w:w="0" w:type="auto"/>
            <w:vAlign w:val="center"/>
            <w:hideMark/>
          </w:tcPr>
          <w:p w:rsidR="00151C63" w:rsidRPr="002628AE" w:rsidRDefault="00151C63" w:rsidP="00D2520C">
            <w:pPr>
              <w:rPr>
                <w:color w:val="000000"/>
                <w:sz w:val="24"/>
                <w:szCs w:val="24"/>
              </w:rPr>
            </w:pPr>
            <w:r>
              <w:rPr>
                <w:color w:val="000000"/>
                <w:sz w:val="24"/>
                <w:szCs w:val="24"/>
              </w:rPr>
              <w:t>Текстові повідомлення, мультимедійний контент, чат-боти</w:t>
            </w:r>
          </w:p>
        </w:tc>
        <w:tc>
          <w:tcPr>
            <w:tcW w:w="0" w:type="auto"/>
            <w:vAlign w:val="center"/>
            <w:hideMark/>
          </w:tcPr>
          <w:p w:rsidR="00151C63" w:rsidRPr="002628AE" w:rsidRDefault="00151C63" w:rsidP="00D2520C">
            <w:pPr>
              <w:rPr>
                <w:color w:val="000000"/>
                <w:sz w:val="24"/>
                <w:szCs w:val="24"/>
              </w:rPr>
            </w:pPr>
            <w:r>
              <w:rPr>
                <w:color w:val="000000"/>
                <w:sz w:val="24"/>
                <w:szCs w:val="24"/>
              </w:rPr>
              <w:t>Оперативне інформування, автоматизація комунікацій, формування власних інформаційних каналів</w:t>
            </w:r>
          </w:p>
        </w:tc>
        <w:tc>
          <w:tcPr>
            <w:tcW w:w="0" w:type="auto"/>
            <w:vAlign w:val="center"/>
            <w:hideMark/>
          </w:tcPr>
          <w:p w:rsidR="00151C63" w:rsidRPr="002628AE" w:rsidRDefault="00151C63" w:rsidP="00D2520C">
            <w:pPr>
              <w:rPr>
                <w:color w:val="000000"/>
                <w:sz w:val="24"/>
                <w:szCs w:val="24"/>
              </w:rPr>
            </w:pPr>
            <w:r>
              <w:rPr>
                <w:color w:val="000000"/>
                <w:sz w:val="24"/>
                <w:szCs w:val="24"/>
              </w:rPr>
              <w:t>Обмежений набір рекламних інструментів порівняно з іншими платформами</w:t>
            </w:r>
          </w:p>
        </w:tc>
      </w:tr>
    </w:tbl>
    <w:p w:rsidR="00151C63" w:rsidRPr="001B7BDE" w:rsidRDefault="00151C63" w:rsidP="00151C63">
      <w:pPr>
        <w:spacing w:line="360" w:lineRule="auto"/>
        <w:ind w:firstLine="720"/>
        <w:jc w:val="both"/>
      </w:pPr>
      <w:r>
        <w:lastRenderedPageBreak/>
        <w:t>Використання соціальних мереж у корпоративних комунікаціях охоплює кілька ключових напрямів. По-перше, маркетинг у соціальних мережах (SMM) – це комплекс заходів з просування компанії, її продуктів та послуг через соціальні медіа. SMM включає ведення корпоративних акаунтів, публікацію релевантного контенту, таргетовану рекламу та взаємодію з підписниками. Ефективний SMM дозволяє значно збільшити охоплення цільової аудиторії при відносно невисоких витратах порівняно з традиційними рекламними каналами [20; 21] [27].</w:t>
      </w:r>
    </w:p>
    <w:p w:rsidR="00151C63" w:rsidRPr="001B7BDE" w:rsidRDefault="00151C63" w:rsidP="00151C63">
      <w:pPr>
        <w:spacing w:line="360" w:lineRule="auto"/>
        <w:ind w:firstLine="720"/>
        <w:jc w:val="both"/>
      </w:pPr>
      <w:r>
        <w:t>По-друге, соціальні мережі використовуються для управління репутацією бренду. Моніторинг згадок компанії в соціальних медіа, оперативне реагування на відгуки та коментарі, робота з негативними публікаціями – все це є важливими аспектами онлайн-репутаційного менеджменту. Дослідження BrightLocal показують, що 87% споживачів читають онлайн-відгуки перед прийняттям рішення про покупку, а 79% довіряють онлайн-відгукам так само, як особистим рекомендаціям [37].</w:t>
      </w:r>
    </w:p>
    <w:p w:rsidR="00151C63" w:rsidRPr="001B7BDE" w:rsidRDefault="00151C63" w:rsidP="00151C63">
      <w:pPr>
        <w:spacing w:line="360" w:lineRule="auto"/>
        <w:ind w:firstLine="720"/>
        <w:jc w:val="both"/>
      </w:pPr>
      <w:r>
        <w:t>По-третє, соціальні мережі є ефективним інструментом обслуговування клієнтів. Сьогодні багато компаній використовують свої сторінки у Facebook, Instagram та інших платформах як канали клієнтської підтримки. Перевага цього підходу полягає в оперативності, зручності для клієнтів та публічності, яка стимулює компанії до вирішення проблем у найкоротші терміни [43].</w:t>
      </w:r>
    </w:p>
    <w:p w:rsidR="00151C63" w:rsidRPr="001B7BDE" w:rsidRDefault="00151C63" w:rsidP="00151C63">
      <w:pPr>
        <w:spacing w:line="360" w:lineRule="auto"/>
        <w:ind w:firstLine="720"/>
        <w:jc w:val="both"/>
      </w:pPr>
      <w:r>
        <w:t>По-четверте, соціальні мережі відіграють важливу роль у рекрутингу та управлінні людськими ресурсами. LinkedIn, Facebook та Instagram активно використовуються HR-фахівцями для пошуку кандидатів, перевірки їхнього онлайн-профілю та просування роботодавця як привабливого місця роботи (employer branding). За даними дослідження Jobvite, понад 90% рекрутерів використовують соціальні мережі для пошуку та перевірки кандидатів [40].</w:t>
      </w:r>
    </w:p>
    <w:p w:rsidR="00151C63" w:rsidRPr="001B7BDE" w:rsidRDefault="00151C63" w:rsidP="00151C63">
      <w:pPr>
        <w:spacing w:line="360" w:lineRule="auto"/>
        <w:ind w:firstLine="720"/>
        <w:jc w:val="both"/>
      </w:pPr>
      <w:r>
        <w:t xml:space="preserve">Instagram є однією з найпопулярніших платформ для корпоративних комунікацій, особливо серед компаній, що працюють у сфері споживчих товарів, моди, харчування, туризму та послуг. Візуальний формат платформи дозволяє ефективно демонструвати продукти та послуги, а функціонал Stories, Reels та IGTV надає широкі можливості для різноформатного контенту. Ключовими </w:t>
      </w:r>
      <w:r>
        <w:lastRenderedPageBreak/>
        <w:t>перевагами Instagram для бізнесу є висока залученість аудиторії, розвинений таргетинг та можливість прямих продажів через функцію Instagram Shopping [24].</w:t>
      </w:r>
    </w:p>
    <w:p w:rsidR="00151C63" w:rsidRPr="001B7BDE" w:rsidRDefault="00151C63" w:rsidP="00151C63">
      <w:pPr>
        <w:spacing w:line="360" w:lineRule="auto"/>
        <w:ind w:firstLine="720"/>
        <w:jc w:val="both"/>
      </w:pPr>
      <w:r>
        <w:t>Facebook, незважаючи на відносне зниження популярності серед молоді, залишається найбільшою соціальною мережею у світі та важливим інструментом корпоративних комунікацій. Facebook Pages дозволяють компаніям формувати розширені профілі, публікувати різноформатний контент, організовувати події та взаємодіяти з аудиторією. Рекламна платформа Facebook Ads є однією з найпотужніших у світі завдяки детальним інструментам таргетингу та великому охопленню [27].</w:t>
      </w:r>
    </w:p>
    <w:p w:rsidR="00151C63" w:rsidRPr="001B7BDE" w:rsidRDefault="00151C63" w:rsidP="00151C63">
      <w:pPr>
        <w:spacing w:line="360" w:lineRule="auto"/>
        <w:ind w:firstLine="720"/>
        <w:jc w:val="both"/>
      </w:pPr>
      <w:r>
        <w:t>TikTok – відносно нова, але надзвичайно швидко зростаюча платформа, яка стала важливим каналом корпоративних комунікацій, особливо для компаній, що орієнтуються на молодіжну аудиторію. Формат коротких відеороликів дозволяє компаніям демонструвати свою продукцію та корпоративну культуру у неформальному, цікавому форматі. Алгоритм TikTok забезпечує органічне охоплення, значно вище, ніж на більш зрілих платформах, що робить його привабливим з точки зору витрат на просування [30].</w:t>
      </w:r>
    </w:p>
    <w:p w:rsidR="00151C63" w:rsidRPr="001B7BDE" w:rsidRDefault="00151C63" w:rsidP="00151C63">
      <w:pPr>
        <w:spacing w:line="360" w:lineRule="auto"/>
        <w:ind w:firstLine="720"/>
        <w:jc w:val="both"/>
      </w:pPr>
      <w:r>
        <w:t>Telegram, хоч і позиціонується передусім як месенджер, de facto перетворився на важливу соціальну мережу та інструмент корпоративних комунікацій у багатьох країнах, включаючи Україну. Корпоративні Telegram-канали дозволяють оперативно доносити інформацію до широкої аудиторії підписників, а Telegram-боти автоматизують процеси обслуговування клієнтів. Особливо широкого поширення Telegram набув в Україні в умовах воєнного стану як надійний канал для оперативного поширення інформації [30].</w:t>
      </w:r>
    </w:p>
    <w:p w:rsidR="00151C63" w:rsidRPr="001B7BDE" w:rsidRDefault="00151C63" w:rsidP="00151C63">
      <w:pPr>
        <w:spacing w:line="360" w:lineRule="auto"/>
        <w:ind w:firstLine="720"/>
        <w:jc w:val="both"/>
      </w:pPr>
      <w:r>
        <w:t xml:space="preserve">Розробка ефективної стратегії присутності компанії в соціальних мережах передбачає кілька ключових елементів. По-перше, необхідно чітко визначити цілі комунікацій у соціальних мережах (підвищення впізнаваності бренду, залучення нових клієнтів, збільшення продажів тощо). По-друге, слід ідентифікувати цільову аудиторію та обрати відповідні платформи. По-третє, необхідно розробити контент-план та редакційну політику. По-четверте, </w:t>
      </w:r>
      <w:r>
        <w:lastRenderedPageBreak/>
        <w:t>важливо визначити ключові показники ефективності (KPI) та систему моніторингу [41].</w:t>
      </w:r>
    </w:p>
    <w:p w:rsidR="00151C63" w:rsidRPr="001B7BDE" w:rsidRDefault="00151C63" w:rsidP="00151C63">
      <w:pPr>
        <w:spacing w:line="360" w:lineRule="auto"/>
        <w:ind w:firstLine="720"/>
        <w:jc w:val="both"/>
      </w:pPr>
      <w:r>
        <w:t>Контент-маркетинг є ключовою складовою стратегії просування компанії в соціальних мережах. Якісний, релевантний та цікавий контент залучає нових підписників, підвищує залученість існуючої аудиторії та формує позитивний образ компанії як експерта у своїй галузі. До основних форматів контенту для соціальних мереж належать: текстові пости та статті; фотографії та інфографіки [15]; відео (як короткі кліпи, так і повноформатні ролики); прямі трансляції (live-стріми); опитування та інтерактивний контент [38].</w:t>
      </w:r>
    </w:p>
    <w:p w:rsidR="00151C63" w:rsidRPr="001B7BDE" w:rsidRDefault="00151C63" w:rsidP="00151C63">
      <w:pPr>
        <w:spacing w:line="360" w:lineRule="auto"/>
        <w:ind w:firstLine="720"/>
        <w:jc w:val="both"/>
      </w:pPr>
      <w:r>
        <w:t>Важливим аспектом роботи в соціальних мережах є взаємодія з аудиторією (engagement). Компанії, які активно відповідають на коментарі, проводять конкурси та опитування, ініціюють дискусії, досягають значно вищих показників залученості та лояльності аудиторії. Дослідження показують, що бренди, які реагують на коментарі та повідомлення у соціальних мережах, мають на 20-40% вищий рівень задоволеності клієнтів порівняно з тими, хто ігнорує зворотний зв'язок [41].</w:t>
      </w:r>
    </w:p>
    <w:p w:rsidR="00151C63" w:rsidRPr="001B7BDE" w:rsidRDefault="00151C63" w:rsidP="00151C63">
      <w:pPr>
        <w:spacing w:line="360" w:lineRule="auto"/>
        <w:ind w:firstLine="720"/>
        <w:jc w:val="both"/>
      </w:pPr>
      <w:r>
        <w:t>Вимірювання ефективності присутності компанії в соціальних мережах здійснюється за допомогою низки метрик. Серед ключових показників ефективності (KPI) виокремлюють: охоплення (reach) – кількість унікальних користувачів, що побачили публікацію; показник залученості (engagement rate) – відношення кількості взаємодій до охоплення; приріст підписників; трафік з соціальних мереж на сайт компанії; кількість лідів та конверсій, отриманих через соціальні мережі [36].</w:t>
      </w:r>
    </w:p>
    <w:p w:rsidR="00151C63" w:rsidRPr="001B7BDE" w:rsidRDefault="00151C63" w:rsidP="00151C63">
      <w:pPr>
        <w:spacing w:line="360" w:lineRule="auto"/>
        <w:ind w:firstLine="720"/>
        <w:jc w:val="both"/>
      </w:pPr>
      <w:r>
        <w:t xml:space="preserve">Таким чином, соціальні мережі стали невід'ємним елементом системи корпоративних комунікацій сучасного підприємства. Вони відкривають широкі можливості для просування продуктів та послуг, управління репутацією, обслуговування клієнтів та рекрутингу. Ефективне використання потенціалу соціальних медіа вимагає чіткої стратегії, якісного контенту та постійного аналізу результатів. Поряд із загальними соціальними мережами, важливу роль </w:t>
      </w:r>
      <w:r>
        <w:lastRenderedPageBreak/>
        <w:t>у системі корпоративних комунікацій відіграють спеціалізовані професійні платформи.</w:t>
      </w:r>
    </w:p>
    <w:p w:rsidR="00151C63" w:rsidRPr="001B7BDE" w:rsidRDefault="00151C63" w:rsidP="00151C63">
      <w:pPr>
        <w:spacing w:line="360" w:lineRule="auto"/>
        <w:ind w:firstLine="720"/>
        <w:jc w:val="both"/>
      </w:pPr>
      <w:r>
        <w:t>Побудова спільноти (community building) навколо бренду є однією з найбільш ефективних довгострокових стратегій у соціальних мережах. Бренди, яким вдається сформувати лояльну та активну спільноту, отримують потужний безкоштовний маркетинговий ресурс у вигляді адвокатів бренду – клієнтів, що добровільно рекомендують продукти та послуги своєму оточенню. Для побудови спільноти використовуються такі інструменти, як закриті Facebook-групи, регулярні прямі ефіри з підписниками, конкурси та гівевеї, програми лояльності та реферальні програми [41].</w:t>
      </w:r>
    </w:p>
    <w:p w:rsidR="00151C63" w:rsidRPr="001B7BDE" w:rsidRDefault="00151C63" w:rsidP="00151C63">
      <w:pPr>
        <w:spacing w:line="360" w:lineRule="auto"/>
        <w:ind w:firstLine="720"/>
        <w:jc w:val="both"/>
      </w:pPr>
      <w:r>
        <w:t>В умовах зростання конкуренції за увагу користувачів відеоконтент став одним із найбільш результативних форматів комунікації у соціальних мережах. Його популярність пояснюється здатністю швидко передавати інформацію, викликати емоційну реакцію та утримувати увагу аудиторії довше, ніж традиційні текстові повідомлення або статичні зображення. Зростання популярності формату коротких відео (Reels, TikTok, YouTube Shorts) відображає загальний тренд на мікроконтент – швидке, лаконічне та захоплюче подання інформації, що відповідає особливостям сприйняття цифрової аудиторії з обмеженою увагою [38].</w:t>
      </w:r>
    </w:p>
    <w:p w:rsidR="00151C63" w:rsidRPr="001B7BDE" w:rsidRDefault="00151C63" w:rsidP="00151C63">
      <w:pPr>
        <w:spacing w:line="360" w:lineRule="auto"/>
        <w:ind w:firstLine="720"/>
        <w:jc w:val="both"/>
      </w:pPr>
      <w:r>
        <w:t>Соціальна комерція (social commerce) – продаж товарів та послуг безпосередньо через платформи соціальних мереж – є одним із найбільш динамічних трендів у сфері корпоративних комунікацій. Instagram Shopping, Facebook Marketplace, Pinterest Shop та TikTok Shop дозволяють компаніям перетворювати соціальні мережі на повноцінні канали продажів, скорочуючи шлях від знайомства з продуктом до покупки. Аналітики прогнозують, що глобальний обсяг ринку соціальної комерції до 2026 року перевищить 2,9 трильйони доларів [42].</w:t>
      </w:r>
    </w:p>
    <w:p w:rsidR="00151C63" w:rsidRPr="001B7BDE" w:rsidRDefault="00151C63" w:rsidP="00151C63">
      <w:pPr>
        <w:spacing w:line="360" w:lineRule="auto"/>
        <w:ind w:firstLine="720"/>
        <w:jc w:val="both"/>
      </w:pPr>
      <w:r>
        <w:t xml:space="preserve">Одним із поширених напрямів цифрових комунікацій є співпраця з лідерами громадської думки та контент-мейкерами. Така взаємодія дозволяє компаніям доносити інформацію до цільової аудиторії через осіб, яким </w:t>
      </w:r>
      <w:r>
        <w:lastRenderedPageBreak/>
        <w:t>підписники вже довіряють, що позитивно впливає на сприйняття бренду та рівень залученості користувачів.</w:t>
      </w:r>
      <w:r>
        <w:rPr>
          <w:lang w:val="uk-UA"/>
        </w:rPr>
        <w:t xml:space="preserve"> </w:t>
      </w:r>
      <w:r>
        <w:t>Співпраця з лідерами думок дозволяє компаніям значно розширити охоплення аудиторії та підвищити довіру до бренду. Особливо ефективним є мікроінфлюенсер-маркетинг: співпраця з блогерами, що мають від 5 до 50 тисяч підписників. Такі інфлюенсери, як правило, мають більш лояльну та залучену аудиторію порівняно з «зірковими» блогерами. За даними маркетингових досліджень, рентабельність інвестицій у мікроінфлюенсер-маркетинг у середньому у шість разів вища, ніж у роботу з макроінфлюенсерами [27].</w:t>
      </w:r>
    </w:p>
    <w:p w:rsidR="00151C63" w:rsidRPr="001B7BDE" w:rsidRDefault="00151C63" w:rsidP="00151C63">
      <w:pPr>
        <w:spacing w:line="360" w:lineRule="auto"/>
        <w:ind w:firstLine="720"/>
        <w:jc w:val="both"/>
      </w:pPr>
      <w:r>
        <w:t>Значну роль у сучасних корпоративних комунікаціях відіграють рекламні інструменти соціальних мереж, які дають змогу здійснювати точне налаштування показів для окремих сегментів аудиторії. Завдяки цьому підприємства можуть ефективніше використовувати рекламний бюджет та підвищувати результативність комунікаційних кампаній.</w:t>
      </w:r>
      <w:r>
        <w:rPr>
          <w:lang w:val="uk-UA"/>
        </w:rPr>
        <w:t xml:space="preserve"> </w:t>
      </w:r>
      <w:r>
        <w:t>Можливості точного налаштування показів рекламних оголошень за демографічними, географічними, поведінковими та психографічними характеристиками аудиторії дозволяють компаніям максимально ефективно витрачати рекламні бюджети. Зокрема, ретаргетинг – повторний показ реклами користувачам, що вже взаємодіяли з сайтом або сторінкою компанії, – суттєво підвищує конверсію та знижує вартість залучення клієнта [44].</w:t>
      </w:r>
    </w:p>
    <w:p w:rsidR="00151C63" w:rsidRPr="001B7BDE" w:rsidRDefault="00151C63" w:rsidP="00151C63">
      <w:pPr>
        <w:spacing w:line="360" w:lineRule="auto"/>
        <w:ind w:firstLine="720"/>
        <w:jc w:val="both"/>
      </w:pPr>
      <w:r>
        <w:t>Практика використання історій у комунікаціях дозволяє брендам формувати більш тісний зв'язок зі споживачами. Розповіді про досвід клієнтів, розвиток компанії або процес створення продукту сприяють кращому сприйняттю інформації та підвищують рівень довіри до бренду.</w:t>
      </w:r>
      <w:r>
        <w:rPr>
          <w:lang w:val="uk-UA"/>
        </w:rPr>
        <w:t xml:space="preserve"> </w:t>
      </w:r>
      <w:r>
        <w:t xml:space="preserve">Розповіді про створення продукту, успішні кейси клієнтів та корпоративну культуру викликають більш сильний емоційний відгук та сприяють формуванню лояльності аудиторії. Нейробіологічні дослідження підтверджують, що сторітелінг активує більше зон мозку, що сприяє кращому запам'ятовуванню та формуванню емоційного зв'язку з брендом. Формат Stories у Instagram та </w:t>
      </w:r>
      <w:r>
        <w:lastRenderedPageBreak/>
        <w:t>Facebook є практичним втіленням принципів сторітелінгу у соціальних медіа [28].</w:t>
      </w:r>
    </w:p>
    <w:p w:rsidR="00151C63" w:rsidRPr="001B7BDE" w:rsidRDefault="00151C63" w:rsidP="00151C63">
      <w:pPr>
        <w:spacing w:line="360" w:lineRule="auto"/>
        <w:ind w:firstLine="720"/>
        <w:jc w:val="both"/>
      </w:pPr>
      <w:r>
        <w:t>Ефективність комунікаційної діяльності значною мірою залежить від розуміння особливостей поведінки аудиторії. Використання аналітичних інструментів соціальних мереж дозволяє отримувати дані про інтереси користувачів, рівень їхньої активності та реакцію на різні формати контенту, що створює основу для прийняття обґрунтованих управлінських рішень.</w:t>
      </w:r>
      <w:r>
        <w:rPr>
          <w:lang w:val="uk-UA"/>
        </w:rPr>
        <w:t xml:space="preserve"> </w:t>
      </w:r>
      <w:r>
        <w:t xml:space="preserve"> Вбудовані аналітичні інструменти платформ (Meta Business Suite для Facebook та Instagram, LinkedIn Analytics, TikTok Analytics) надають детальні дані про охоплення, залученість, демографічний профіль аудиторії та динаміку приросту підписників. Регулярний аналіз цих даних дозволяє виявити найбільш ефективні форматиконтенту та оптимальний час публікацій, а також оцінити зміни у поведінці аудиторії [43].</w:t>
      </w:r>
    </w:p>
    <w:p w:rsidR="00151C63" w:rsidRPr="001B7BDE" w:rsidRDefault="00151C63" w:rsidP="00151C63">
      <w:pPr>
        <w:spacing w:line="360" w:lineRule="auto"/>
        <w:ind w:firstLine="720"/>
        <w:jc w:val="both"/>
      </w:pPr>
      <w:r>
        <w:t>Важливою тенденцією у розвитку бізнес-комунікацій є перехід до персоналізованих комунікацій, заснованих на даних (data-driven communications). Аналіз великих масивів даних про поведінку споживачів, їхні уподобання та моделі взаємодії з брендом дозволяє компаніям формувати персоналізовані повідомлення, що точно відповідають потребам конкретного споживача в конкретний момент часу. Технології машинного навчання та штучного інтелекту відкривають нові можливості для масштабованої персоналізації, яка раніше була доступна лише в межах особистого спілкування [39].</w:t>
      </w:r>
    </w:p>
    <w:p w:rsidR="00151C63" w:rsidRPr="001B7BDE" w:rsidRDefault="00151C63" w:rsidP="00151C63">
      <w:pPr>
        <w:spacing w:line="360" w:lineRule="auto"/>
        <w:ind w:firstLine="720"/>
        <w:jc w:val="both"/>
      </w:pPr>
      <w:r>
        <w:t>Сучасні споживачі взаємодіють з компаніями через різні канали комунікації, тому важливого значення набуває їхня інтеграція в єдину систему. Узгодженість повідомлень та доступність інформації на всіх платформах забезпечують більш комфортний досвід для клієнта та сприяють підвищенню його лояльності.</w:t>
      </w:r>
      <w:r>
        <w:rPr>
          <w:lang w:val="uk-UA"/>
        </w:rPr>
        <w:t xml:space="preserve"> </w:t>
      </w:r>
      <w:r>
        <w:t xml:space="preserve">На відміну від мультиканальної стратегії, що передбачає лише присутність на різних платформах, омніканальний підхід забезпечує інтеграцію всіх каналів у єдину систему, де дані про клієнта та історія взаємодій доступні незалежно від каналу звернення. Реалізація омніканальної стратегії вимагає </w:t>
      </w:r>
      <w:r>
        <w:lastRenderedPageBreak/>
        <w:t>технічної інтеграції платформ (CRM, месенджери, соціальні мережі, сайт, офлайн-точки продажів) та єдиної бази даних клієнтів [34].</w:t>
      </w:r>
    </w:p>
    <w:p w:rsidR="00151C63" w:rsidRPr="001B7BDE" w:rsidRDefault="00151C63" w:rsidP="00151C63">
      <w:pPr>
        <w:spacing w:line="360" w:lineRule="auto"/>
        <w:ind w:firstLine="720"/>
        <w:jc w:val="both"/>
      </w:pPr>
      <w:r>
        <w:t>Контент-маркетинг через професійні платформи суттєво відрізняється від комунікацій у загальних соціальних мережах. На LinkedIn, наприклад, найбільш ефективними є аналітичні статті, кейси, дослідження галузевих трендів та особистий досвід управлінців. Такий контент позиціонує компанію як галузевого лідера думок (thought leadership) та привертає увагу потенційних B2B-клієнтів та партнерів. Для ФОП публікація авторського контенту на LinkedIn є ефективним способом побудови особистого бренду та залучення нових клієнтів у сегменті B2B-послуг [36].</w:t>
      </w:r>
    </w:p>
    <w:p w:rsidR="00151C63" w:rsidRPr="001B7BDE" w:rsidRDefault="00151C63" w:rsidP="00151C63">
      <w:pPr>
        <w:spacing w:line="360" w:lineRule="auto"/>
        <w:ind w:firstLine="720"/>
        <w:jc w:val="both"/>
      </w:pPr>
      <w:r>
        <w:t>Відеоплатформи стали важливим середовищем для поширення корпоративного контенту та демонстрації експертності компаній. За допомогою навчальних відео, презентацій продуктів і тематичних оглядів підприємства можуть не лише інформувати аудиторію, а й формувати власний професійний імідж.</w:t>
      </w:r>
      <w:r>
        <w:rPr>
          <w:lang w:val="uk-UA"/>
        </w:rPr>
        <w:t xml:space="preserve"> </w:t>
      </w:r>
      <w:r>
        <w:t>Навчальні відео, огляди продуктів, відео-кейси та вебінари є ефективними форматами для залучення зацікавленої аудиторії та просування по воронці продажів. Пошукова оптимізація відео (Video SEO) на YouTube дозволяє залучати органічний трафік через пошукові запити, що робить відеомаркетинг ефективним довгостроковим активом корпоративних комунікацій [38].</w:t>
      </w:r>
    </w:p>
    <w:p w:rsidR="00151C63" w:rsidRPr="001B7BDE" w:rsidRDefault="00151C63" w:rsidP="00151C63">
      <w:pPr>
        <w:spacing w:line="360" w:lineRule="auto"/>
        <w:ind w:firstLine="720"/>
        <w:jc w:val="both"/>
      </w:pPr>
      <w:r>
        <w:t>Електронна комерція та онлайн-маркетплейси відіграють дедалі важливішу роль у системі корпоративних комунікацій малого та середнього бізнесу. Платформи Prom.ua, Rozetka, OLX та міжнародні маркетплейси Amazon, eBay надають малому бізнесу доступ до великої аудиторії покупців без значних інвестицій у власну інфраструктуру електронної комерції. Для ФОП та малого бізнесу вихід на маркетплейс часто стає першим кроком до масштабування, що дозволяє тестувати попит та формувати клієнтську базу з мінімальними ризиками [42].</w:t>
      </w:r>
    </w:p>
    <w:p w:rsidR="00151C63" w:rsidRPr="001B7BDE" w:rsidRDefault="00151C63" w:rsidP="00151C63">
      <w:pPr>
        <w:spacing w:line="360" w:lineRule="auto"/>
        <w:ind w:firstLine="720"/>
        <w:jc w:val="both"/>
      </w:pPr>
      <w:r>
        <w:t xml:space="preserve">В умовах цифрової економіки відгуки споживачів стали одним із найважливіших джерел інформації під час прийняття рішення про покупку. Саме тому управління репутацією на маркетплейсах і платформах відгуків є важливим </w:t>
      </w:r>
      <w:r>
        <w:lastRenderedPageBreak/>
        <w:t>напрямом комунікаційної діяльності сучасного бізнесу.</w:t>
      </w:r>
      <w:r>
        <w:rPr>
          <w:lang w:val="uk-UA"/>
        </w:rPr>
        <w:t xml:space="preserve"> </w:t>
      </w:r>
      <w:r>
        <w:t>Дослідження показують, що продавці з рейтингом 4,5+ зірки отримують у середньому у три рази більше продажів порівняно з продавцями, чий рейтинг нижчий за 4 зірки. Для ФОП та малого бізнесу активна робота з відгуками – стимулювання задоволених клієнтів залишати відгуки, оперативне реагування на негатив та постійне вдосконалення продуктів і послуг на основі зворотного зв'язку – є одним із ключових пріоритетів у сфері корпоративних комунікацій [45].</w:t>
      </w:r>
    </w:p>
    <w:p w:rsidR="00151C63" w:rsidRPr="001B7BDE" w:rsidRDefault="00151C63" w:rsidP="00151C63">
      <w:pPr>
        <w:spacing w:line="360" w:lineRule="auto"/>
        <w:ind w:firstLine="720"/>
        <w:jc w:val="both"/>
      </w:pPr>
      <w:r>
        <w:t>Для підприємств, діяльність яких орієнтована на конкретну територію, важливим елементом цифрової присутності є використання геолокаційних сервісів. Такі платформи допомагають потенційним клієнтам швидко знаходити інформацію про компанію та сприяють підвищенню її видимості в локальному пошуку.</w:t>
      </w:r>
      <w:r>
        <w:rPr>
          <w:lang w:val="uk-UA"/>
        </w:rPr>
        <w:t xml:space="preserve"> </w:t>
      </w:r>
      <w:r>
        <w:t>Присутність у цих сервісах дозволяє потенційним клієнтам знаходити компанію при пошуку товарів та послуг поблизу їхнього розташування. Оптимізація профілю у геолокаційних сервісах (актуальна інформація, фотографії, відповіді на відгуки, публікація спеціальних пропозицій) є важливим елементом локальної SEO-стратегії та загальної стратегії корпоративних комунікацій для бізнесу, що обслуговує клієнтів у конкретному місті або регіоні [24].</w:t>
      </w:r>
    </w:p>
    <w:p w:rsidR="00151C63" w:rsidRPr="001B7BDE" w:rsidRDefault="00151C63" w:rsidP="00151C63">
      <w:pPr>
        <w:spacing w:line="360" w:lineRule="auto"/>
        <w:ind w:firstLine="720"/>
        <w:jc w:val="both"/>
      </w:pPr>
      <w:r>
        <w:t>Зростання популярності месенджерів суттєво вплинуло на підходи до взаємодії компаній із клієнтами. Використання Telegram, Viber та інших платформ дозволяє підтримувати оперативний зв'язок зі споживачами, забезпечувати інформаційну підтримку та автоматизувати окремі процеси комунікації.</w:t>
      </w:r>
      <w:r>
        <w:rPr>
          <w:lang w:val="uk-UA"/>
        </w:rPr>
        <w:t xml:space="preserve"> </w:t>
      </w:r>
      <w:r>
        <w:t>Використання Viber, Telegram, WhatsApp для комунікації з клієнтами дозволяє досягати значно вищих показників відкриваності повідомлень порівняно з email-розсилками (відкриваність у месенджерах досягає 80-90% проти 20-30% для email). Чат-боти у месенджерах автоматизують обслуговування клієнтів, збирають зворотний зв'язок та здійснюють цільові комунікації. Для ФОП та малого бізнесу месенджери є доступним та ефективним каналом підтримки постійного контакту з клієнтами [43].</w:t>
      </w:r>
    </w:p>
    <w:p w:rsidR="00151C63" w:rsidRPr="001B7BDE" w:rsidRDefault="00151C63" w:rsidP="00151C63">
      <w:pPr>
        <w:spacing w:line="360" w:lineRule="auto"/>
        <w:ind w:firstLine="720"/>
        <w:jc w:val="both"/>
      </w:pPr>
      <w:r>
        <w:lastRenderedPageBreak/>
        <w:t>Розвиток технологій штучного інтелекту суттєво розширив можливості корпоративних комунікацій. Сучасні компанії використовують інструменти генеративного ШІ для підготовки контенту, аналізу інформаційного середовища, опрацювання звернень клієнтів та автоматизації окремих комунікаційних процесів. Водночас ефективність таких рішень значною мірою залежить від професійного контролю з боку фахівців, оскільки стратегічне планування та оцінювання результатів комунікацій залишаються сферою відповідальності людини[26].</w:t>
      </w:r>
    </w:p>
    <w:p w:rsidR="00151C63" w:rsidRPr="001B7BDE" w:rsidRDefault="00151C63" w:rsidP="00151C63">
      <w:pPr>
        <w:spacing w:line="360" w:lineRule="auto"/>
        <w:ind w:firstLine="720"/>
        <w:jc w:val="both"/>
      </w:pPr>
      <w:r>
        <w:t>Правові та етичні аспекти корпоративних комунікацій через соціальні мережі та цифрові платформи набувають дедалі більшого значення. Серед ключових питань у цій сфері: дотримання законодавства про рекламу та маркування рекламного контенту (позначення «реклама» або «партнерський матеріал»); захист персональних даних користувачів відповідно до GDPR та українського законодавства; авторські права на контент; відповідальне та прозоре розкриття інформації. Недотримання правових норм у сфері цифрових комунікацій може призвести до репутаційних та юридичних ризиків для компанії [18].</w:t>
      </w:r>
    </w:p>
    <w:p w:rsidR="00151C63" w:rsidRPr="001B7BDE" w:rsidRDefault="00151C63" w:rsidP="00151C63">
      <w:pPr>
        <w:spacing w:line="360" w:lineRule="auto"/>
        <w:ind w:firstLine="720"/>
        <w:jc w:val="both"/>
      </w:pPr>
      <w:r>
        <w:t>У сучасному інформаційному середовищі цифрові платформи стали одним із ключових каналів взаємодії бізнесу із засобами масової інформації. Активна присутність компанії у професійних мережах та соціальних медіа підвищує її шанси бути залученою до експертних обговорень і медійних публікацій.</w:t>
      </w:r>
      <w:r>
        <w:rPr>
          <w:lang w:val="uk-UA"/>
        </w:rPr>
        <w:t xml:space="preserve"> </w:t>
      </w:r>
      <w:r>
        <w:t>Сьогодні журналісти активно використовують соціальні мережі для пошуку інформації, героїв матеріалів та перевірки фактів. Компанії, що мають активну та авторитетну присутність у соціальних мережах, частіше стають джерелами для медійних публікацій, що підвищує їхню репутацію та впізнаваність. Для малого бізнесу активність у LinkedIn та участь у галузевих дискусіях є ефективним способом потрапити у поле зору журналістів та аналітиків [23].</w:t>
      </w:r>
    </w:p>
    <w:p w:rsidR="00151C63" w:rsidRPr="001B7BDE" w:rsidRDefault="00151C63" w:rsidP="00151C63">
      <w:pPr>
        <w:spacing w:line="360" w:lineRule="auto"/>
        <w:ind w:firstLine="720"/>
        <w:jc w:val="both"/>
      </w:pPr>
      <w:r>
        <w:t xml:space="preserve">Повномасштабна війна стала серйозним випробуванням для систем корпоративних комунікацій українських підприємств. За таких умов особливого значення набули швидкість передачі інформації, наявність резервних каналів </w:t>
      </w:r>
      <w:r>
        <w:lastRenderedPageBreak/>
        <w:t>зв'язку та здатність бізнесу підтримувати постійний контакт із клієнтами. Практика українських компаній засвідчила, що ефективна цифрова комунікація є важливим чинником збереження довіри аудиторії навіть в умовах тривалої кризи</w:t>
      </w:r>
      <w:r>
        <w:rPr>
          <w:lang w:val="uk-UA"/>
        </w:rPr>
        <w:t xml:space="preserve"> </w:t>
      </w:r>
      <w:r>
        <w:t>[10].</w:t>
      </w:r>
    </w:p>
    <w:p w:rsidR="00151C63" w:rsidRPr="001B7BDE" w:rsidRDefault="00151C63" w:rsidP="00151C63">
      <w:pPr>
        <w:spacing w:line="360" w:lineRule="auto"/>
        <w:ind w:firstLine="720"/>
        <w:jc w:val="both"/>
      </w:pPr>
      <w:r>
        <w:t>У сучасних умовах бізнес дедалі частіше бере участь у соціальних та благодійних ініціативах. Співпраця з громадськими організаціями та фондами сприяє не лише реалізації суспільно корисних проєктів, а й формуванню позитивного сприйняття компанії серед клієнтів, партнерів та місцевих громад</w:t>
      </w:r>
      <w:r>
        <w:rPr>
          <w:lang w:val="uk-UA"/>
        </w:rPr>
        <w:t xml:space="preserve"> </w:t>
      </w:r>
      <w:r>
        <w:t>[37].</w:t>
      </w:r>
    </w:p>
    <w:p w:rsidR="00151C63" w:rsidRPr="001B7BDE" w:rsidRDefault="00151C63" w:rsidP="00151C63">
      <w:pPr>
        <w:spacing w:line="360" w:lineRule="auto"/>
        <w:ind w:firstLine="720"/>
        <w:jc w:val="both"/>
      </w:pPr>
      <w:r>
        <w:t>Висновки до розділу свідчать, що теоретична база дослідження корпоративних комунікацій через соціальні мережі та професійні платформи є широкою та багатоаспектною. Розвиток цифрових технологій постійно додає нові виміри до цієї тематики, роблячи її дослідження актуальним та практично значущим для українського бізнесу, зокрема для підприємців малого та середнього бізнесу формату ФОП, які є об'єктом дослідження у цій роботі [7].</w:t>
      </w:r>
    </w:p>
    <w:p w:rsidR="00151C63" w:rsidRPr="001B7BDE" w:rsidRDefault="00151C63" w:rsidP="00151C63">
      <w:pPr>
        <w:spacing w:line="360" w:lineRule="auto"/>
        <w:ind w:firstLine="720"/>
        <w:jc w:val="both"/>
      </w:pPr>
      <w:r>
        <w:t>Результативність комунікацій у соціальних мережах значною мірою визначається особливостями роботи алгоритмів платформ. Саме вони впливають на те, який контент отримує ширше охоплення та залучає більшу кількість користувачів. Тому під час розроблення контент-стратегії компаніям важливо враховувати специфіку кожної платформи та регулярно адаптувати підходи до створення публікацій</w:t>
      </w:r>
      <w:r>
        <w:rPr>
          <w:lang w:val="uk-UA"/>
        </w:rPr>
        <w:t xml:space="preserve"> </w:t>
      </w:r>
      <w:r>
        <w:rPr>
          <w:lang w:val="en-US"/>
        </w:rPr>
        <w:t>[</w:t>
      </w:r>
      <w:r>
        <w:t>15].</w:t>
      </w:r>
    </w:p>
    <w:p w:rsidR="00151C63" w:rsidRPr="001B7BDE" w:rsidRDefault="00151C63" w:rsidP="00151C63">
      <w:pPr>
        <w:spacing w:line="360" w:lineRule="auto"/>
        <w:ind w:firstLine="720"/>
        <w:jc w:val="both"/>
      </w:pPr>
      <w:r>
        <w:t>Одним із способів підвищення доступності контенту для нової аудиторії є використання тематичних хештегів і ключових слів. Їх грамотний добір дозволяє покращити пошукову видимість публікацій та сприяє залученню користувачів, які раніше не взаємодіяли з брендом. Стратегія хештегів передбачає використання комбінації популярних, нішевих та брендованих хештегів. Важливим елементом є також оптимізація описів (bio) профілів та підписів до публікацій з точки зору пошукових запитів, оскільки внутрішній пошук у соціальних мережах стає дедалі важливішим каналом відкриття нового контенту [14].</w:t>
      </w:r>
    </w:p>
    <w:p w:rsidR="00151C63" w:rsidRPr="001B7BDE" w:rsidRDefault="00151C63" w:rsidP="00151C63">
      <w:pPr>
        <w:spacing w:line="360" w:lineRule="auto"/>
        <w:ind w:firstLine="720"/>
        <w:jc w:val="both"/>
      </w:pPr>
      <w:r>
        <w:lastRenderedPageBreak/>
        <w:t>Співпраця між брендами, які мають суміжну цільову аудиторію, дозволяє розширювати комунікаційні можливості обох сторін. Такі проєкти сприяють взаємному обміну аудиторією та створюють додаткові можливості для просування без суттєвого збільшення маркетингових витрат.</w:t>
      </w:r>
      <w:r>
        <w:rPr>
          <w:lang w:val="uk-UA"/>
        </w:rPr>
        <w:t xml:space="preserve"> </w:t>
      </w:r>
      <w:r>
        <w:t>Спільні публікації, спільні прямі ефіри, крос-промо та тематичні партнерства з неконкурентними брендами, що мають схожу цільову аудиторію, дозволяють взаємно розширювати охоплення та залучати нових підписників. Для малого бізнесу та ФОП такі партнерства часто є більш доступним та ефективним інструментом просування, ніж платна реклама [32].</w:t>
      </w:r>
    </w:p>
    <w:p w:rsidR="00151C63" w:rsidRPr="001B7BDE" w:rsidRDefault="00151C63" w:rsidP="00151C63">
      <w:pPr>
        <w:spacing w:line="360" w:lineRule="auto"/>
        <w:ind w:firstLine="720"/>
        <w:jc w:val="both"/>
      </w:pPr>
      <w:r>
        <w:t>Системна присутність у соціальних мережах неможлива без попереднього планування контенту. Для цього підприємства формують контент-плани, які визначають тематику публікацій, формати матеріалів, часові рамки розміщення та основні комунікаційні цілі. Такий підхід дозволяє забезпечити регулярність комунікації та підтримувати інтерес аудиторії. Оптимальна частота публікацій залежить від специфіки платформи та характеру бізнесу: для Instagram рекомендується публікувати Stories щодня, пости у стрічці – 3-5 разів на тиждень; для Facebook – 1-2 пости на день; для LinkedIn – 2-5 публікацій на тиждень [30].</w:t>
      </w:r>
    </w:p>
    <w:p w:rsidR="00151C63" w:rsidRDefault="00151C63" w:rsidP="00151C63">
      <w:pPr>
        <w:spacing w:line="360" w:lineRule="auto"/>
        <w:ind w:firstLine="720"/>
        <w:jc w:val="both"/>
        <w:rPr>
          <w:lang w:val="uk-UA"/>
        </w:rPr>
      </w:pPr>
      <w:r>
        <w:t>Аналіз комунікаційної активності конкурентів є важливим джерелом інформації для формування власної стратегії просування. Вивчення змісту публікацій, реакції аудиторії та використовуваних інструментів комунікації дозволяє виявити ефективні практики, а також визначити напрями, які залишаються недостатньо освоєними на ринку. Для аналізу конкурентів використовуються як вбудовані аналітичні інструменти соціальних мереж, так і спеціалізовані сервіси: SimilarWeb, SEMrush, Sprout Social тощо [41].</w:t>
      </w:r>
    </w:p>
    <w:p w:rsidR="00151C63" w:rsidRDefault="00151C63" w:rsidP="00151C63">
      <w:pPr>
        <w:spacing w:line="360" w:lineRule="auto"/>
        <w:ind w:firstLine="720"/>
        <w:jc w:val="both"/>
        <w:rPr>
          <w:lang w:val="uk-UA"/>
        </w:rPr>
      </w:pPr>
    </w:p>
    <w:p w:rsidR="00151C63" w:rsidRDefault="00151C63" w:rsidP="00151C63">
      <w:pPr>
        <w:spacing w:line="360" w:lineRule="auto"/>
        <w:ind w:firstLine="720"/>
        <w:jc w:val="both"/>
        <w:rPr>
          <w:lang w:val="uk-UA"/>
        </w:rPr>
      </w:pPr>
    </w:p>
    <w:p w:rsidR="00151C63" w:rsidRPr="001B7BDE" w:rsidRDefault="00151C63" w:rsidP="00151C63">
      <w:pPr>
        <w:spacing w:line="360" w:lineRule="auto"/>
        <w:ind w:firstLine="720"/>
        <w:jc w:val="both"/>
        <w:rPr>
          <w:lang w:val="uk-UA"/>
        </w:rPr>
      </w:pPr>
      <w:r>
        <w:rPr>
          <w:b/>
          <w:bCs/>
        </w:rPr>
        <w:t>1.3. Професійні платформи у системі бізнес-комунікацій</w:t>
      </w:r>
    </w:p>
    <w:p w:rsidR="00151C63" w:rsidRPr="001B7BDE" w:rsidRDefault="00151C63" w:rsidP="00151C63">
      <w:pPr>
        <w:spacing w:line="360" w:lineRule="auto"/>
        <w:ind w:firstLine="720"/>
        <w:jc w:val="both"/>
      </w:pPr>
      <w:r>
        <w:t xml:space="preserve">Поряд із традиційними соціальними мережами важливе місце в системі корпоративних комунікацій займають спеціалізовані професійні платформи, </w:t>
      </w:r>
      <w:r>
        <w:lastRenderedPageBreak/>
        <w:t>призначені для ведення бізнесу, пошуку партнерів, фахівців та формування ділових зв`язків. Їхня відмінність від загальних соціальних мереж полягає у більш вузькій цільовій аудиторії, специфічному функціоналі та переважно діловому характері комунікацій [36].</w:t>
      </w:r>
    </w:p>
    <w:p w:rsidR="00151C63" w:rsidRPr="001B7BDE" w:rsidRDefault="00151C63" w:rsidP="00151C63">
      <w:pPr>
        <w:spacing w:line="360" w:lineRule="auto"/>
        <w:ind w:firstLine="720"/>
        <w:jc w:val="both"/>
      </w:pPr>
      <w:r>
        <w:t>Найбільш відомою та масштабною професійною платформою є LinkedIn, заснований у 2002 році та придбаний компанією Microsoft у 2016 році. Станом на 2024 рік платформа налічує понад 1 мільярд зареєстрованих користувачів у понад 200 країнах світу, що робить її найбільшою у світі мережею для ділових контактів [36]. LinkedIn позиціонує себе як «економічний граф», тобто цифрове відображення глобального ринку праці, де поєднуються пропозиції роботодавців та можливості фахівців.</w:t>
      </w:r>
    </w:p>
    <w:p w:rsidR="00151C63" w:rsidRDefault="00151C63" w:rsidP="00151C63">
      <w:pPr>
        <w:spacing w:line="360" w:lineRule="auto"/>
        <w:ind w:firstLine="709"/>
        <w:jc w:val="both"/>
      </w:pPr>
      <w:r>
        <w:t>Для корпоративних комунікацій LinkedIn пропонує широкий спектр інструментів. LinkedIn Company Pages дозволяють організаціям формувати корпоративний профіль, публікувати новини та матеріали, залучати підписників та взаємодіяти з аудиторією. LinkedIn Talent Solutions є потужним інструментом для рекрутингу – через платформу компанії розміщують вакансії, здійснюють цільовий пошук кандидатів та отримують доступ до аналітики ринку праці. LinkedIn Marketing Solutions надає розгорнутий набір рекламних інструментів для B2B-маркетингу [36].</w:t>
      </w:r>
    </w:p>
    <w:p w:rsidR="00151C63" w:rsidRDefault="00151C63" w:rsidP="00151C63">
      <w:pPr>
        <w:spacing w:line="360" w:lineRule="auto"/>
        <w:ind w:firstLine="709"/>
        <w:jc w:val="both"/>
      </w:pPr>
      <w:r>
        <w:t>Використання професійних платформ у системі корпоративних комунікацій сприяє не лише підвищенню впізнаваності компанії серед професійної спільноти, а й формуванню її позитивної ділової репутації. Такі платформи забезпечують ефективний обмін інформацією між представниками бізнесу, створюють умови для презентації корпоративних досягнень, поширення експертного контенту та демонстрації професійної компетентності організації. Завдяки цьому компанії можуть зміцнювати довіру з боку партнерів, клієнтів та інших зацікавлених сторін.</w:t>
      </w:r>
    </w:p>
    <w:p w:rsidR="00151C63" w:rsidRDefault="00151C63" w:rsidP="00151C63">
      <w:pPr>
        <w:spacing w:line="360" w:lineRule="auto"/>
        <w:ind w:firstLine="709"/>
        <w:jc w:val="both"/>
      </w:pPr>
      <w:r>
        <w:t xml:space="preserve">Важливою перевагою професійних платформ є можливість налагодження довгострокових партнерських відносин, розширення мережі професійних контактів та пошуку нових напрямів співпраці. Крім того, вони активно </w:t>
      </w:r>
      <w:r>
        <w:lastRenderedPageBreak/>
        <w:t>використовуються для рекрутингу персоналу, просування корпоративного бренду роботодавця, пошуку інвесторів і залучення потенційних клієнтів. Різні платформи пропонують власний набір інструментів для комунікації, створення професійних спільнот, обміну досвідом та представлення бізнес-інтересів, що визначає особливості їх використання в діяльності сучасних організацій.</w:t>
      </w:r>
    </w:p>
    <w:p w:rsidR="00151C63" w:rsidRDefault="00151C63" w:rsidP="00151C63">
      <w:pPr>
        <w:spacing w:line="360" w:lineRule="auto"/>
        <w:ind w:firstLine="709"/>
        <w:jc w:val="both"/>
        <w:rPr>
          <w:lang w:val="uk-UA"/>
        </w:rPr>
      </w:pPr>
      <w:r>
        <w:t>З огляду на різноманітність функціональних можливостей та цільових аудиторій професійних платформ, доцільним є проведення їх порівняльного аналізу. Основні характеристики найбільш поширених платформ для бізнес-комунікацій наведено в таблиці 1.3.</w:t>
      </w:r>
    </w:p>
    <w:p w:rsidR="00151C63" w:rsidRPr="002628AE" w:rsidRDefault="00151C63" w:rsidP="00151C63">
      <w:pPr>
        <w:spacing w:before="240" w:after="120" w:line="360" w:lineRule="auto"/>
        <w:jc w:val="center"/>
        <w:rPr>
          <w:lang w:val="uk-UA"/>
        </w:rPr>
      </w:pPr>
      <w:r>
        <w:t>Таблиця 1.3 – Порівняльна характеристика професійних платформ для бізнес-комунікацій</w:t>
      </w:r>
    </w:p>
    <w:tbl>
      <w:tblPr>
        <w:tblW w:w="0" w:type="auto"/>
        <w:tblCellSpacing w:w="15" w:type="dxa"/>
        <w:tblBorders>
          <w:top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3"/>
        <w:gridCol w:w="1967"/>
        <w:gridCol w:w="2257"/>
        <w:gridCol w:w="1962"/>
        <w:gridCol w:w="1814"/>
      </w:tblGrid>
      <w:tr w:rsidR="00151C63" w:rsidRPr="002628AE" w:rsidTr="00D2520C">
        <w:trPr>
          <w:tblHeader/>
          <w:tblCellSpacing w:w="15" w:type="dxa"/>
        </w:trPr>
        <w:tc>
          <w:tcPr>
            <w:tcW w:w="0" w:type="auto"/>
            <w:vAlign w:val="center"/>
            <w:hideMark/>
          </w:tcPr>
          <w:p w:rsidR="00151C63" w:rsidRPr="0018461A" w:rsidRDefault="00151C63" w:rsidP="00D2520C">
            <w:pPr>
              <w:jc w:val="center"/>
              <w:rPr>
                <w:b/>
                <w:bCs/>
                <w:color w:val="000000"/>
                <w:sz w:val="24"/>
                <w:szCs w:val="24"/>
              </w:rPr>
            </w:pPr>
            <w:r>
              <w:rPr>
                <w:b/>
                <w:bCs/>
                <w:color w:val="000000"/>
                <w:sz w:val="24"/>
                <w:szCs w:val="24"/>
              </w:rPr>
              <w:t>Платформа</w:t>
            </w:r>
          </w:p>
        </w:tc>
        <w:tc>
          <w:tcPr>
            <w:tcW w:w="0" w:type="auto"/>
            <w:vAlign w:val="center"/>
            <w:hideMark/>
          </w:tcPr>
          <w:p w:rsidR="00151C63" w:rsidRPr="0018461A" w:rsidRDefault="00151C63" w:rsidP="00D2520C">
            <w:pPr>
              <w:jc w:val="center"/>
              <w:rPr>
                <w:b/>
                <w:bCs/>
                <w:color w:val="000000"/>
                <w:sz w:val="24"/>
                <w:szCs w:val="24"/>
              </w:rPr>
            </w:pPr>
            <w:r>
              <w:rPr>
                <w:b/>
                <w:bCs/>
                <w:color w:val="000000"/>
                <w:sz w:val="24"/>
                <w:szCs w:val="24"/>
              </w:rPr>
              <w:t>Основне функціональне призначення</w:t>
            </w:r>
          </w:p>
        </w:tc>
        <w:tc>
          <w:tcPr>
            <w:tcW w:w="0" w:type="auto"/>
            <w:vAlign w:val="center"/>
            <w:hideMark/>
          </w:tcPr>
          <w:p w:rsidR="00151C63" w:rsidRPr="0018461A" w:rsidRDefault="00151C63" w:rsidP="00D2520C">
            <w:pPr>
              <w:jc w:val="center"/>
              <w:rPr>
                <w:b/>
                <w:bCs/>
                <w:color w:val="000000"/>
                <w:sz w:val="24"/>
                <w:szCs w:val="24"/>
              </w:rPr>
            </w:pPr>
            <w:r>
              <w:rPr>
                <w:b/>
                <w:bCs/>
                <w:color w:val="000000"/>
                <w:sz w:val="24"/>
                <w:szCs w:val="24"/>
              </w:rPr>
              <w:t>Комунікаційні можливості</w:t>
            </w:r>
          </w:p>
        </w:tc>
        <w:tc>
          <w:tcPr>
            <w:tcW w:w="0" w:type="auto"/>
            <w:vAlign w:val="center"/>
            <w:hideMark/>
          </w:tcPr>
          <w:p w:rsidR="00151C63" w:rsidRPr="0018461A" w:rsidRDefault="00151C63" w:rsidP="00D2520C">
            <w:pPr>
              <w:jc w:val="center"/>
              <w:rPr>
                <w:b/>
                <w:bCs/>
                <w:color w:val="000000"/>
                <w:sz w:val="24"/>
                <w:szCs w:val="24"/>
              </w:rPr>
            </w:pPr>
            <w:r>
              <w:rPr>
                <w:b/>
                <w:bCs/>
                <w:color w:val="000000"/>
                <w:sz w:val="24"/>
                <w:szCs w:val="24"/>
              </w:rPr>
              <w:t>Переваги для підприємств</w:t>
            </w:r>
          </w:p>
        </w:tc>
        <w:tc>
          <w:tcPr>
            <w:tcW w:w="0" w:type="auto"/>
            <w:vAlign w:val="center"/>
            <w:hideMark/>
          </w:tcPr>
          <w:p w:rsidR="00151C63" w:rsidRPr="0018461A" w:rsidRDefault="00151C63" w:rsidP="00D2520C">
            <w:pPr>
              <w:jc w:val="center"/>
              <w:rPr>
                <w:b/>
                <w:bCs/>
                <w:color w:val="000000"/>
                <w:sz w:val="24"/>
                <w:szCs w:val="24"/>
              </w:rPr>
            </w:pPr>
            <w:r>
              <w:rPr>
                <w:b/>
                <w:bCs/>
                <w:color w:val="000000"/>
                <w:sz w:val="24"/>
                <w:szCs w:val="24"/>
              </w:rPr>
              <w:t>Цільова аудиторія</w:t>
            </w:r>
          </w:p>
        </w:tc>
      </w:tr>
      <w:tr w:rsidR="00151C63" w:rsidRPr="002628AE" w:rsidTr="00D2520C">
        <w:trPr>
          <w:tblCellSpacing w:w="15" w:type="dxa"/>
        </w:trPr>
        <w:tc>
          <w:tcPr>
            <w:tcW w:w="0" w:type="auto"/>
            <w:vAlign w:val="center"/>
            <w:hideMark/>
          </w:tcPr>
          <w:p w:rsidR="00151C63" w:rsidRPr="0018461A" w:rsidRDefault="00151C63" w:rsidP="00D2520C">
            <w:pPr>
              <w:rPr>
                <w:b/>
                <w:bCs/>
                <w:color w:val="000000"/>
                <w:sz w:val="24"/>
                <w:szCs w:val="24"/>
              </w:rPr>
            </w:pPr>
            <w:r>
              <w:rPr>
                <w:b/>
                <w:bCs/>
                <w:color w:val="000000"/>
                <w:sz w:val="24"/>
                <w:szCs w:val="24"/>
              </w:rPr>
              <w:t>LinkedIn</w:t>
            </w:r>
          </w:p>
        </w:tc>
        <w:tc>
          <w:tcPr>
            <w:tcW w:w="0" w:type="auto"/>
            <w:vAlign w:val="center"/>
            <w:hideMark/>
          </w:tcPr>
          <w:p w:rsidR="00151C63" w:rsidRPr="002628AE" w:rsidRDefault="00151C63" w:rsidP="00D2520C">
            <w:pPr>
              <w:rPr>
                <w:color w:val="000000"/>
                <w:sz w:val="24"/>
                <w:szCs w:val="24"/>
              </w:rPr>
            </w:pPr>
            <w:r>
              <w:rPr>
                <w:color w:val="000000"/>
                <w:sz w:val="24"/>
                <w:szCs w:val="24"/>
              </w:rPr>
              <w:t>Розвиток професійних зв'язків та рекрутинг</w:t>
            </w:r>
          </w:p>
        </w:tc>
        <w:tc>
          <w:tcPr>
            <w:tcW w:w="0" w:type="auto"/>
            <w:vAlign w:val="center"/>
            <w:hideMark/>
          </w:tcPr>
          <w:p w:rsidR="00151C63" w:rsidRPr="002628AE" w:rsidRDefault="00151C63" w:rsidP="00D2520C">
            <w:pPr>
              <w:rPr>
                <w:color w:val="000000"/>
                <w:sz w:val="24"/>
                <w:szCs w:val="24"/>
              </w:rPr>
            </w:pPr>
            <w:r>
              <w:rPr>
                <w:color w:val="000000"/>
                <w:sz w:val="24"/>
                <w:szCs w:val="24"/>
              </w:rPr>
              <w:t>B2B-комунікації, пошук персоналу, формування корпоративного іміджу</w:t>
            </w:r>
          </w:p>
        </w:tc>
        <w:tc>
          <w:tcPr>
            <w:tcW w:w="0" w:type="auto"/>
            <w:vAlign w:val="center"/>
            <w:hideMark/>
          </w:tcPr>
          <w:p w:rsidR="00151C63" w:rsidRPr="002628AE" w:rsidRDefault="00151C63" w:rsidP="00D2520C">
            <w:pPr>
              <w:rPr>
                <w:color w:val="000000"/>
                <w:sz w:val="24"/>
                <w:szCs w:val="24"/>
              </w:rPr>
            </w:pPr>
            <w:r>
              <w:rPr>
                <w:color w:val="000000"/>
                <w:sz w:val="24"/>
                <w:szCs w:val="24"/>
              </w:rPr>
              <w:t>Доступ до професійної аудиторії, інструменти аналітики та просування</w:t>
            </w:r>
          </w:p>
        </w:tc>
        <w:tc>
          <w:tcPr>
            <w:tcW w:w="0" w:type="auto"/>
            <w:vAlign w:val="center"/>
            <w:hideMark/>
          </w:tcPr>
          <w:p w:rsidR="00151C63" w:rsidRPr="002628AE" w:rsidRDefault="00151C63" w:rsidP="00D2520C">
            <w:pPr>
              <w:rPr>
                <w:color w:val="000000"/>
                <w:sz w:val="24"/>
                <w:szCs w:val="24"/>
              </w:rPr>
            </w:pPr>
            <w:r>
              <w:rPr>
                <w:color w:val="000000"/>
                <w:sz w:val="24"/>
                <w:szCs w:val="24"/>
              </w:rPr>
              <w:t>B2B-компанії, HR-фахівці, консультанти</w:t>
            </w:r>
          </w:p>
        </w:tc>
      </w:tr>
      <w:tr w:rsidR="00151C63" w:rsidRPr="002628AE" w:rsidTr="00D2520C">
        <w:trPr>
          <w:tblCellSpacing w:w="15" w:type="dxa"/>
        </w:trPr>
        <w:tc>
          <w:tcPr>
            <w:tcW w:w="0" w:type="auto"/>
            <w:vAlign w:val="center"/>
            <w:hideMark/>
          </w:tcPr>
          <w:p w:rsidR="00151C63" w:rsidRPr="0018461A" w:rsidRDefault="00151C63" w:rsidP="00D2520C">
            <w:pPr>
              <w:rPr>
                <w:b/>
                <w:bCs/>
                <w:color w:val="000000"/>
                <w:sz w:val="24"/>
                <w:szCs w:val="24"/>
              </w:rPr>
            </w:pPr>
            <w:r>
              <w:rPr>
                <w:b/>
                <w:bCs/>
                <w:color w:val="000000"/>
                <w:sz w:val="24"/>
                <w:szCs w:val="24"/>
              </w:rPr>
              <w:t>Google Business Profile</w:t>
            </w:r>
          </w:p>
        </w:tc>
        <w:tc>
          <w:tcPr>
            <w:tcW w:w="0" w:type="auto"/>
            <w:vAlign w:val="center"/>
            <w:hideMark/>
          </w:tcPr>
          <w:p w:rsidR="00151C63" w:rsidRPr="002628AE" w:rsidRDefault="00151C63" w:rsidP="00D2520C">
            <w:pPr>
              <w:rPr>
                <w:color w:val="000000"/>
                <w:sz w:val="24"/>
                <w:szCs w:val="24"/>
              </w:rPr>
            </w:pPr>
            <w:r>
              <w:rPr>
                <w:color w:val="000000"/>
                <w:sz w:val="24"/>
                <w:szCs w:val="24"/>
              </w:rPr>
              <w:t>Підтримка локальної присутності бізнесу</w:t>
            </w:r>
          </w:p>
        </w:tc>
        <w:tc>
          <w:tcPr>
            <w:tcW w:w="0" w:type="auto"/>
            <w:vAlign w:val="center"/>
            <w:hideMark/>
          </w:tcPr>
          <w:p w:rsidR="00151C63" w:rsidRPr="002628AE" w:rsidRDefault="00151C63" w:rsidP="00D2520C">
            <w:pPr>
              <w:rPr>
                <w:color w:val="000000"/>
                <w:sz w:val="24"/>
                <w:szCs w:val="24"/>
              </w:rPr>
            </w:pPr>
            <w:r>
              <w:rPr>
                <w:color w:val="000000"/>
                <w:sz w:val="24"/>
                <w:szCs w:val="24"/>
              </w:rPr>
              <w:t>Управління інформацією про компанію, робота з відгуками, локальне просування</w:t>
            </w:r>
          </w:p>
        </w:tc>
        <w:tc>
          <w:tcPr>
            <w:tcW w:w="0" w:type="auto"/>
            <w:vAlign w:val="center"/>
            <w:hideMark/>
          </w:tcPr>
          <w:p w:rsidR="00151C63" w:rsidRPr="002628AE" w:rsidRDefault="00151C63" w:rsidP="00D2520C">
            <w:pPr>
              <w:rPr>
                <w:color w:val="000000"/>
                <w:sz w:val="24"/>
                <w:szCs w:val="24"/>
              </w:rPr>
            </w:pPr>
            <w:r>
              <w:rPr>
                <w:color w:val="000000"/>
                <w:sz w:val="24"/>
                <w:szCs w:val="24"/>
              </w:rPr>
              <w:t>Безкоштовне використання, інтеграція з сервісами Google</w:t>
            </w:r>
          </w:p>
        </w:tc>
        <w:tc>
          <w:tcPr>
            <w:tcW w:w="0" w:type="auto"/>
            <w:vAlign w:val="center"/>
            <w:hideMark/>
          </w:tcPr>
          <w:p w:rsidR="00151C63" w:rsidRPr="002628AE" w:rsidRDefault="00151C63" w:rsidP="00D2520C">
            <w:pPr>
              <w:rPr>
                <w:color w:val="000000"/>
                <w:sz w:val="24"/>
                <w:szCs w:val="24"/>
              </w:rPr>
            </w:pPr>
            <w:r>
              <w:rPr>
                <w:color w:val="000000"/>
                <w:sz w:val="24"/>
                <w:szCs w:val="24"/>
              </w:rPr>
              <w:t>Підприємства локального ринку</w:t>
            </w:r>
          </w:p>
        </w:tc>
      </w:tr>
      <w:tr w:rsidR="00151C63" w:rsidRPr="002628AE" w:rsidTr="00D2520C">
        <w:trPr>
          <w:tblCellSpacing w:w="15" w:type="dxa"/>
        </w:trPr>
        <w:tc>
          <w:tcPr>
            <w:tcW w:w="0" w:type="auto"/>
            <w:vAlign w:val="center"/>
            <w:hideMark/>
          </w:tcPr>
          <w:p w:rsidR="00151C63" w:rsidRPr="0018461A" w:rsidRDefault="00151C63" w:rsidP="00D2520C">
            <w:pPr>
              <w:rPr>
                <w:b/>
                <w:bCs/>
                <w:color w:val="000000"/>
                <w:sz w:val="24"/>
                <w:szCs w:val="24"/>
              </w:rPr>
            </w:pPr>
            <w:r>
              <w:rPr>
                <w:b/>
                <w:bCs/>
                <w:color w:val="000000"/>
                <w:sz w:val="24"/>
                <w:szCs w:val="24"/>
              </w:rPr>
              <w:t>Prom.ua, Rozetka</w:t>
            </w:r>
          </w:p>
        </w:tc>
        <w:tc>
          <w:tcPr>
            <w:tcW w:w="0" w:type="auto"/>
            <w:vAlign w:val="center"/>
            <w:hideMark/>
          </w:tcPr>
          <w:p w:rsidR="00151C63" w:rsidRPr="002628AE" w:rsidRDefault="00151C63" w:rsidP="00D2520C">
            <w:pPr>
              <w:rPr>
                <w:color w:val="000000"/>
                <w:sz w:val="24"/>
                <w:szCs w:val="24"/>
              </w:rPr>
            </w:pPr>
            <w:r>
              <w:rPr>
                <w:color w:val="000000"/>
                <w:sz w:val="24"/>
                <w:szCs w:val="24"/>
              </w:rPr>
              <w:t>Електронна комерція та онлайн-продажі</w:t>
            </w:r>
          </w:p>
        </w:tc>
        <w:tc>
          <w:tcPr>
            <w:tcW w:w="0" w:type="auto"/>
            <w:vAlign w:val="center"/>
            <w:hideMark/>
          </w:tcPr>
          <w:p w:rsidR="00151C63" w:rsidRPr="002628AE" w:rsidRDefault="00151C63" w:rsidP="00D2520C">
            <w:pPr>
              <w:rPr>
                <w:color w:val="000000"/>
                <w:sz w:val="24"/>
                <w:szCs w:val="24"/>
              </w:rPr>
            </w:pPr>
            <w:r>
              <w:rPr>
                <w:color w:val="000000"/>
                <w:sz w:val="24"/>
                <w:szCs w:val="24"/>
              </w:rPr>
              <w:t>Взаємодія з покупцями, управління репутацією, просування товарів</w:t>
            </w:r>
          </w:p>
        </w:tc>
        <w:tc>
          <w:tcPr>
            <w:tcW w:w="0" w:type="auto"/>
            <w:vAlign w:val="center"/>
            <w:hideMark/>
          </w:tcPr>
          <w:p w:rsidR="00151C63" w:rsidRPr="002628AE" w:rsidRDefault="00151C63" w:rsidP="00D2520C">
            <w:pPr>
              <w:rPr>
                <w:color w:val="000000"/>
                <w:sz w:val="24"/>
                <w:szCs w:val="24"/>
              </w:rPr>
            </w:pPr>
            <w:r>
              <w:rPr>
                <w:color w:val="000000"/>
                <w:sz w:val="24"/>
                <w:szCs w:val="24"/>
              </w:rPr>
              <w:t>Доступ до сформованої аудиторії потенційних клієнтів</w:t>
            </w:r>
          </w:p>
        </w:tc>
        <w:tc>
          <w:tcPr>
            <w:tcW w:w="0" w:type="auto"/>
            <w:vAlign w:val="center"/>
            <w:hideMark/>
          </w:tcPr>
          <w:p w:rsidR="00151C63" w:rsidRPr="002628AE" w:rsidRDefault="00151C63" w:rsidP="00D2520C">
            <w:pPr>
              <w:rPr>
                <w:color w:val="000000"/>
                <w:sz w:val="24"/>
                <w:szCs w:val="24"/>
              </w:rPr>
            </w:pPr>
            <w:r>
              <w:rPr>
                <w:color w:val="000000"/>
                <w:sz w:val="24"/>
                <w:szCs w:val="24"/>
              </w:rPr>
              <w:t>Підприємства роздрібної торгівлі</w:t>
            </w:r>
          </w:p>
        </w:tc>
      </w:tr>
      <w:tr w:rsidR="00151C63" w:rsidRPr="002628AE" w:rsidTr="00D2520C">
        <w:trPr>
          <w:tblCellSpacing w:w="15" w:type="dxa"/>
        </w:trPr>
        <w:tc>
          <w:tcPr>
            <w:tcW w:w="0" w:type="auto"/>
            <w:vAlign w:val="center"/>
            <w:hideMark/>
          </w:tcPr>
          <w:p w:rsidR="00151C63" w:rsidRPr="0018461A" w:rsidRDefault="00151C63" w:rsidP="00D2520C">
            <w:pPr>
              <w:rPr>
                <w:b/>
                <w:bCs/>
                <w:color w:val="000000"/>
                <w:sz w:val="24"/>
                <w:szCs w:val="24"/>
              </w:rPr>
            </w:pPr>
            <w:r>
              <w:rPr>
                <w:b/>
                <w:bCs/>
                <w:color w:val="000000"/>
                <w:sz w:val="24"/>
                <w:szCs w:val="24"/>
              </w:rPr>
              <w:t>Upwork, Freelancehunt</w:t>
            </w:r>
          </w:p>
        </w:tc>
        <w:tc>
          <w:tcPr>
            <w:tcW w:w="0" w:type="auto"/>
            <w:vAlign w:val="center"/>
            <w:hideMark/>
          </w:tcPr>
          <w:p w:rsidR="00151C63" w:rsidRPr="002628AE" w:rsidRDefault="00151C63" w:rsidP="00D2520C">
            <w:pPr>
              <w:rPr>
                <w:color w:val="000000"/>
                <w:sz w:val="24"/>
                <w:szCs w:val="24"/>
              </w:rPr>
            </w:pPr>
            <w:r>
              <w:rPr>
                <w:color w:val="000000"/>
                <w:sz w:val="24"/>
                <w:szCs w:val="24"/>
              </w:rPr>
              <w:t>Надання та пошук професійних послуг</w:t>
            </w:r>
          </w:p>
        </w:tc>
        <w:tc>
          <w:tcPr>
            <w:tcW w:w="0" w:type="auto"/>
            <w:vAlign w:val="center"/>
            <w:hideMark/>
          </w:tcPr>
          <w:p w:rsidR="00151C63" w:rsidRPr="002628AE" w:rsidRDefault="00151C63" w:rsidP="00D2520C">
            <w:pPr>
              <w:rPr>
                <w:color w:val="000000"/>
                <w:sz w:val="24"/>
                <w:szCs w:val="24"/>
              </w:rPr>
            </w:pPr>
            <w:r>
              <w:rPr>
                <w:color w:val="000000"/>
                <w:sz w:val="24"/>
                <w:szCs w:val="24"/>
              </w:rPr>
              <w:t>Пошук замовників, презентація професійних компетенцій, комунікація з клієнтами</w:t>
            </w:r>
          </w:p>
        </w:tc>
        <w:tc>
          <w:tcPr>
            <w:tcW w:w="0" w:type="auto"/>
            <w:vAlign w:val="center"/>
            <w:hideMark/>
          </w:tcPr>
          <w:p w:rsidR="00151C63" w:rsidRPr="002628AE" w:rsidRDefault="00151C63" w:rsidP="00D2520C">
            <w:pPr>
              <w:rPr>
                <w:color w:val="000000"/>
                <w:sz w:val="24"/>
                <w:szCs w:val="24"/>
              </w:rPr>
            </w:pPr>
            <w:r>
              <w:rPr>
                <w:color w:val="000000"/>
                <w:sz w:val="24"/>
                <w:szCs w:val="24"/>
              </w:rPr>
              <w:t>Система рейтингів, безпечне укладання угод</w:t>
            </w:r>
          </w:p>
        </w:tc>
        <w:tc>
          <w:tcPr>
            <w:tcW w:w="0" w:type="auto"/>
            <w:vAlign w:val="center"/>
            <w:hideMark/>
          </w:tcPr>
          <w:p w:rsidR="00151C63" w:rsidRPr="002628AE" w:rsidRDefault="00151C63" w:rsidP="00D2520C">
            <w:pPr>
              <w:rPr>
                <w:color w:val="000000"/>
                <w:sz w:val="24"/>
                <w:szCs w:val="24"/>
              </w:rPr>
            </w:pPr>
            <w:r>
              <w:rPr>
                <w:color w:val="000000"/>
                <w:sz w:val="24"/>
                <w:szCs w:val="24"/>
              </w:rPr>
              <w:t>ФОП, фрилансери, незалежні спеціалісти</w:t>
            </w:r>
          </w:p>
        </w:tc>
      </w:tr>
      <w:tr w:rsidR="00151C63" w:rsidRPr="002628AE" w:rsidTr="00D2520C">
        <w:trPr>
          <w:tblCellSpacing w:w="15" w:type="dxa"/>
        </w:trPr>
        <w:tc>
          <w:tcPr>
            <w:tcW w:w="0" w:type="auto"/>
            <w:vAlign w:val="center"/>
            <w:hideMark/>
          </w:tcPr>
          <w:p w:rsidR="00151C63" w:rsidRPr="0018461A" w:rsidRDefault="00151C63" w:rsidP="00D2520C">
            <w:pPr>
              <w:rPr>
                <w:b/>
                <w:bCs/>
                <w:color w:val="000000"/>
                <w:sz w:val="24"/>
                <w:szCs w:val="24"/>
              </w:rPr>
            </w:pPr>
            <w:r>
              <w:rPr>
                <w:b/>
                <w:bCs/>
                <w:color w:val="000000"/>
                <w:sz w:val="24"/>
                <w:szCs w:val="24"/>
              </w:rPr>
              <w:t>YouTube</w:t>
            </w:r>
          </w:p>
        </w:tc>
        <w:tc>
          <w:tcPr>
            <w:tcW w:w="0" w:type="auto"/>
            <w:vAlign w:val="center"/>
            <w:hideMark/>
          </w:tcPr>
          <w:p w:rsidR="00151C63" w:rsidRPr="002628AE" w:rsidRDefault="00151C63" w:rsidP="00D2520C">
            <w:pPr>
              <w:rPr>
                <w:color w:val="000000"/>
                <w:sz w:val="24"/>
                <w:szCs w:val="24"/>
              </w:rPr>
            </w:pPr>
            <w:r>
              <w:rPr>
                <w:color w:val="000000"/>
                <w:sz w:val="24"/>
                <w:szCs w:val="24"/>
              </w:rPr>
              <w:t>Поширення відеоконтенту та освітніх матеріалів</w:t>
            </w:r>
          </w:p>
        </w:tc>
        <w:tc>
          <w:tcPr>
            <w:tcW w:w="0" w:type="auto"/>
            <w:vAlign w:val="center"/>
            <w:hideMark/>
          </w:tcPr>
          <w:p w:rsidR="00151C63" w:rsidRPr="002628AE" w:rsidRDefault="00151C63" w:rsidP="00D2520C">
            <w:pPr>
              <w:rPr>
                <w:color w:val="000000"/>
                <w:sz w:val="24"/>
                <w:szCs w:val="24"/>
              </w:rPr>
            </w:pPr>
            <w:r>
              <w:rPr>
                <w:color w:val="000000"/>
                <w:sz w:val="24"/>
                <w:szCs w:val="24"/>
              </w:rPr>
              <w:t>Відеомаркетинг, навчальний контент, демонстрація експертності</w:t>
            </w:r>
          </w:p>
        </w:tc>
        <w:tc>
          <w:tcPr>
            <w:tcW w:w="0" w:type="auto"/>
            <w:vAlign w:val="center"/>
            <w:hideMark/>
          </w:tcPr>
          <w:p w:rsidR="00151C63" w:rsidRPr="002628AE" w:rsidRDefault="00151C63" w:rsidP="00D2520C">
            <w:pPr>
              <w:rPr>
                <w:color w:val="000000"/>
                <w:sz w:val="24"/>
                <w:szCs w:val="24"/>
              </w:rPr>
            </w:pPr>
            <w:r>
              <w:rPr>
                <w:color w:val="000000"/>
                <w:sz w:val="24"/>
                <w:szCs w:val="24"/>
              </w:rPr>
              <w:t>Тривалий життєвий цикл контенту та висока пошукова видимість</w:t>
            </w:r>
          </w:p>
        </w:tc>
        <w:tc>
          <w:tcPr>
            <w:tcW w:w="0" w:type="auto"/>
            <w:vAlign w:val="center"/>
            <w:hideMark/>
          </w:tcPr>
          <w:p w:rsidR="00151C63" w:rsidRPr="002628AE" w:rsidRDefault="00151C63" w:rsidP="00D2520C">
            <w:pPr>
              <w:rPr>
                <w:color w:val="000000"/>
                <w:sz w:val="24"/>
                <w:szCs w:val="24"/>
              </w:rPr>
            </w:pPr>
            <w:r>
              <w:rPr>
                <w:color w:val="000000"/>
                <w:sz w:val="24"/>
                <w:szCs w:val="24"/>
              </w:rPr>
              <w:t>Освітні проєкти, експерти, підприємства сфери послуг</w:t>
            </w:r>
          </w:p>
        </w:tc>
      </w:tr>
    </w:tbl>
    <w:p w:rsidR="00151C63" w:rsidRPr="001B7BDE" w:rsidRDefault="00151C63" w:rsidP="00151C63">
      <w:pPr>
        <w:spacing w:line="360" w:lineRule="auto"/>
        <w:ind w:firstLine="720"/>
        <w:jc w:val="both"/>
        <w:rPr>
          <w:i/>
          <w:iCs/>
          <w:sz w:val="24"/>
          <w:szCs w:val="24"/>
          <w:lang w:val="uk-UA"/>
        </w:rPr>
      </w:pPr>
    </w:p>
    <w:p w:rsidR="00151C63" w:rsidRPr="001B7BDE" w:rsidRDefault="00151C63" w:rsidP="00151C63">
      <w:pPr>
        <w:spacing w:line="360" w:lineRule="auto"/>
        <w:ind w:firstLine="720"/>
        <w:jc w:val="both"/>
      </w:pPr>
      <w:r>
        <w:t>Серед професійних платформ LinkedIn займає провідне місце у сфері B2B-комунікацій. Специфіка аудиторії ресурсу створює сприятливі умови для встановлення ділових контактів, розвитку партнерських відносин та пошуку потенційних клієнтів. Саме тому ця платформа активно використовується компаніями для підтримки професійного іміджу та розвитку бізнес-зв'язків [36].</w:t>
      </w:r>
    </w:p>
    <w:p w:rsidR="00151C63" w:rsidRPr="001B7BDE" w:rsidRDefault="00151C63" w:rsidP="00151C63">
      <w:pPr>
        <w:spacing w:line="360" w:lineRule="auto"/>
        <w:ind w:firstLine="720"/>
        <w:jc w:val="both"/>
      </w:pPr>
      <w:r>
        <w:t>Значний потенціал для корпоративних комунікацій мають також галузеві маркетплейси та торговельні платформи. Такі сервіси, як Etsy (для продажу авторських виробів), Amazon Business (для B2B-торгівлі), Prom.ua та Rozetka (для українського ринку) є важливими каналами комерційних комунікацій для багатьох підприємств. Ці платформи не лише забезпечують доступ до широкої аудиторії потенційних покупців, але й надають інструменти для управління репутацією (відгуки та рейтинги) та маркетингового просування (рекламні інструменти платформи) [40].</w:t>
      </w:r>
    </w:p>
    <w:p w:rsidR="00151C63" w:rsidRPr="001B7BDE" w:rsidRDefault="00151C63" w:rsidP="00151C63">
      <w:pPr>
        <w:spacing w:line="360" w:lineRule="auto"/>
        <w:ind w:firstLine="720"/>
        <w:jc w:val="both"/>
      </w:pPr>
      <w:r>
        <w:t>Важливу роль у системі бізнес-комунікацій відіграють спеціалізовані платформи для управління проектами та командної взаємодії. Такі інструменти, як Slack, Microsoft Teams, Trello, Asana та Jira, забезпечують ефективну внутрішню комунікацію в організаціях, особливо в умовах дистанційної та гібридної роботи. Пандемія COVID-19 значно прискорила впровадження цих платформ: у 2020-2021 роках попит на корпоративні комунікаційні платформи зріс на 40-60% [42].</w:t>
      </w:r>
    </w:p>
    <w:p w:rsidR="00151C63" w:rsidRPr="001B7BDE" w:rsidRDefault="00151C63" w:rsidP="00151C63">
      <w:pPr>
        <w:spacing w:line="360" w:lineRule="auto"/>
        <w:ind w:firstLine="720"/>
        <w:jc w:val="both"/>
      </w:pPr>
      <w:r>
        <w:t>Для підприємств, що надають послуги (в тому числі ФОП), особливе значення мають платформи для отримання та управління відгуками клієнтів: Google Business Profile, Tripadvisor, OLX, Booking.com тощо. Ці платформи є ключовим елементом локального маркетингу та управління онлайн-репутацією. За даними дослідження, 93% споживачів вивчають відгуки в Інтернеті перед відвідуванням місцевого бізнесу, а один негативний відгук може коштувати компанії від 22% потенційних клієнтів [37].</w:t>
      </w:r>
    </w:p>
    <w:p w:rsidR="00151C63" w:rsidRPr="001B7BDE" w:rsidRDefault="00151C63" w:rsidP="00151C63">
      <w:pPr>
        <w:spacing w:line="360" w:lineRule="auto"/>
        <w:ind w:firstLine="720"/>
        <w:jc w:val="both"/>
      </w:pPr>
      <w:r>
        <w:t xml:space="preserve">Google Business Profile (раніше – Google My Business) заслуговує особливої уваги серед платформ для локального бізнесу. Цей безкоштовний сервіс від </w:t>
      </w:r>
      <w:r>
        <w:lastRenderedPageBreak/>
        <w:t>Google дозволяє підприємствам управляти своєю присутністю в пошуковій системі та на Google Maps, публікувати актуальну інформацію про компанію (адресу, графік роботи, контакти), взаємодіяти з відгуками клієнтів та розміщувати новини та акції. Компанії з повністю заповненим профілем у Google Business Profile отримують у два рази більше кліків та на 70% більше відвідувань порівняно з компаніями з неповним профілем [36].</w:t>
      </w:r>
    </w:p>
    <w:p w:rsidR="00151C63" w:rsidRPr="001B7BDE" w:rsidRDefault="00151C63" w:rsidP="00151C63">
      <w:pPr>
        <w:spacing w:line="360" w:lineRule="auto"/>
        <w:ind w:firstLine="720"/>
        <w:jc w:val="both"/>
      </w:pPr>
      <w:r>
        <w:t>Особливу категорію професійних платформ становлять сервіси для фрілансерів та малого бізнесу: Upwork, Fiverr, Freelancehunt (в Україні). Ці платформи не лише є ринком праці, але й важливим каналом ділових комунікацій – вони забезпечують прозорість угод, захист платежів та формують репутацію виконавців на основі відгуків клієнтів. Для малого бізнесу та ФОП це часто стає першим кроком до виходу на міжнародний ринок послуг [34].</w:t>
      </w:r>
    </w:p>
    <w:p w:rsidR="00151C63" w:rsidRPr="001B7BDE" w:rsidRDefault="00151C63" w:rsidP="00151C63">
      <w:pPr>
        <w:spacing w:line="360" w:lineRule="auto"/>
        <w:ind w:firstLine="720"/>
        <w:jc w:val="both"/>
      </w:pPr>
      <w:r>
        <w:t>Відеоплатформа YouTube також відіграє важливу роль у системі корпоративних комунікацій. Корпоративні YouTube-канали дозволяють компаніям публікувати навчальні матеріали, огляди продуктів, відеопрезентації та відео «за лаштунками» виробничого процесу. YouTube є другою за популярністю пошуковою системою у світі, що відкриває значні можливості для органічного трафіку та підвищення впізнаваності бренду [32].</w:t>
      </w:r>
    </w:p>
    <w:p w:rsidR="00151C63" w:rsidRPr="001B7BDE" w:rsidRDefault="00151C63" w:rsidP="00151C63">
      <w:pPr>
        <w:spacing w:line="360" w:lineRule="auto"/>
        <w:ind w:firstLine="720"/>
        <w:jc w:val="both"/>
      </w:pPr>
      <w:r>
        <w:t>Інтеграція різних платформ у єдину комунікаційну стратегію є ключовим завданням сучасного бізнесу. Омніканальний підхід до комунікацій передбачає забезпечення узгодженого досвіду взаємодії для клієнтів незалежно від того, який канал вони обирають для спілкування з компанією. Дослідження показують, що компанії з сильними омніканальними стратегіями утримують у середньому 89% клієнтів, тоді як компанії зі слабкими стратегіями – лише 33% [28].</w:t>
      </w:r>
    </w:p>
    <w:p w:rsidR="00151C63" w:rsidRPr="001B7BDE" w:rsidRDefault="00151C63" w:rsidP="00151C63">
      <w:pPr>
        <w:spacing w:line="360" w:lineRule="auto"/>
        <w:ind w:firstLine="720"/>
        <w:jc w:val="both"/>
      </w:pPr>
      <w:r>
        <w:t xml:space="preserve">Аналіз ефективності використання різних платформ здійснюється за допомогою спеціалізованих аналітичних інструментів: Google Analytics для веб-сайту, вбудованої аналітики соціальних мереж, CRM-систем та зовнішніх сервісів моніторингу соціальних медіа (Brand24, Mention, Sprout Social тощо). Регулярний аналіз даних дозволяє компаніям оптимізувати свої комунікаційні </w:t>
      </w:r>
      <w:r>
        <w:lastRenderedPageBreak/>
        <w:t>стратегії, перерозподіляти ресурси між каналами та підвищувати загальну ефективність маркетингових комунікацій [34].</w:t>
      </w:r>
    </w:p>
    <w:p w:rsidR="00151C63" w:rsidRPr="001B7BDE" w:rsidRDefault="00151C63" w:rsidP="00151C63">
      <w:pPr>
        <w:spacing w:line="360" w:lineRule="auto"/>
        <w:ind w:firstLine="720"/>
        <w:jc w:val="both"/>
      </w:pPr>
      <w:r>
        <w:t>В українських реаліях використання соціальних мереж та професійних платформ малим бізнесом (включаючи ФОП) має свою специфіку. Через обмежені маркетингові бюджети більшість малих підприємців концентруються на 1-2 основних платформах, як правило, Instagram та Facebook для B2C або LinkedIn і Telegram для B2B-комунікацій. Водночас дослідження показують, що навіть невеликі підприємства, що системно працюють у соціальних мережах, демонструють значно вищі показники залучення клієнтів та продажів порівняно з тими, хто ігнорує цей канал комунікацій [43].</w:t>
      </w:r>
    </w:p>
    <w:p w:rsidR="00151C63" w:rsidRPr="001B7BDE" w:rsidRDefault="00151C63" w:rsidP="00151C63">
      <w:pPr>
        <w:spacing w:line="360" w:lineRule="auto"/>
        <w:ind w:firstLine="720"/>
        <w:jc w:val="both"/>
      </w:pPr>
      <w:r>
        <w:t>Важливою тенденцією в галузі корпоративних комунікацій через соціальні мережі та платформи є використання штучного інтелекту (ШІ). Чат-боти на базі ШІ автоматизують обслуговування клієнтів у месенджерах та соціальних мережах; алгоритми машинного навчання аналізують великі масиви даних для виявлення трендів та прогнозування поведінки споживачів; генеративні ШІ-системи допомагають у створенні контенту. Впровадження ШІ-інструментів у комунікаційні стратегії дозволяє компаніям суттєво підвищити ефективність роботи при оптимізації витрат [34].</w:t>
      </w:r>
    </w:p>
    <w:p w:rsidR="00151C63" w:rsidRPr="001B7BDE" w:rsidRDefault="00151C63" w:rsidP="00151C63">
      <w:pPr>
        <w:spacing w:line="360" w:lineRule="auto"/>
        <w:ind w:firstLine="720"/>
        <w:jc w:val="both"/>
      </w:pPr>
      <w:r>
        <w:t>Управління відносинами з клієнтами (CRM) через цифрові платформи є важливим напрямом сучасних корпоративних комунікацій. Інтеграція CRM-систем з соціальними мережами та месенджерами дозволяє компаніям відстежувати всі точки контакту з клієнтом, персоналізувати комунікації та забезпечувати безперервне обслуговування незалежно від обраного клієнтом каналу. Для малого бізнесу та ФОП доступними альтернативами є спрощені CRM-системи або структуровані таблиці у поєднанні з налаштованими месенджерами [38].</w:t>
      </w:r>
    </w:p>
    <w:p w:rsidR="00151C63" w:rsidRPr="001B7BDE" w:rsidRDefault="00151C63" w:rsidP="00151C63">
      <w:pPr>
        <w:spacing w:line="360" w:lineRule="auto"/>
        <w:ind w:firstLine="720"/>
        <w:jc w:val="both"/>
      </w:pPr>
      <w:r>
        <w:t xml:space="preserve">Автоматизація комунікацій через чат-боти є сучасним трендом у сфері корпоративних комунікацій. Чат-боти, інтегровані у месенджери та соціальні мережі (Facebook Messenger, Telegram, Viber), дозволяють автоматизувати відповіді на поширені запитання клієнтів, кваліфікувати ліди та збирати </w:t>
      </w:r>
      <w:r>
        <w:lastRenderedPageBreak/>
        <w:t>зворотний зв'язок у режимі 24/7. Це суттєво знижує навантаження на команду обслуговування клієнтів та підвищує швидкість відповіді, що позитивно впливає на задоволеність клієнтів [42].</w:t>
      </w:r>
    </w:p>
    <w:p w:rsidR="00151C63" w:rsidRPr="001B7BDE" w:rsidRDefault="00151C63" w:rsidP="00151C63">
      <w:pPr>
        <w:spacing w:line="360" w:lineRule="auto"/>
        <w:ind w:firstLine="720"/>
        <w:jc w:val="both"/>
      </w:pPr>
      <w:r>
        <w:t>Google Business Profile заслуговує особливої уваги серед платформ для локального бізнесу. Цей безкоштовний сервіс від Google дозволяє підприємствам управляти своєю присутністю в пошуковій системі та на Google Maps, публікувати актуальну інформацію про компанію, взаємодіяти з відгуками клієнтів та розміщувати новини та акції. Дослідження показують, що компанії з повністю заповненим профілем отримують у два рази більше кліків та значно більше відвідувань. Для ФОП та малого бізнесу цей безкоштовний інструмент є надзвичайно важливим [43].</w:t>
      </w:r>
    </w:p>
    <w:p w:rsidR="00151C63" w:rsidRPr="001B7BDE" w:rsidRDefault="00151C63" w:rsidP="00151C63">
      <w:pPr>
        <w:spacing w:line="360" w:lineRule="auto"/>
        <w:ind w:firstLine="720"/>
        <w:jc w:val="both"/>
      </w:pPr>
      <w:r>
        <w:t>В контексті малого бізнесу, зокрема ФОП, корпоративні комунікації через соціальні мережі мають специфічні особливості. По-перше, обмежені ресурси вимагають ретельного вибору пріоритетних каналів. По-друге, малий бізнес часто має перевагу у вигляді можливості більш особистого та автентичного спілкування з клієнтами. По-третє, особистий бренд власника ФОП нерідко є більш потужним комунікаційним активом, ніж корпоративний бренд. Усі ці особливості мають бути враховані при розробці комунікаційної стратегії підприємства [41].</w:t>
      </w:r>
    </w:p>
    <w:p w:rsidR="00151C63" w:rsidRPr="001B7BDE" w:rsidRDefault="00151C63" w:rsidP="00151C63">
      <w:pPr>
        <w:spacing w:line="360" w:lineRule="auto"/>
        <w:ind w:firstLine="720"/>
        <w:jc w:val="both"/>
      </w:pPr>
      <w:r>
        <w:t>Важливою тенденцією в галузі корпоративних комунікацій є зростання ролі соціальної відповідальності бізнесу (CSR) у комунікаційних стратегіях. Сучасні споживачі дедалі більше звертають увагу на цінності та соціальну позицію компаній, яким вони надають перевагу. Демонстрація соціальної відповідальності через соціальні мережі та платформи – публікації про благодійність, екологічні ініціативи, підтримку місцевих громад – сприяє формуванню позитивного образу компанії та зміцненню лояльності аудиторії [14].</w:t>
      </w:r>
    </w:p>
    <w:p w:rsidR="00151C63" w:rsidRPr="001B7BDE" w:rsidRDefault="00151C63" w:rsidP="00151C63">
      <w:pPr>
        <w:spacing w:line="360" w:lineRule="auto"/>
        <w:ind w:firstLine="720"/>
        <w:jc w:val="both"/>
      </w:pPr>
      <w:r>
        <w:t xml:space="preserve">Резюмуючи розгляд теоретичних основ корпоративних комунікацій у соціальних мережах та професійних платформах, слід підкреслити, що цей напрям є одним із найбільш динамічно розвинутих у сучасному бізнесі. Швидкий </w:t>
      </w:r>
      <w:r>
        <w:lastRenderedPageBreak/>
        <w:t>розвиток технологій постійно відкриває нові можливості для корпоративних комунікацій, одночасно ставлячи перед бізнесом нові виклики. Ефективне використання потенціалу соціальних мереж і спеціалізованих платформ вимагає системного підходу, чіткої стратегії та постійного моніторингу результатів.</w:t>
      </w:r>
    </w:p>
    <w:p w:rsidR="00151C63" w:rsidRPr="001B7BDE" w:rsidRDefault="00151C63" w:rsidP="00151C63">
      <w:pPr>
        <w:spacing w:line="360" w:lineRule="auto"/>
        <w:ind w:firstLine="720"/>
        <w:jc w:val="both"/>
      </w:pPr>
      <w:r>
        <w:t>Дослідження у сфері нейромаркетингу підтверджують, що споживачі приймають більшість рішень про покупку на емоційному рівні, раціонально обґрунтовуючи їх постфактум. Це підкреслює важливість емоційного аспекту корпоративних комунікацій: бренди, що здатні викликати позитивні емоції у своїй аудиторії, мають суттєву конкурентну перевагу. Соціальні мережі є особливо ефективним середовищем для емоційних комунікацій, оскільки їхній формат сприяє обміну особистим досвідом, думками та емоціями [39].</w:t>
      </w:r>
    </w:p>
    <w:p w:rsidR="00151C63" w:rsidRPr="001B7BDE" w:rsidRDefault="00151C63" w:rsidP="00151C63">
      <w:pPr>
        <w:spacing w:line="360" w:lineRule="auto"/>
        <w:ind w:firstLine="720"/>
        <w:jc w:val="both"/>
      </w:pPr>
      <w:r>
        <w:t>Цифрова грамотність стейкхолдерів є важливим контекстуальним чинником, що впливає на ефективність корпоративних комунікацій. Рівень цифрової грамотності цільової аудиторії визначає її здатність та готовність взаємодіяти з брендом через цифрові канали. Для ФОП, що працює з різними сегментами аудиторії, важливо адаптувати комунікаційну стратегію до рівня цифрової компетентності кожного сегменту: від молоді, що активно використовує всі новітні платформи, до старшого покоління, що надає перевагу традиційним каналам комунікацій [30].</w:t>
      </w:r>
    </w:p>
    <w:p w:rsidR="00151C63" w:rsidRPr="001B7BDE" w:rsidRDefault="00151C63" w:rsidP="00151C63">
      <w:pPr>
        <w:spacing w:line="360" w:lineRule="auto"/>
        <w:ind w:firstLine="720"/>
        <w:jc w:val="both"/>
      </w:pPr>
      <w:r>
        <w:t>Соціальні мережі та професійні платформи стали невід'ємним елементом сучасної бізнес-екосистеми, суттєво змінивши баланс сил між великим та малим бізнесом. Якщо раніше великий бюджет на рекламу та PR був вирішальною конкурентною перевагою, то сьогодні малий бізнес та ФОП мають реальні можливості конкурувати з великими компаніями на рівних завдяки ефективному використанню соціальних мереж. Автентичність, оперативність реагування, особистий підхід та здатність розповідати цікаві історії є тими якостями, в яких малий бізнес часто перевершує великі корпорації [11].</w:t>
      </w:r>
    </w:p>
    <w:p w:rsidR="00151C63" w:rsidRDefault="00151C63" w:rsidP="00151C63">
      <w:pPr>
        <w:spacing w:line="360" w:lineRule="auto"/>
        <w:ind w:firstLine="720"/>
        <w:jc w:val="both"/>
      </w:pPr>
      <w:r>
        <w:t xml:space="preserve">Узагальнюючи теоретичний огляд у сфері корпоративних комунікацій через соціальні мережі та професійні платформи, можна констатувати, що ця сфера перебуває у стані постійної динамічної трансформації. Нові технологічні </w:t>
      </w:r>
      <w:r>
        <w:lastRenderedPageBreak/>
        <w:t>рішення, зміни у поведінці споживачів та регуляторне середовище формують безперервно змінюваний контекст, у якому доводиться діяти сучасному бізнесу. Корпоративні комунікації при цьому розглядаються не як допоміжна функція, а як стратегічний управлінський інструмент, що забезпечує взаємодію підприємства із зовнішнім і внутрішнім середовищем, формує його репутацію та безпосередньо впливає на конкурентоспроможність.</w:t>
      </w:r>
    </w:p>
    <w:p w:rsidR="00151C63" w:rsidRDefault="00151C63" w:rsidP="00151C63">
      <w:pPr>
        <w:spacing w:line="360" w:lineRule="auto"/>
        <w:ind w:firstLine="720"/>
        <w:jc w:val="both"/>
      </w:pPr>
      <w:r>
        <w:t>Проведений аналіз засвідчив, що соціальні мережі сьогодні виконують роль повноцінного каналу маркетингових, репутаційних та управлінських комунікацій. Вони забезпечують оперативне поширення інформації, прямий і двосторонній зв'язок з аудиторією, підвищення впізнаваності бренду та залучення цільових споживачів. Водночас використання таких платформ пов'язане з низкою ризиків — від репутаційних криз і негативних відгуків до потреби у системному підході, постійному моніторингу та якісному контенті, без яких присутність підприємства у соціальних мережах не дає очікуваного ефекту.</w:t>
      </w:r>
    </w:p>
    <w:p w:rsidR="00151C63" w:rsidRDefault="00151C63" w:rsidP="00151C63">
      <w:pPr>
        <w:spacing w:line="360" w:lineRule="auto"/>
        <w:ind w:firstLine="720"/>
        <w:jc w:val="both"/>
      </w:pPr>
      <w:r>
        <w:t>Окрему роль у системі бізнес-комунікацій відіграють професійні платформи, які орієнтовані передусім на ділову взаємодію у форматі B2B, розвиток партнерських зв'язків, просування бренду роботодавця та формування експертного іміджу організації. На відміну від масових соціальних мереж, вони працюють із вужчою, але більш цільовою професійною аудиторією, що робить їх ефективним інструментом налагодження ділових контактів та позиціонування підприємства у фаховому середовищі.</w:t>
      </w:r>
    </w:p>
    <w:p w:rsidR="00151C63" w:rsidRPr="001B7BDE" w:rsidRDefault="00151C63" w:rsidP="00151C63">
      <w:pPr>
        <w:spacing w:line="360" w:lineRule="auto"/>
        <w:ind w:firstLine="720"/>
        <w:jc w:val="both"/>
        <w:rPr>
          <w:lang w:val="uk-UA"/>
        </w:rPr>
      </w:pPr>
      <w:r>
        <w:t>Таким чином, комплексне поєднання соціальних мереж і професійних платформ дає підприємству змогу вибудовувати цілісну систему корпоративних комунікацій, орієнтовану на різні групи зацікавлених сторін. Компанії, що успішно адаптуються до цифрових змін та ефективно використовують можливості комунікаційних платформ, отримують суттєві конкурентні переваги. Окреслені теоретичні засади формують підґрунтя для подальшого аналізу організації корпоративних комунікацій на прикладі конкретного підприємства, якому присвячено наступний розділ роботи.</w:t>
      </w:r>
    </w:p>
    <w:p w:rsidR="00151C63" w:rsidRPr="001B7BDE" w:rsidRDefault="00151C63" w:rsidP="00151C63">
      <w:pPr>
        <w:spacing w:line="360" w:lineRule="auto"/>
        <w:jc w:val="both"/>
        <w:rPr>
          <w:lang w:val="uk-UA"/>
        </w:rPr>
      </w:pPr>
    </w:p>
    <w:p w:rsidR="00151C63" w:rsidRPr="001B7BDE" w:rsidRDefault="00151C63" w:rsidP="00151C63">
      <w:pPr>
        <w:pageBreakBefore/>
        <w:spacing w:line="360" w:lineRule="auto"/>
        <w:jc w:val="center"/>
      </w:pPr>
      <w:r>
        <w:rPr>
          <w:b/>
          <w:bCs/>
        </w:rPr>
        <w:lastRenderedPageBreak/>
        <w:t>РОЗДІЛ 2</w:t>
      </w:r>
    </w:p>
    <w:p w:rsidR="00151C63" w:rsidRPr="001B7BDE" w:rsidRDefault="00151C63" w:rsidP="00151C63">
      <w:pPr>
        <w:spacing w:line="360" w:lineRule="auto"/>
        <w:jc w:val="center"/>
      </w:pPr>
      <w:r>
        <w:rPr>
          <w:b/>
          <w:bCs/>
        </w:rPr>
        <w:t>АНАЛІЗ ІНФОРМАЦІЙНОГО ЗАБЕЗПЕЧЕННЯ ДІЯЛЬНОСТІ МАЙСТЕРНІ</w:t>
      </w:r>
      <w:r>
        <w:rPr>
          <w:lang w:val="uk-UA"/>
        </w:rPr>
        <w:t xml:space="preserve"> </w:t>
      </w:r>
      <w:r>
        <w:rPr>
          <w:b/>
          <w:bCs/>
        </w:rPr>
        <w:t>З ПОШИТТЯ ОДЯГУ «НОВИЙ СЕЗОН» ТА НАПРЯМИ</w:t>
      </w:r>
    </w:p>
    <w:p w:rsidR="00151C63" w:rsidRPr="00F46A35" w:rsidRDefault="00151C63" w:rsidP="00151C63">
      <w:pPr>
        <w:spacing w:after="720" w:line="720" w:lineRule="auto"/>
        <w:jc w:val="center"/>
        <w:rPr>
          <w:lang w:val="uk-UA"/>
        </w:rPr>
      </w:pPr>
      <w:r>
        <w:rPr>
          <w:b/>
          <w:bCs/>
        </w:rPr>
        <w:t>ЙОГО УДОСКОНАЛЕНН</w:t>
      </w:r>
      <w:r>
        <w:rPr>
          <w:b/>
          <w:bCs/>
          <w:lang w:val="uk-UA"/>
        </w:rPr>
        <w:t>Я</w:t>
      </w:r>
    </w:p>
    <w:p w:rsidR="00151C63" w:rsidRPr="001B7BDE" w:rsidRDefault="00151C63" w:rsidP="00151C63">
      <w:pPr>
        <w:spacing w:before="240" w:line="360" w:lineRule="auto"/>
        <w:ind w:firstLine="709"/>
      </w:pPr>
      <w:r>
        <w:rPr>
          <w:b/>
          <w:bCs/>
        </w:rPr>
        <w:t>2.1. Загальна характеристика діяльності майстерні «Новий сезон»</w:t>
      </w:r>
    </w:p>
    <w:p w:rsidR="00151C63" w:rsidRPr="001B7BDE" w:rsidRDefault="00151C63" w:rsidP="00151C63">
      <w:pPr>
        <w:spacing w:line="360" w:lineRule="auto"/>
        <w:jc w:val="both"/>
      </w:pPr>
      <w:r>
        <w:t>Майстерня «Новий сезон» — це невелике за масштабом швейне підприємство, основним напрямом діяльності якого є пошиття одягу та виготовлення різноманітних швейних виробів на замовлення. Незважаючи на обмежену чисельність персоналу та невеликі обсяги виробництва, організація має сформовану систему ділових зв’язків, стабільне коло замовників і партнерів, а також власні напрацювання у сфері організації внутрішніх процесів. Саме невеликий масштаб діяльності визначає специфіку інформаційного забезпечення майстерні: процеси є відносно простими й гнучкими, проте водночас значною мірою спираються на особисту участь керівника та неформалізовані способи обміну відомостями.</w:t>
      </w:r>
    </w:p>
    <w:p w:rsidR="00151C63" w:rsidRPr="001B7BDE" w:rsidRDefault="00151C63" w:rsidP="00151C63">
      <w:pPr>
        <w:spacing w:line="360" w:lineRule="auto"/>
        <w:ind w:firstLine="709"/>
        <w:jc w:val="both"/>
      </w:pPr>
      <w:r>
        <w:t>Метою діяльності майстерні є якісне та своєчасне виготовлення швейної продукції відповідно до індивідуальних вимог замовників. Для досягнення цієї мети організація виконує комплекс взаємопов’язаних завдань: приймання та опрацювання замовлень, закупівлю необхідних матеріалів і фурнітури, безпосереднє виробництво виробів, контроль якості, пакування й відправлення готової продукції, а також підтримання комунікації із замовниками та партнерами. Кожне з цих завдань супроводжується створенням, опрацюванням та зберіганням певного обсягу інформації, що й формує потребу в належному інформаційному забезпеченні.</w:t>
      </w:r>
    </w:p>
    <w:p w:rsidR="00151C63" w:rsidRPr="001B7BDE" w:rsidRDefault="00151C63" w:rsidP="00151C63">
      <w:pPr>
        <w:spacing w:line="360" w:lineRule="auto"/>
        <w:ind w:firstLine="709"/>
        <w:jc w:val="both"/>
      </w:pPr>
      <w:r>
        <w:t xml:space="preserve">Важливою ознакою діяльності майстерні є наявність сталих партнерських відносин. Організація співпрацює з низкою партнерів, серед яких — Рибак, благодійний фонд «Тато може», комунальне підприємство «Електроавтотранс», а також виробниче об’єднання «Карпати». Така співпраця має різний характер: </w:t>
      </w:r>
      <w:r>
        <w:lastRenderedPageBreak/>
        <w:t>від виконання спільних замовлень і виготовлення продукції на потреби партнерів до участі в соціально орієнтованих ініціативах. Наявність партнерів різного типу — комерційних, комунальних та громадських — засвідчує стабільність майстерні та її залученість до місцевого господарського й суспільного життя. Узагальнену характеристику партнерів організації наведено в таблиці 2.1.</w:t>
      </w:r>
    </w:p>
    <w:p w:rsidR="00151C63" w:rsidRPr="002628AE" w:rsidRDefault="00151C63" w:rsidP="00151C63">
      <w:pPr>
        <w:spacing w:before="160" w:after="60" w:line="360" w:lineRule="auto"/>
        <w:ind w:firstLine="709"/>
        <w:jc w:val="center"/>
        <w:rPr>
          <w:lang w:val="uk-UA"/>
        </w:rPr>
      </w:pPr>
      <w:r>
        <w:t>Таблиця 2.1 – Характеристика основних партнерів майстерні «Новий сезон»</w:t>
      </w:r>
    </w:p>
    <w:tbl>
      <w:tblPr>
        <w:tblW w:w="0" w:type="auto"/>
        <w:tblCellSpacing w:w="15" w:type="dxa"/>
        <w:tblBorders>
          <w:top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4"/>
        <w:gridCol w:w="2581"/>
        <w:gridCol w:w="1940"/>
        <w:gridCol w:w="4618"/>
      </w:tblGrid>
      <w:tr w:rsidR="00151C63" w:rsidRPr="002628AE" w:rsidTr="00D2520C">
        <w:trPr>
          <w:tblHeader/>
          <w:tblCellSpacing w:w="15" w:type="dxa"/>
        </w:trPr>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 з/п</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Організація-партнер</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Категорія партнера</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Основні напрями взаємодії</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1</w:t>
            </w:r>
          </w:p>
        </w:tc>
        <w:tc>
          <w:tcPr>
            <w:tcW w:w="0" w:type="auto"/>
            <w:vAlign w:val="center"/>
            <w:hideMark/>
          </w:tcPr>
          <w:p w:rsidR="00151C63" w:rsidRPr="002628AE" w:rsidRDefault="00151C63" w:rsidP="00D2520C">
            <w:pPr>
              <w:rPr>
                <w:color w:val="000000"/>
                <w:sz w:val="24"/>
                <w:szCs w:val="24"/>
              </w:rPr>
            </w:pPr>
            <w:r>
              <w:rPr>
                <w:color w:val="000000"/>
                <w:sz w:val="24"/>
                <w:szCs w:val="24"/>
              </w:rPr>
              <w:t>Рибак</w:t>
            </w:r>
          </w:p>
        </w:tc>
        <w:tc>
          <w:tcPr>
            <w:tcW w:w="0" w:type="auto"/>
            <w:vAlign w:val="center"/>
            <w:hideMark/>
          </w:tcPr>
          <w:p w:rsidR="00151C63" w:rsidRPr="002628AE" w:rsidRDefault="00151C63" w:rsidP="00D2520C">
            <w:pPr>
              <w:rPr>
                <w:color w:val="000000"/>
                <w:sz w:val="24"/>
                <w:szCs w:val="24"/>
              </w:rPr>
            </w:pPr>
            <w:r>
              <w:rPr>
                <w:color w:val="000000"/>
                <w:sz w:val="24"/>
                <w:szCs w:val="24"/>
              </w:rPr>
              <w:t>Комерційний партнер</w:t>
            </w:r>
          </w:p>
        </w:tc>
        <w:tc>
          <w:tcPr>
            <w:tcW w:w="0" w:type="auto"/>
            <w:vAlign w:val="center"/>
            <w:hideMark/>
          </w:tcPr>
          <w:p w:rsidR="00151C63" w:rsidRPr="002628AE" w:rsidRDefault="00151C63" w:rsidP="00D2520C">
            <w:pPr>
              <w:rPr>
                <w:color w:val="000000"/>
                <w:sz w:val="24"/>
                <w:szCs w:val="24"/>
              </w:rPr>
            </w:pPr>
            <w:r>
              <w:rPr>
                <w:color w:val="000000"/>
                <w:sz w:val="24"/>
                <w:szCs w:val="24"/>
              </w:rPr>
              <w:t>Виконання замовлень на пошиття виробів, обмін виробничою та діловою інформацією</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2</w:t>
            </w:r>
          </w:p>
        </w:tc>
        <w:tc>
          <w:tcPr>
            <w:tcW w:w="0" w:type="auto"/>
            <w:vAlign w:val="center"/>
            <w:hideMark/>
          </w:tcPr>
          <w:p w:rsidR="00151C63" w:rsidRPr="002628AE" w:rsidRDefault="00151C63" w:rsidP="00D2520C">
            <w:pPr>
              <w:rPr>
                <w:color w:val="000000"/>
                <w:sz w:val="24"/>
                <w:szCs w:val="24"/>
              </w:rPr>
            </w:pPr>
            <w:r>
              <w:rPr>
                <w:color w:val="000000"/>
                <w:sz w:val="24"/>
                <w:szCs w:val="24"/>
              </w:rPr>
              <w:t>Благодійний фонд «Тато може»</w:t>
            </w:r>
          </w:p>
        </w:tc>
        <w:tc>
          <w:tcPr>
            <w:tcW w:w="0" w:type="auto"/>
            <w:vAlign w:val="center"/>
            <w:hideMark/>
          </w:tcPr>
          <w:p w:rsidR="00151C63" w:rsidRPr="002628AE" w:rsidRDefault="00151C63" w:rsidP="00D2520C">
            <w:pPr>
              <w:rPr>
                <w:color w:val="000000"/>
                <w:sz w:val="24"/>
                <w:szCs w:val="24"/>
              </w:rPr>
            </w:pPr>
            <w:r>
              <w:rPr>
                <w:color w:val="000000"/>
                <w:sz w:val="24"/>
                <w:szCs w:val="24"/>
              </w:rPr>
              <w:t>Громадська організація</w:t>
            </w:r>
          </w:p>
        </w:tc>
        <w:tc>
          <w:tcPr>
            <w:tcW w:w="0" w:type="auto"/>
            <w:vAlign w:val="center"/>
            <w:hideMark/>
          </w:tcPr>
          <w:p w:rsidR="00151C63" w:rsidRPr="002628AE" w:rsidRDefault="00151C63" w:rsidP="00D2520C">
            <w:pPr>
              <w:rPr>
                <w:color w:val="000000"/>
                <w:sz w:val="24"/>
                <w:szCs w:val="24"/>
              </w:rPr>
            </w:pPr>
            <w:r>
              <w:rPr>
                <w:color w:val="000000"/>
                <w:sz w:val="24"/>
                <w:szCs w:val="24"/>
              </w:rPr>
              <w:t>Участь у соціальних проєктах та виготовлення продукції для реалізації благодійних ініціатив</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3</w:t>
            </w:r>
          </w:p>
        </w:tc>
        <w:tc>
          <w:tcPr>
            <w:tcW w:w="0" w:type="auto"/>
            <w:vAlign w:val="center"/>
            <w:hideMark/>
          </w:tcPr>
          <w:p w:rsidR="00151C63" w:rsidRPr="002628AE" w:rsidRDefault="00151C63" w:rsidP="00D2520C">
            <w:pPr>
              <w:rPr>
                <w:color w:val="000000"/>
                <w:sz w:val="24"/>
                <w:szCs w:val="24"/>
              </w:rPr>
            </w:pPr>
            <w:r>
              <w:rPr>
                <w:color w:val="000000"/>
                <w:sz w:val="24"/>
                <w:szCs w:val="24"/>
              </w:rPr>
              <w:t>КП «Електроавтотранс»</w:t>
            </w:r>
          </w:p>
        </w:tc>
        <w:tc>
          <w:tcPr>
            <w:tcW w:w="0" w:type="auto"/>
            <w:vAlign w:val="center"/>
            <w:hideMark/>
          </w:tcPr>
          <w:p w:rsidR="00151C63" w:rsidRPr="002628AE" w:rsidRDefault="00151C63" w:rsidP="00D2520C">
            <w:pPr>
              <w:rPr>
                <w:color w:val="000000"/>
                <w:sz w:val="24"/>
                <w:szCs w:val="24"/>
              </w:rPr>
            </w:pPr>
            <w:r>
              <w:rPr>
                <w:color w:val="000000"/>
                <w:sz w:val="24"/>
                <w:szCs w:val="24"/>
              </w:rPr>
              <w:t>Комунальне підприємство</w:t>
            </w:r>
          </w:p>
        </w:tc>
        <w:tc>
          <w:tcPr>
            <w:tcW w:w="0" w:type="auto"/>
            <w:vAlign w:val="center"/>
            <w:hideMark/>
          </w:tcPr>
          <w:p w:rsidR="00151C63" w:rsidRPr="002628AE" w:rsidRDefault="00151C63" w:rsidP="00D2520C">
            <w:pPr>
              <w:rPr>
                <w:color w:val="000000"/>
                <w:sz w:val="24"/>
                <w:szCs w:val="24"/>
              </w:rPr>
            </w:pPr>
            <w:r>
              <w:rPr>
                <w:color w:val="000000"/>
                <w:sz w:val="24"/>
                <w:szCs w:val="24"/>
              </w:rPr>
              <w:t>Виконання замовлень на виготовлення продукції, зокрема спеціалізованого призначення</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4</w:t>
            </w:r>
          </w:p>
        </w:tc>
        <w:tc>
          <w:tcPr>
            <w:tcW w:w="0" w:type="auto"/>
            <w:vAlign w:val="center"/>
            <w:hideMark/>
          </w:tcPr>
          <w:p w:rsidR="00151C63" w:rsidRPr="002628AE" w:rsidRDefault="00151C63" w:rsidP="00D2520C">
            <w:pPr>
              <w:rPr>
                <w:color w:val="000000"/>
                <w:sz w:val="24"/>
                <w:szCs w:val="24"/>
              </w:rPr>
            </w:pPr>
            <w:r>
              <w:rPr>
                <w:color w:val="000000"/>
                <w:sz w:val="24"/>
                <w:szCs w:val="24"/>
              </w:rPr>
              <w:t>ВО «Карпати»</w:t>
            </w:r>
          </w:p>
        </w:tc>
        <w:tc>
          <w:tcPr>
            <w:tcW w:w="0" w:type="auto"/>
            <w:vAlign w:val="center"/>
            <w:hideMark/>
          </w:tcPr>
          <w:p w:rsidR="00151C63" w:rsidRPr="002628AE" w:rsidRDefault="00151C63" w:rsidP="00D2520C">
            <w:pPr>
              <w:rPr>
                <w:color w:val="000000"/>
                <w:sz w:val="24"/>
                <w:szCs w:val="24"/>
              </w:rPr>
            </w:pPr>
            <w:r>
              <w:rPr>
                <w:color w:val="000000"/>
                <w:sz w:val="24"/>
                <w:szCs w:val="24"/>
              </w:rPr>
              <w:t>Виробниче об'єднання</w:t>
            </w:r>
          </w:p>
        </w:tc>
        <w:tc>
          <w:tcPr>
            <w:tcW w:w="0" w:type="auto"/>
            <w:vAlign w:val="center"/>
            <w:hideMark/>
          </w:tcPr>
          <w:p w:rsidR="00151C63" w:rsidRPr="002628AE" w:rsidRDefault="00151C63" w:rsidP="00D2520C">
            <w:pPr>
              <w:rPr>
                <w:color w:val="000000"/>
                <w:sz w:val="24"/>
                <w:szCs w:val="24"/>
              </w:rPr>
            </w:pPr>
            <w:r>
              <w:rPr>
                <w:color w:val="000000"/>
                <w:sz w:val="24"/>
                <w:szCs w:val="24"/>
              </w:rPr>
              <w:t>Виробнича кооперація та спільна реалізація замовлень</w:t>
            </w:r>
          </w:p>
        </w:tc>
      </w:tr>
    </w:tbl>
    <w:p w:rsidR="00151C63" w:rsidRDefault="00151C63" w:rsidP="00151C63">
      <w:pPr>
        <w:spacing w:line="360" w:lineRule="auto"/>
        <w:ind w:firstLine="709"/>
        <w:jc w:val="both"/>
        <w:rPr>
          <w:lang w:val="uk-UA"/>
        </w:rPr>
      </w:pPr>
    </w:p>
    <w:p w:rsidR="00151C63" w:rsidRPr="001B7BDE" w:rsidRDefault="00151C63" w:rsidP="00151C63">
      <w:pPr>
        <w:spacing w:line="360" w:lineRule="auto"/>
        <w:ind w:firstLine="709"/>
        <w:jc w:val="both"/>
      </w:pPr>
      <w:r>
        <w:t>Виробничий процес майстерні організовано за принципом виконання індивідуальних та дрібносерійних замовлень, що зумовлює гнучкість виробництва, але водночас вимагає чіткого обліку кожного замовлення на всіх його етапах. Необхідні матеріали та фурнітуру організація переважно замовляє через мережу Інтернет в онлайн-магазинах, а готову продукцію також відправляє замовникам із використанням засобів дистанційної комунікації та поштово-логістичних сервісів. Таким чином, Інтернет виступає одночасно і каналом постачання ресурсів, і каналом збуту продукції, що підвищує значення надійного інформаційного супроводу цих операцій.</w:t>
      </w:r>
    </w:p>
    <w:p w:rsidR="00151C63" w:rsidRPr="001B7BDE" w:rsidRDefault="00151C63" w:rsidP="00151C63">
      <w:pPr>
        <w:spacing w:line="360" w:lineRule="auto"/>
        <w:ind w:firstLine="709"/>
        <w:jc w:val="both"/>
      </w:pPr>
      <w:r>
        <w:t xml:space="preserve">Організаційна структура майстерні є простою та лінійною, що відповідає невеликому масштабу її діяльності. Загальне керівництво здійснює власник, якому безпосередньо підпорядковані основні напрями роботи: виробничий (закрійники та швачки), напрям постачання й збуту, а також інформаційно-комунікаційний напрям, що охоплює ведення внутрішнього чату й планування </w:t>
      </w:r>
      <w:r>
        <w:lastRenderedPageBreak/>
        <w:t>контенту. Така структура забезпечує швидке ухвалення рішень і прямий контроль з боку керівника, проте водночас концентрує значну частину інформації саме на рівні керівника, що є потенційним ризиком у разі його відсутності. Узагальнено організаційну структуру майстерні наведено на рисунку 2.1.</w:t>
      </w:r>
    </w:p>
    <w:p w:rsidR="00151C63" w:rsidRPr="001B7BDE" w:rsidRDefault="00151C63" w:rsidP="00151C63">
      <w:pPr>
        <w:spacing w:before="120" w:line="360" w:lineRule="auto"/>
        <w:jc w:val="center"/>
      </w:pPr>
      <w:r>
        <w:rPr>
          <w:noProof/>
        </w:rPr>
        <w:drawing>
          <wp:inline distT="0" distB="0" distL="0" distR="0" wp14:anchorId="1B901572" wp14:editId="019367A5">
            <wp:extent cx="4476750" cy="2543175"/>
            <wp:effectExtent l="0" t="0" r="0" b="0"/>
            <wp:docPr id="295760669" name="Рисунок 2.1 – Організаційна структура майстерні «Новий сезон»" descr="Рисунок 2.1 – Організаційна структура майстерні «Новий сезон»" title="Рисунок 2.1 – Організаційна структура майстерні «Новий сез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476750" cy="2543175"/>
                    </a:xfrm>
                    <a:prstGeom prst="rect">
                      <a:avLst/>
                    </a:prstGeom>
                  </pic:spPr>
                </pic:pic>
              </a:graphicData>
            </a:graphic>
          </wp:inline>
        </w:drawing>
      </w:r>
    </w:p>
    <w:p w:rsidR="00151C63" w:rsidRPr="001B7BDE" w:rsidRDefault="00151C63" w:rsidP="00151C63">
      <w:pPr>
        <w:spacing w:after="120" w:line="360" w:lineRule="auto"/>
        <w:jc w:val="center"/>
      </w:pPr>
      <w:r>
        <w:t>Рисунок 2.1 – Організаційна структура майстерні «Новий сезон»</w:t>
      </w:r>
    </w:p>
    <w:p w:rsidR="00151C63" w:rsidRPr="001B7BDE" w:rsidRDefault="00151C63" w:rsidP="00151C63">
      <w:pPr>
        <w:spacing w:line="360" w:lineRule="auto"/>
        <w:ind w:firstLine="709"/>
        <w:jc w:val="both"/>
      </w:pPr>
      <w:r>
        <w:t>Кожен зі структурних напрямів виконує власні функції та бере участь у формуванні інформаційних потоків організації. Виробничий напрям забезпечує безпосереднє виготовлення виробів і є джерелом інформації про стан виконання замовлень, потребу в матеріалах та фактичні витрати ресурсів. Напрям постачання й збуту відповідає за замовлення матеріалів і фурнітури через Інтернет та за відправлення готової продукції, а отже, опрацьовує відомості про постачальників, накладні, терміни доставлення й супровідні документи. Інформаційно-комунікаційний напрям забезпечує внутрішню та зовнішню комунікацію, ведення внутрішнього чату й планування публікацій.</w:t>
      </w:r>
    </w:p>
    <w:p w:rsidR="00151C63" w:rsidRPr="001B7BDE" w:rsidRDefault="00151C63" w:rsidP="00151C63">
      <w:pPr>
        <w:spacing w:line="360" w:lineRule="auto"/>
        <w:ind w:firstLine="709"/>
        <w:jc w:val="both"/>
      </w:pPr>
      <w:r>
        <w:t xml:space="preserve">Важливим елементом внутрішньої взаємодії в майстерні є власний внутрішній чат, у якому працівники публікують поточну інформацію щодо замовлень, постачання матеріалів та організації роботи. Такий канал забезпечує оперативність обміну відомостями й дає змогу швидко доводити необхідні дані до всіх задіяних осіб. Водночас інформація в чаті накопичується у вигляді </w:t>
      </w:r>
      <w:r>
        <w:lastRenderedPageBreak/>
        <w:t>неструктурованого потоку повідомлень, що з часом ускладнює пошук потрібних відомостей та їх повторне використання.</w:t>
      </w:r>
    </w:p>
    <w:p w:rsidR="00151C63" w:rsidRDefault="00151C63" w:rsidP="00151C63">
      <w:pPr>
        <w:spacing w:line="360" w:lineRule="auto"/>
        <w:ind w:firstLine="709"/>
        <w:jc w:val="both"/>
        <w:rPr>
          <w:lang w:val="uk-UA"/>
        </w:rPr>
      </w:pPr>
      <w:r>
        <w:t>Окрему групу інформаційних ресурсів організації становлять документи, що засвідчують її ділову репутацію та результати діяльності: сертифікати й подяки, а також договори про співпрацю з партнерами. Слід зауважити, що безпосередній доступ до текстів договорів про співпрацю обмежений, тому в межах дослідження ці документи розглядаються лише як складова загальної системи документації організації — без аналізу їхнього змісту. Для планування маркетингової діяльності та публікацій майстерня використовує електронну таблицю Google Sheets, у якій ведеться план контенту. Це свідчить про часткове застосування сучасних хмарних інструментів і про готовність організації до подальшої цифровізації окремих ділянок роботи.</w:t>
      </w:r>
    </w:p>
    <w:p w:rsidR="00151C63" w:rsidRDefault="00151C63" w:rsidP="00151C63">
      <w:pPr>
        <w:spacing w:line="360" w:lineRule="auto"/>
        <w:ind w:firstLine="709"/>
        <w:jc w:val="both"/>
        <w:rPr>
          <w:lang w:val="uk-UA"/>
        </w:rPr>
      </w:pPr>
    </w:p>
    <w:p w:rsidR="00151C63" w:rsidRPr="001B7BDE" w:rsidRDefault="00151C63" w:rsidP="00151C63">
      <w:pPr>
        <w:spacing w:line="360" w:lineRule="auto"/>
        <w:ind w:firstLine="709"/>
        <w:jc w:val="both"/>
        <w:rPr>
          <w:lang w:val="uk-UA"/>
        </w:rPr>
      </w:pPr>
    </w:p>
    <w:p w:rsidR="00151C63" w:rsidRPr="001B7BDE" w:rsidRDefault="00151C63" w:rsidP="00151C63">
      <w:pPr>
        <w:spacing w:before="240" w:line="360" w:lineRule="auto"/>
        <w:ind w:firstLine="709"/>
      </w:pPr>
      <w:r>
        <w:rPr>
          <w:b/>
          <w:bCs/>
        </w:rPr>
        <w:t>2.2. Характеристика інформаційних потоків та ресурсів організації</w:t>
      </w:r>
    </w:p>
    <w:p w:rsidR="00151C63" w:rsidRPr="001B7BDE" w:rsidRDefault="00151C63" w:rsidP="00151C63">
      <w:pPr>
        <w:spacing w:line="360" w:lineRule="auto"/>
        <w:ind w:firstLine="709"/>
        <w:jc w:val="both"/>
      </w:pPr>
      <w:r>
        <w:t>Інформаційне забезпечення діяльності будь-якої організації являє собою сукупність інформаційних ресурсів, потоків, каналів і засобів, що забезпечують збирання, опрацювання, зберігання та передавання відомостей, необхідних для прийняття управлінських і виробничих рішень [19; 9]. Стосовно майстерні «Новий сезон» інформаційне забезпечення доцільно розглядати у трьох взаємопов’язаних вимірах: інформаційні потоки (рух відомостей), інформаційні ресурси (самі відомості та документи) і засоби та канали роботи з інформацією.</w:t>
      </w:r>
    </w:p>
    <w:p w:rsidR="00151C63" w:rsidRPr="001B7BDE" w:rsidRDefault="00151C63" w:rsidP="00151C63">
      <w:pPr>
        <w:spacing w:line="360" w:lineRule="auto"/>
        <w:ind w:firstLine="709"/>
        <w:jc w:val="both"/>
      </w:pPr>
      <w:r>
        <w:t>За напрямом руху інформаційні потоки майстерні поділяються на зовнішні та внутрішні. Зовнішні потоки пов’язані із взаємодією організації з її оточенням: постачальниками матеріалів і фурнітури (переважно онлайн-магазинами), партнерами, замовниками, а також поштово-логістичними сервісами, через які здійснюється відправлення продукції [17]. Внутрішні потоки забезпечують узгодженість роботи всередині організації та реалізуються через внутрішній чат, усне спілкування й паперовий облік у блокноті. Узагальнену схему інформаційних потоків майстерні наведено на рисунку 2.2.</w:t>
      </w:r>
    </w:p>
    <w:p w:rsidR="00151C63" w:rsidRPr="001B7BDE" w:rsidRDefault="00151C63" w:rsidP="00151C63">
      <w:pPr>
        <w:spacing w:before="120" w:line="360" w:lineRule="auto"/>
        <w:jc w:val="center"/>
      </w:pPr>
      <w:r>
        <w:rPr>
          <w:noProof/>
        </w:rPr>
        <w:lastRenderedPageBreak/>
        <w:drawing>
          <wp:inline distT="0" distB="0" distL="0" distR="0" wp14:anchorId="0EFBE562" wp14:editId="709B9C2B">
            <wp:extent cx="4381500" cy="2254469"/>
            <wp:effectExtent l="0" t="0" r="0" b="6350"/>
            <wp:docPr id="1698353104" name="Рисунок 2.2 – Схема інформаційних потоків майстерні «Новий сезон»" descr="Рисунок 2.2 – Схема інформаційних потоків майстерні «Новий сезон»" title="Рисунок 2.2 – Схема інформаційних потоків майстерні «Новий сез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0"/>
                    <a:srcRect b="17242"/>
                    <a:stretch>
                      <a:fillRect/>
                    </a:stretch>
                  </pic:blipFill>
                  <pic:spPr bwMode="auto">
                    <a:xfrm>
                      <a:off x="0" y="0"/>
                      <a:ext cx="4381500" cy="2254469"/>
                    </a:xfrm>
                    <a:prstGeom prst="rect">
                      <a:avLst/>
                    </a:prstGeom>
                    <a:ln>
                      <a:noFill/>
                    </a:ln>
                    <a:extLst>
                      <a:ext uri="{53640926-AAD7-44D8-BBD7-CCE9431645EC}">
                        <a14:shadowObscured xmlns:a14="http://schemas.microsoft.com/office/drawing/2010/main"/>
                      </a:ext>
                    </a:extLst>
                  </pic:spPr>
                </pic:pic>
              </a:graphicData>
            </a:graphic>
          </wp:inline>
        </w:drawing>
      </w:r>
    </w:p>
    <w:p w:rsidR="00151C63" w:rsidRPr="001B7BDE" w:rsidRDefault="00151C63" w:rsidP="00151C63">
      <w:pPr>
        <w:spacing w:after="120" w:line="360" w:lineRule="auto"/>
        <w:jc w:val="center"/>
      </w:pPr>
      <w:r>
        <w:t>Рисунок 2.2 – Схема інформаційних потоків майстерні «Новий сезон»</w:t>
      </w:r>
    </w:p>
    <w:p w:rsidR="00151C63" w:rsidRPr="00146B2D" w:rsidRDefault="00151C63" w:rsidP="00151C63">
      <w:pPr>
        <w:spacing w:line="360" w:lineRule="auto"/>
        <w:ind w:firstLine="709"/>
        <w:rPr>
          <w:lang w:val="uk-UA"/>
        </w:rPr>
      </w:pPr>
      <w:r>
        <w:rPr>
          <w:lang w:val="uk-UA"/>
        </w:rPr>
        <w:t>Аналіз інформаційних потоків засвідчує, що значна їх частина має неформалізований характер. Багато відомостей передається усно під час особистого спілкування або у вигляді коротких повідомлень у месенджерах і корпоративних чатах без подальшого документального закріплення. Такий підхід є характерним для малих підприємств, де комунікація здійснюється безпосередньо між учасниками робочого процесу та не потребує складних процедур погодження. Неформальні канали обміну інформацією забезпечують високу швидкість реагування на поточні виробничі завдання, дозволяють оперативно вирішувати організаційні питання та швидко координувати діяльність працівників.</w:t>
      </w:r>
    </w:p>
    <w:p w:rsidR="00151C63" w:rsidRPr="00146B2D" w:rsidRDefault="00151C63" w:rsidP="00151C63">
      <w:pPr>
        <w:spacing w:line="360" w:lineRule="auto"/>
        <w:ind w:firstLine="709"/>
        <w:rPr>
          <w:lang w:val="uk-UA"/>
        </w:rPr>
      </w:pPr>
      <w:r>
        <w:rPr>
          <w:lang w:val="uk-UA"/>
        </w:rPr>
        <w:t>Водночас значна частка неформалізованих комунікацій створює певні ризики для інформаційного забезпечення діяльності організації. Відсутність чіткої фіксації отриманих відомостей може призводити до втрати важливої інформації, виникнення непорозумінь між працівниками, дублювання виконуваних завдань або викривлення змісту повідомлень під час їх передавання. Крім того, надмірна залежність від усних комунікацій підвищує залежність окремих бізнес-процесів від конкретних працівників, що може негативно вплинути на безперервність діяльності у випадку їхньої відсутності.</w:t>
      </w:r>
    </w:p>
    <w:p w:rsidR="00151C63" w:rsidRPr="00146B2D" w:rsidRDefault="00151C63" w:rsidP="00151C63">
      <w:pPr>
        <w:spacing w:line="360" w:lineRule="auto"/>
        <w:ind w:firstLine="709"/>
        <w:rPr>
          <w:lang w:val="uk-UA"/>
        </w:rPr>
      </w:pPr>
      <w:r>
        <w:rPr>
          <w:lang w:val="uk-UA"/>
        </w:rPr>
        <w:t xml:space="preserve">У діяльності майстерні циркулюють різні види інформації та документів, які забезпечують виконання виробничих, організаційних, маркетингових і комунікаційних функцій. До них належать документи щодо прийому та </w:t>
      </w:r>
      <w:r>
        <w:rPr>
          <w:lang w:val="uk-UA"/>
        </w:rPr>
        <w:lastRenderedPageBreak/>
        <w:t>виконання замовлень, фінансово-облікова документація, рекламно-інформаційні матеріали, відгуки клієнтів, фотоматеріали виконаних робіт, сертифікати, дипломи та інші документи, що підтверджують професійний рівень майстерні. Кожен із зазначених видів інформації має власне призначення, форму фіксації, термін використання та значення для забезпечення ефективної діяльності організації.</w:t>
      </w:r>
    </w:p>
    <w:p w:rsidR="00151C63" w:rsidRDefault="00151C63" w:rsidP="00151C63">
      <w:pPr>
        <w:spacing w:line="360" w:lineRule="auto"/>
        <w:ind w:firstLine="709"/>
        <w:rPr>
          <w:lang w:val="uk-UA"/>
        </w:rPr>
      </w:pPr>
      <w:r>
        <w:rPr>
          <w:lang w:val="uk-UA"/>
        </w:rPr>
        <w:t>З метою систематизації інформаційних ресурсів та визначення їх ролі в діяльності майстерні проведено узагальнення основних видів інформації та документів. Систематизовану характеристику цих видів подано в таблиці 2.2. Її аналіз дає змогу побачити, що організація працює з різнорідною інформацією — від оперативних виробничих відомостей до документів тривалого зберігання, які підтверджують якість послуг, професійну репутацію та результати діяльності майстерні [3; 25].</w:t>
      </w:r>
    </w:p>
    <w:p w:rsidR="00151C63" w:rsidRPr="002628AE" w:rsidRDefault="00151C63" w:rsidP="00151C63">
      <w:pPr>
        <w:spacing w:line="360" w:lineRule="auto"/>
        <w:ind w:firstLine="709"/>
        <w:jc w:val="center"/>
        <w:rPr>
          <w:lang w:val="uk-UA"/>
        </w:rPr>
      </w:pPr>
      <w:r>
        <w:rPr>
          <w:lang w:val="uk-UA"/>
        </w:rPr>
        <w:br/>
      </w:r>
      <w:r>
        <w:t>Таблиця 2.2 – Характеристика основних видів інформації та документів майстерні</w:t>
      </w:r>
    </w:p>
    <w:tbl>
      <w:tblPr>
        <w:tblW w:w="0" w:type="auto"/>
        <w:tblCellSpacing w:w="15" w:type="dxa"/>
        <w:tblBorders>
          <w:top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0"/>
        <w:gridCol w:w="2780"/>
        <w:gridCol w:w="6393"/>
      </w:tblGrid>
      <w:tr w:rsidR="00151C63" w:rsidRPr="002628AE" w:rsidTr="00D2520C">
        <w:trPr>
          <w:tblHeader/>
          <w:tblCellSpacing w:w="15" w:type="dxa"/>
        </w:trPr>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 з/п</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Інформаційний ресурс</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Особливості обліку та зберігання</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1</w:t>
            </w:r>
          </w:p>
        </w:tc>
        <w:tc>
          <w:tcPr>
            <w:tcW w:w="0" w:type="auto"/>
            <w:vAlign w:val="center"/>
            <w:hideMark/>
          </w:tcPr>
          <w:p w:rsidR="00151C63" w:rsidRPr="002628AE" w:rsidRDefault="00151C63" w:rsidP="00D2520C">
            <w:pPr>
              <w:rPr>
                <w:color w:val="000000"/>
                <w:sz w:val="24"/>
                <w:szCs w:val="24"/>
              </w:rPr>
            </w:pPr>
            <w:r>
              <w:rPr>
                <w:color w:val="000000"/>
                <w:sz w:val="24"/>
                <w:szCs w:val="24"/>
              </w:rPr>
              <w:t>Замовлення та виробничі завдання</w:t>
            </w:r>
          </w:p>
        </w:tc>
        <w:tc>
          <w:tcPr>
            <w:tcW w:w="0" w:type="auto"/>
            <w:vAlign w:val="center"/>
            <w:hideMark/>
          </w:tcPr>
          <w:p w:rsidR="00151C63" w:rsidRPr="002628AE" w:rsidRDefault="00151C63" w:rsidP="00D2520C">
            <w:pPr>
              <w:rPr>
                <w:color w:val="000000"/>
                <w:sz w:val="24"/>
                <w:szCs w:val="24"/>
              </w:rPr>
            </w:pPr>
            <w:r>
              <w:rPr>
                <w:color w:val="000000"/>
                <w:sz w:val="24"/>
                <w:szCs w:val="24"/>
              </w:rPr>
              <w:t>Містять інформацію про асортимент продукції, обсяги виробництва та строки виконання замовлень. Облік здійснюється у паперовому вигляді з дублюванням у внутрішніх каналах комунікації</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2</w:t>
            </w:r>
          </w:p>
        </w:tc>
        <w:tc>
          <w:tcPr>
            <w:tcW w:w="0" w:type="auto"/>
            <w:vAlign w:val="center"/>
            <w:hideMark/>
          </w:tcPr>
          <w:p w:rsidR="00151C63" w:rsidRPr="002628AE" w:rsidRDefault="00151C63" w:rsidP="00D2520C">
            <w:pPr>
              <w:rPr>
                <w:color w:val="000000"/>
                <w:sz w:val="24"/>
                <w:szCs w:val="24"/>
              </w:rPr>
            </w:pPr>
            <w:r>
              <w:rPr>
                <w:color w:val="000000"/>
                <w:sz w:val="24"/>
                <w:szCs w:val="24"/>
              </w:rPr>
              <w:t>Дані щодо постачання матеріалів та фурнітури</w:t>
            </w:r>
          </w:p>
        </w:tc>
        <w:tc>
          <w:tcPr>
            <w:tcW w:w="0" w:type="auto"/>
            <w:vAlign w:val="center"/>
            <w:hideMark/>
          </w:tcPr>
          <w:p w:rsidR="00151C63" w:rsidRPr="002628AE" w:rsidRDefault="00151C63" w:rsidP="00D2520C">
            <w:pPr>
              <w:rPr>
                <w:color w:val="000000"/>
                <w:sz w:val="24"/>
                <w:szCs w:val="24"/>
              </w:rPr>
            </w:pPr>
            <w:r>
              <w:rPr>
                <w:color w:val="000000"/>
                <w:sz w:val="24"/>
                <w:szCs w:val="24"/>
              </w:rPr>
              <w:t>Включають інформацію про закупівлі, накладні та супровідну документацію. Зберігаються у паперовій та електронній формах</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3</w:t>
            </w:r>
          </w:p>
        </w:tc>
        <w:tc>
          <w:tcPr>
            <w:tcW w:w="0" w:type="auto"/>
            <w:vAlign w:val="center"/>
            <w:hideMark/>
          </w:tcPr>
          <w:p w:rsidR="00151C63" w:rsidRPr="002628AE" w:rsidRDefault="00151C63" w:rsidP="00D2520C">
            <w:pPr>
              <w:rPr>
                <w:color w:val="000000"/>
                <w:sz w:val="24"/>
                <w:szCs w:val="24"/>
              </w:rPr>
            </w:pPr>
            <w:r>
              <w:rPr>
                <w:color w:val="000000"/>
                <w:sz w:val="24"/>
                <w:szCs w:val="24"/>
              </w:rPr>
              <w:t>Документація з питань співпраці</w:t>
            </w:r>
          </w:p>
        </w:tc>
        <w:tc>
          <w:tcPr>
            <w:tcW w:w="0" w:type="auto"/>
            <w:vAlign w:val="center"/>
            <w:hideMark/>
          </w:tcPr>
          <w:p w:rsidR="00151C63" w:rsidRPr="002628AE" w:rsidRDefault="00151C63" w:rsidP="00D2520C">
            <w:pPr>
              <w:rPr>
                <w:color w:val="000000"/>
                <w:sz w:val="24"/>
                <w:szCs w:val="24"/>
              </w:rPr>
            </w:pPr>
            <w:r>
              <w:rPr>
                <w:color w:val="000000"/>
                <w:sz w:val="24"/>
                <w:szCs w:val="24"/>
              </w:rPr>
              <w:t>Охоплює договори та інші документи, що регламентують взаємодію з партнерами. Доступ до інформації обмежений та здійснюється відповідальними особами</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4</w:t>
            </w:r>
          </w:p>
        </w:tc>
        <w:tc>
          <w:tcPr>
            <w:tcW w:w="0" w:type="auto"/>
            <w:vAlign w:val="center"/>
            <w:hideMark/>
          </w:tcPr>
          <w:p w:rsidR="00151C63" w:rsidRPr="002628AE" w:rsidRDefault="00151C63" w:rsidP="00D2520C">
            <w:pPr>
              <w:rPr>
                <w:color w:val="000000"/>
                <w:sz w:val="24"/>
                <w:szCs w:val="24"/>
              </w:rPr>
            </w:pPr>
            <w:r>
              <w:rPr>
                <w:color w:val="000000"/>
                <w:sz w:val="24"/>
                <w:szCs w:val="24"/>
              </w:rPr>
              <w:t>Сертифікати, подяки та підтверджувальні документи</w:t>
            </w:r>
          </w:p>
        </w:tc>
        <w:tc>
          <w:tcPr>
            <w:tcW w:w="0" w:type="auto"/>
            <w:vAlign w:val="center"/>
            <w:hideMark/>
          </w:tcPr>
          <w:p w:rsidR="00151C63" w:rsidRPr="002628AE" w:rsidRDefault="00151C63" w:rsidP="00D2520C">
            <w:pPr>
              <w:rPr>
                <w:color w:val="000000"/>
                <w:sz w:val="24"/>
                <w:szCs w:val="24"/>
              </w:rPr>
            </w:pPr>
            <w:r>
              <w:rPr>
                <w:color w:val="000000"/>
                <w:sz w:val="24"/>
                <w:szCs w:val="24"/>
              </w:rPr>
              <w:t>Використовуються для підтвердження результатів діяльності та формування позитивної репутації підприємства. Зберігаються переважно в паперовому архіві</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5</w:t>
            </w:r>
          </w:p>
        </w:tc>
        <w:tc>
          <w:tcPr>
            <w:tcW w:w="0" w:type="auto"/>
            <w:vAlign w:val="center"/>
            <w:hideMark/>
          </w:tcPr>
          <w:p w:rsidR="00151C63" w:rsidRPr="002628AE" w:rsidRDefault="00151C63" w:rsidP="00D2520C">
            <w:pPr>
              <w:rPr>
                <w:color w:val="000000"/>
                <w:sz w:val="24"/>
                <w:szCs w:val="24"/>
              </w:rPr>
            </w:pPr>
            <w:r>
              <w:rPr>
                <w:color w:val="000000"/>
                <w:sz w:val="24"/>
                <w:szCs w:val="24"/>
              </w:rPr>
              <w:t>Маркетингова та контентна інформація</w:t>
            </w:r>
          </w:p>
        </w:tc>
        <w:tc>
          <w:tcPr>
            <w:tcW w:w="0" w:type="auto"/>
            <w:vAlign w:val="center"/>
            <w:hideMark/>
          </w:tcPr>
          <w:p w:rsidR="00151C63" w:rsidRPr="002628AE" w:rsidRDefault="00151C63" w:rsidP="00D2520C">
            <w:pPr>
              <w:rPr>
                <w:color w:val="000000"/>
                <w:sz w:val="24"/>
                <w:szCs w:val="24"/>
              </w:rPr>
            </w:pPr>
            <w:r>
              <w:rPr>
                <w:color w:val="000000"/>
                <w:sz w:val="24"/>
                <w:szCs w:val="24"/>
              </w:rPr>
              <w:t>Включає плани публікацій, матеріали для соціальних мереж та іншу комунікаційну документацію. Облік ведеться за допомогою цифрових сервісів</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6</w:t>
            </w:r>
          </w:p>
        </w:tc>
        <w:tc>
          <w:tcPr>
            <w:tcW w:w="0" w:type="auto"/>
            <w:vAlign w:val="center"/>
            <w:hideMark/>
          </w:tcPr>
          <w:p w:rsidR="00151C63" w:rsidRPr="002628AE" w:rsidRDefault="00151C63" w:rsidP="00D2520C">
            <w:pPr>
              <w:rPr>
                <w:color w:val="000000"/>
                <w:sz w:val="24"/>
                <w:szCs w:val="24"/>
              </w:rPr>
            </w:pPr>
            <w:r>
              <w:rPr>
                <w:color w:val="000000"/>
                <w:sz w:val="24"/>
                <w:szCs w:val="24"/>
              </w:rPr>
              <w:t>Поточна організаційна інформація</w:t>
            </w:r>
          </w:p>
        </w:tc>
        <w:tc>
          <w:tcPr>
            <w:tcW w:w="0" w:type="auto"/>
            <w:vAlign w:val="center"/>
            <w:hideMark/>
          </w:tcPr>
          <w:p w:rsidR="00151C63" w:rsidRPr="002628AE" w:rsidRDefault="00151C63" w:rsidP="00D2520C">
            <w:pPr>
              <w:rPr>
                <w:color w:val="000000"/>
                <w:sz w:val="24"/>
                <w:szCs w:val="24"/>
              </w:rPr>
            </w:pPr>
            <w:r>
              <w:rPr>
                <w:color w:val="000000"/>
                <w:sz w:val="24"/>
                <w:szCs w:val="24"/>
              </w:rPr>
              <w:t>Містить робочі завдання, повідомлення та домовленості між працівниками. Передача інформації здійснюється через усні комунікації та внутрішні цифрові канали зв'язку</w:t>
            </w:r>
          </w:p>
        </w:tc>
      </w:tr>
    </w:tbl>
    <w:p w:rsidR="00151C63" w:rsidRPr="001B7BDE" w:rsidRDefault="00151C63" w:rsidP="00151C63">
      <w:pPr>
        <w:spacing w:line="360" w:lineRule="auto"/>
        <w:ind w:firstLine="709"/>
        <w:jc w:val="both"/>
      </w:pPr>
      <w:r>
        <w:lastRenderedPageBreak/>
        <w:t>Засоби й канали роботи з інформацією в майстерні також є різнорідними. До основних належать: паперовий блокнот, у якому ведеться облік замовлень і робіт; внутрішній чат у месенджері як канал оперативної комунікації; електронна таблиця Google Sheets для планування контенту; телефонний зв’язок та електронна пошта для взаємодії з постачальниками й замовниками; вебсайти онлайн-магазинів і поштово-логістичних сервісів. Таке поєднання паперових та електронних засобів є типовим для невеликих організацій і відображає поступовий, частковий перехід до цифрових інструментів.</w:t>
      </w:r>
    </w:p>
    <w:p w:rsidR="00151C63" w:rsidRDefault="00151C63" w:rsidP="00151C63">
      <w:pPr>
        <w:spacing w:line="360" w:lineRule="auto"/>
        <w:ind w:firstLine="709"/>
        <w:jc w:val="both"/>
        <w:rPr>
          <w:lang w:val="uk-UA"/>
        </w:rPr>
      </w:pPr>
      <w:r>
        <w:t>Загалом аналіз інформаційних потоків і ресурсів показує, що майстерня має достатній набір каналів для забезпечення своєї діяльності, проте ці канали слабко інтегровані між собою. Відомості зберігаються розрізнено — частина в блокноті, частина в чаті, частина в електронній таблиці, — що ускладнює формування цілісної картини стану справ і потребує впорядкування. Саме це визначає доцільність детальнішого аналізу документообігу та системи зберігання інформації.</w:t>
      </w:r>
    </w:p>
    <w:p w:rsidR="00151C63" w:rsidRDefault="00151C63" w:rsidP="00151C63">
      <w:pPr>
        <w:spacing w:line="360" w:lineRule="auto"/>
        <w:ind w:firstLine="709"/>
        <w:jc w:val="both"/>
        <w:rPr>
          <w:lang w:val="uk-UA"/>
        </w:rPr>
      </w:pPr>
    </w:p>
    <w:p w:rsidR="00151C63" w:rsidRPr="001B7BDE" w:rsidRDefault="00151C63" w:rsidP="00151C63">
      <w:pPr>
        <w:spacing w:line="360" w:lineRule="auto"/>
        <w:ind w:firstLine="709"/>
        <w:jc w:val="both"/>
        <w:rPr>
          <w:lang w:val="uk-UA"/>
        </w:rPr>
      </w:pPr>
    </w:p>
    <w:p w:rsidR="00151C63" w:rsidRPr="001B7BDE" w:rsidRDefault="00151C63" w:rsidP="00151C63">
      <w:pPr>
        <w:spacing w:before="240" w:line="360" w:lineRule="auto"/>
        <w:ind w:firstLine="709"/>
      </w:pPr>
      <w:r>
        <w:rPr>
          <w:b/>
          <w:bCs/>
        </w:rPr>
        <w:t>2.3. Аналіз сучасного стану документообігу та системи зберігання інформації</w:t>
      </w:r>
    </w:p>
    <w:p w:rsidR="00151C63" w:rsidRPr="001B7BDE" w:rsidRDefault="00151C63" w:rsidP="00151C63">
      <w:pPr>
        <w:spacing w:line="360" w:lineRule="auto"/>
        <w:ind w:firstLine="709"/>
        <w:jc w:val="both"/>
      </w:pPr>
      <w:r>
        <w:t>Документообіг є важливою складовою інформаційного забезпечення організації та охоплює рух документів і відомостей від моменту їх створення або надходження до завершення опрацювання й передавання на зберігання [8; 12]. У майстерні «Новий сезон» документообіг має переважно паперовий характер з окремими елементами електронного ведення, що зумовлено невеликим масштабом діяльності та особливостями умов функціонування організації.</w:t>
      </w:r>
    </w:p>
    <w:p w:rsidR="00151C63" w:rsidRPr="001B7BDE" w:rsidRDefault="00151C63" w:rsidP="00151C63">
      <w:pPr>
        <w:spacing w:line="360" w:lineRule="auto"/>
        <w:ind w:firstLine="709"/>
        <w:jc w:val="both"/>
      </w:pPr>
      <w:r>
        <w:t xml:space="preserve">Рух інформації в майстерні умовно охоплює кілька послідовних етапів: надходження або створення інформації (нове замовлення, дані про постачання, домовленість із партнером); фіксація цієї інформації у блокноті та (частково) у внутрішньому чаті; опрацювання й виконання, що супроводжується уточненням і доповненням відомостей; зберігання документів і записів; а також архівування </w:t>
      </w:r>
      <w:r>
        <w:lastRenderedPageBreak/>
        <w:t>та можливе повторне використання відомостей у подальшій роботі [1]. Узагальнену схему руху документів та інформації наведено на рисунку 2.3.</w:t>
      </w:r>
    </w:p>
    <w:p w:rsidR="00151C63" w:rsidRPr="001B7BDE" w:rsidRDefault="00151C63" w:rsidP="00151C63">
      <w:pPr>
        <w:spacing w:before="120" w:line="360" w:lineRule="auto"/>
        <w:jc w:val="center"/>
      </w:pPr>
      <w:r>
        <w:rPr>
          <w:noProof/>
        </w:rPr>
        <w:drawing>
          <wp:inline distT="0" distB="0" distL="0" distR="0" wp14:anchorId="1CC31279" wp14:editId="02A87CF5">
            <wp:extent cx="4572000" cy="1809750"/>
            <wp:effectExtent l="0" t="0" r="0" b="0"/>
            <wp:docPr id="576718488" name="Рисунок 2.3 – Узагальнена схема руху документів та інформації в майстерні" descr="Рисунок 2.3 – Узагальнена схема руху документів та інформації в майстерні" title="Рисунок 2.3 – Узагальнена схема руху документів та інформації в майстер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572000" cy="1809750"/>
                    </a:xfrm>
                    <a:prstGeom prst="rect">
                      <a:avLst/>
                    </a:prstGeom>
                  </pic:spPr>
                </pic:pic>
              </a:graphicData>
            </a:graphic>
          </wp:inline>
        </w:drawing>
      </w:r>
    </w:p>
    <w:p w:rsidR="00151C63" w:rsidRPr="001B7BDE" w:rsidRDefault="00151C63" w:rsidP="00151C63">
      <w:pPr>
        <w:spacing w:after="120" w:line="360" w:lineRule="auto"/>
        <w:jc w:val="center"/>
      </w:pPr>
      <w:r>
        <w:t>Рисунок 2.3 – Узагальнена схема руху документів та інформації в майстерні</w:t>
      </w:r>
    </w:p>
    <w:p w:rsidR="00151C63" w:rsidRPr="001B7BDE" w:rsidRDefault="00151C63" w:rsidP="00151C63">
      <w:pPr>
        <w:spacing w:line="360" w:lineRule="auto"/>
        <w:ind w:firstLine="709"/>
        <w:jc w:val="both"/>
      </w:pPr>
      <w:r>
        <w:t>Ключовою особливістю наявної системи є те, що основним носієм облікової інформації залишається паперовий блокнот, у якому записи структуровані за часом. Хронологічний принцип ведення обліку має очевидні переваги: він відображає природну послідовність подій, дає змогу простежити перебіг робіт у часі та є інтуїтивно зрозумілим для працівників. Водночас такий принцип має й суттєві обмеження: пошук конкретної інформації (наприклад, усіх замовлень певного партнера або залишків певного виду фурнітури) потребує перегляду значної кількості записів, а узагальнення даних доводиться виконувати вручну.</w:t>
      </w:r>
    </w:p>
    <w:p w:rsidR="00151C63" w:rsidRDefault="00151C63" w:rsidP="00151C63">
      <w:pPr>
        <w:spacing w:before="160" w:after="60" w:line="360" w:lineRule="auto"/>
        <w:ind w:firstLine="709"/>
        <w:jc w:val="both"/>
      </w:pPr>
      <w:r>
        <w:t>Частина відомостей дублюється у внутрішньому чаті, а маркетингова інформація ведеться в електронній таблиці Google Sheets. Такий підхід дозволяє працівникам швидко отримувати доступ до необхідних даних та оперативно обмінюватися актуальною інформацією. Водночас використання різних каналів і форматів зберігання даних ускладнює централізований контроль за інформаційними ресурсами та підвищує ймовірність виникнення розбіжностей між окремими джерелами інформації. Крім того, відсутність єдиного цифрового середовища для зберігання та обробки даних може негативно впливати на швидкість пошуку необхідних відомостей і ефективність управлінських рішень.</w:t>
      </w:r>
    </w:p>
    <w:p w:rsidR="00151C63" w:rsidRDefault="00151C63" w:rsidP="00151C63">
      <w:pPr>
        <w:spacing w:before="160" w:after="60" w:line="360" w:lineRule="auto"/>
        <w:ind w:firstLine="709"/>
        <w:jc w:val="both"/>
        <w:rPr>
          <w:lang w:val="uk-UA"/>
        </w:rPr>
      </w:pPr>
      <w:r>
        <w:t xml:space="preserve">Отже, у майстерні фактично співіснують дві паралельні форми фіксації інформації — паперова та електронна, — які, однак, не утворюють єдиної </w:t>
      </w:r>
      <w:r>
        <w:lastRenderedPageBreak/>
        <w:t>системи й не синхронізуються між собою автоматично. Для порівняння цих двох форм за основними критеріями доцільно скористатися даними таблиці 2.3.</w:t>
      </w:r>
    </w:p>
    <w:p w:rsidR="00151C63" w:rsidRPr="002628AE" w:rsidRDefault="00151C63" w:rsidP="00151C63">
      <w:pPr>
        <w:spacing w:before="160" w:after="60" w:line="360" w:lineRule="auto"/>
        <w:ind w:firstLine="709"/>
        <w:jc w:val="center"/>
        <w:rPr>
          <w:lang w:val="uk-UA"/>
        </w:rPr>
      </w:pPr>
      <w:r>
        <w:t>Таблиця 2.3 – Порівняння паперової та електронної форм ведення інформації в майстерні</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7"/>
        <w:gridCol w:w="3235"/>
        <w:gridCol w:w="3916"/>
      </w:tblGrid>
      <w:tr w:rsidR="00151C63" w:rsidRPr="00146B2D" w:rsidTr="00D2520C">
        <w:trPr>
          <w:tblHeader/>
          <w:tblCellSpacing w:w="15" w:type="dxa"/>
        </w:trPr>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Критерій оцінювання</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Паперова форма зберігання</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Електронна форма зберігання</w:t>
            </w:r>
          </w:p>
        </w:tc>
      </w:tr>
      <w:tr w:rsidR="00151C63" w:rsidRPr="002628AE" w:rsidTr="00D2520C">
        <w:trPr>
          <w:tblCellSpacing w:w="15" w:type="dxa"/>
        </w:trPr>
        <w:tc>
          <w:tcPr>
            <w:tcW w:w="0" w:type="auto"/>
            <w:vAlign w:val="center"/>
            <w:hideMark/>
          </w:tcPr>
          <w:p w:rsidR="00151C63" w:rsidRPr="002628AE" w:rsidRDefault="00151C63" w:rsidP="00D2520C">
            <w:pPr>
              <w:rPr>
                <w:color w:val="000000"/>
                <w:sz w:val="24"/>
                <w:szCs w:val="24"/>
              </w:rPr>
            </w:pPr>
            <w:r>
              <w:rPr>
                <w:color w:val="000000"/>
                <w:sz w:val="24"/>
                <w:szCs w:val="24"/>
              </w:rPr>
              <w:t>Оперативність доступу до інформації</w:t>
            </w:r>
          </w:p>
        </w:tc>
        <w:tc>
          <w:tcPr>
            <w:tcW w:w="0" w:type="auto"/>
            <w:vAlign w:val="center"/>
            <w:hideMark/>
          </w:tcPr>
          <w:p w:rsidR="00151C63" w:rsidRPr="002628AE" w:rsidRDefault="00151C63" w:rsidP="00D2520C">
            <w:pPr>
              <w:rPr>
                <w:color w:val="000000"/>
                <w:sz w:val="24"/>
                <w:szCs w:val="24"/>
              </w:rPr>
            </w:pPr>
            <w:r>
              <w:rPr>
                <w:color w:val="000000"/>
                <w:sz w:val="24"/>
                <w:szCs w:val="24"/>
              </w:rPr>
              <w:t>Пошук здійснюється вручну, що потребує додаткових часових витрат</w:t>
            </w:r>
          </w:p>
        </w:tc>
        <w:tc>
          <w:tcPr>
            <w:tcW w:w="0" w:type="auto"/>
            <w:vAlign w:val="center"/>
            <w:hideMark/>
          </w:tcPr>
          <w:p w:rsidR="00151C63" w:rsidRPr="002628AE" w:rsidRDefault="00151C63" w:rsidP="00D2520C">
            <w:pPr>
              <w:rPr>
                <w:color w:val="000000"/>
                <w:sz w:val="24"/>
                <w:szCs w:val="24"/>
              </w:rPr>
            </w:pPr>
            <w:r>
              <w:rPr>
                <w:color w:val="000000"/>
                <w:sz w:val="24"/>
                <w:szCs w:val="24"/>
              </w:rPr>
              <w:t>Забезпечує швидкий доступ завдяки використанню пошуку та систематизації даних</w:t>
            </w:r>
          </w:p>
        </w:tc>
      </w:tr>
      <w:tr w:rsidR="00151C63" w:rsidRPr="002628AE" w:rsidTr="00D2520C">
        <w:trPr>
          <w:tblCellSpacing w:w="15" w:type="dxa"/>
        </w:trPr>
        <w:tc>
          <w:tcPr>
            <w:tcW w:w="0" w:type="auto"/>
            <w:vAlign w:val="center"/>
            <w:hideMark/>
          </w:tcPr>
          <w:p w:rsidR="00151C63" w:rsidRPr="002628AE" w:rsidRDefault="00151C63" w:rsidP="00D2520C">
            <w:pPr>
              <w:rPr>
                <w:color w:val="000000"/>
                <w:sz w:val="24"/>
                <w:szCs w:val="24"/>
              </w:rPr>
            </w:pPr>
            <w:r>
              <w:rPr>
                <w:color w:val="000000"/>
                <w:sz w:val="24"/>
                <w:szCs w:val="24"/>
              </w:rPr>
              <w:t>Автономність використання</w:t>
            </w:r>
          </w:p>
        </w:tc>
        <w:tc>
          <w:tcPr>
            <w:tcW w:w="0" w:type="auto"/>
            <w:vAlign w:val="center"/>
            <w:hideMark/>
          </w:tcPr>
          <w:p w:rsidR="00151C63" w:rsidRPr="002628AE" w:rsidRDefault="00151C63" w:rsidP="00D2520C">
            <w:pPr>
              <w:rPr>
                <w:color w:val="000000"/>
                <w:sz w:val="24"/>
                <w:szCs w:val="24"/>
              </w:rPr>
            </w:pPr>
            <w:r>
              <w:rPr>
                <w:color w:val="000000"/>
                <w:sz w:val="24"/>
                <w:szCs w:val="24"/>
              </w:rPr>
              <w:t>Не залежить від наявності електроенергії та технічних засобів</w:t>
            </w:r>
          </w:p>
        </w:tc>
        <w:tc>
          <w:tcPr>
            <w:tcW w:w="0" w:type="auto"/>
            <w:vAlign w:val="center"/>
            <w:hideMark/>
          </w:tcPr>
          <w:p w:rsidR="00151C63" w:rsidRPr="002628AE" w:rsidRDefault="00151C63" w:rsidP="00D2520C">
            <w:pPr>
              <w:rPr>
                <w:color w:val="000000"/>
                <w:sz w:val="24"/>
                <w:szCs w:val="24"/>
              </w:rPr>
            </w:pPr>
            <w:r>
              <w:rPr>
                <w:color w:val="000000"/>
                <w:sz w:val="24"/>
                <w:szCs w:val="24"/>
              </w:rPr>
              <w:t>Потребує технічного забезпечення та доступу до електронних ресурсів</w:t>
            </w:r>
          </w:p>
        </w:tc>
      </w:tr>
      <w:tr w:rsidR="00151C63" w:rsidRPr="002628AE" w:rsidTr="00D2520C">
        <w:trPr>
          <w:tblCellSpacing w:w="15" w:type="dxa"/>
        </w:trPr>
        <w:tc>
          <w:tcPr>
            <w:tcW w:w="0" w:type="auto"/>
            <w:vAlign w:val="center"/>
            <w:hideMark/>
          </w:tcPr>
          <w:p w:rsidR="00151C63" w:rsidRPr="002628AE" w:rsidRDefault="00151C63" w:rsidP="00D2520C">
            <w:pPr>
              <w:rPr>
                <w:color w:val="000000"/>
                <w:sz w:val="24"/>
                <w:szCs w:val="24"/>
              </w:rPr>
            </w:pPr>
            <w:r>
              <w:rPr>
                <w:color w:val="000000"/>
                <w:sz w:val="24"/>
                <w:szCs w:val="24"/>
              </w:rPr>
              <w:t>Можливості резервного зберігання</w:t>
            </w:r>
          </w:p>
        </w:tc>
        <w:tc>
          <w:tcPr>
            <w:tcW w:w="0" w:type="auto"/>
            <w:vAlign w:val="center"/>
            <w:hideMark/>
          </w:tcPr>
          <w:p w:rsidR="00151C63" w:rsidRPr="002628AE" w:rsidRDefault="00151C63" w:rsidP="00D2520C">
            <w:pPr>
              <w:rPr>
                <w:color w:val="000000"/>
                <w:sz w:val="24"/>
                <w:szCs w:val="24"/>
              </w:rPr>
            </w:pPr>
            <w:r>
              <w:rPr>
                <w:color w:val="000000"/>
                <w:sz w:val="24"/>
                <w:szCs w:val="24"/>
              </w:rPr>
              <w:t>Створення копій потребує додаткових ресурсів і часу</w:t>
            </w:r>
          </w:p>
        </w:tc>
        <w:tc>
          <w:tcPr>
            <w:tcW w:w="0" w:type="auto"/>
            <w:vAlign w:val="center"/>
            <w:hideMark/>
          </w:tcPr>
          <w:p w:rsidR="00151C63" w:rsidRPr="002628AE" w:rsidRDefault="00151C63" w:rsidP="00D2520C">
            <w:pPr>
              <w:rPr>
                <w:color w:val="000000"/>
                <w:sz w:val="24"/>
                <w:szCs w:val="24"/>
              </w:rPr>
            </w:pPr>
            <w:r>
              <w:rPr>
                <w:color w:val="000000"/>
                <w:sz w:val="24"/>
                <w:szCs w:val="24"/>
              </w:rPr>
              <w:t>Передбачає використання хмарних сервісів та автоматичного резервного копіювання</w:t>
            </w:r>
          </w:p>
        </w:tc>
      </w:tr>
      <w:tr w:rsidR="00151C63" w:rsidRPr="002628AE" w:rsidTr="00D2520C">
        <w:trPr>
          <w:tblCellSpacing w:w="15" w:type="dxa"/>
        </w:trPr>
        <w:tc>
          <w:tcPr>
            <w:tcW w:w="0" w:type="auto"/>
            <w:vAlign w:val="center"/>
            <w:hideMark/>
          </w:tcPr>
          <w:p w:rsidR="00151C63" w:rsidRPr="002628AE" w:rsidRDefault="00151C63" w:rsidP="00D2520C">
            <w:pPr>
              <w:rPr>
                <w:color w:val="000000"/>
                <w:sz w:val="24"/>
                <w:szCs w:val="24"/>
              </w:rPr>
            </w:pPr>
            <w:r>
              <w:rPr>
                <w:color w:val="000000"/>
                <w:sz w:val="24"/>
                <w:szCs w:val="24"/>
              </w:rPr>
              <w:t>Доступність для користувачів</w:t>
            </w:r>
          </w:p>
        </w:tc>
        <w:tc>
          <w:tcPr>
            <w:tcW w:w="0" w:type="auto"/>
            <w:vAlign w:val="center"/>
            <w:hideMark/>
          </w:tcPr>
          <w:p w:rsidR="00151C63" w:rsidRPr="002628AE" w:rsidRDefault="00151C63" w:rsidP="00D2520C">
            <w:pPr>
              <w:rPr>
                <w:color w:val="000000"/>
                <w:sz w:val="24"/>
                <w:szCs w:val="24"/>
              </w:rPr>
            </w:pPr>
            <w:r>
              <w:rPr>
                <w:color w:val="000000"/>
                <w:sz w:val="24"/>
                <w:szCs w:val="24"/>
              </w:rPr>
              <w:t>Доступ обмежується місцем фізичного зберігання документів</w:t>
            </w:r>
          </w:p>
        </w:tc>
        <w:tc>
          <w:tcPr>
            <w:tcW w:w="0" w:type="auto"/>
            <w:vAlign w:val="center"/>
            <w:hideMark/>
          </w:tcPr>
          <w:p w:rsidR="00151C63" w:rsidRPr="002628AE" w:rsidRDefault="00151C63" w:rsidP="00D2520C">
            <w:pPr>
              <w:rPr>
                <w:color w:val="000000"/>
                <w:sz w:val="24"/>
                <w:szCs w:val="24"/>
              </w:rPr>
            </w:pPr>
            <w:r>
              <w:rPr>
                <w:color w:val="000000"/>
                <w:sz w:val="24"/>
                <w:szCs w:val="24"/>
              </w:rPr>
              <w:t>Можливий віддалений доступ за наявності мережі Інтернет</w:t>
            </w:r>
          </w:p>
        </w:tc>
      </w:tr>
      <w:tr w:rsidR="00151C63" w:rsidRPr="002628AE" w:rsidTr="00D2520C">
        <w:trPr>
          <w:tblCellSpacing w:w="15" w:type="dxa"/>
        </w:trPr>
        <w:tc>
          <w:tcPr>
            <w:tcW w:w="0" w:type="auto"/>
            <w:vAlign w:val="center"/>
            <w:hideMark/>
          </w:tcPr>
          <w:p w:rsidR="00151C63" w:rsidRPr="002628AE" w:rsidRDefault="00151C63" w:rsidP="00D2520C">
            <w:pPr>
              <w:rPr>
                <w:color w:val="000000"/>
                <w:sz w:val="24"/>
                <w:szCs w:val="24"/>
              </w:rPr>
            </w:pPr>
            <w:r>
              <w:rPr>
                <w:color w:val="000000"/>
                <w:sz w:val="24"/>
                <w:szCs w:val="24"/>
              </w:rPr>
              <w:t>Потенційні ризики втрати інформації</w:t>
            </w:r>
          </w:p>
        </w:tc>
        <w:tc>
          <w:tcPr>
            <w:tcW w:w="0" w:type="auto"/>
            <w:vAlign w:val="center"/>
            <w:hideMark/>
          </w:tcPr>
          <w:p w:rsidR="00151C63" w:rsidRPr="002628AE" w:rsidRDefault="00151C63" w:rsidP="00D2520C">
            <w:pPr>
              <w:rPr>
                <w:color w:val="000000"/>
                <w:sz w:val="24"/>
                <w:szCs w:val="24"/>
              </w:rPr>
            </w:pPr>
            <w:r>
              <w:rPr>
                <w:color w:val="000000"/>
                <w:sz w:val="24"/>
                <w:szCs w:val="24"/>
              </w:rPr>
              <w:t>Існує ризик фізичного пошкодження або втрати документів</w:t>
            </w:r>
          </w:p>
        </w:tc>
        <w:tc>
          <w:tcPr>
            <w:tcW w:w="0" w:type="auto"/>
            <w:vAlign w:val="center"/>
            <w:hideMark/>
          </w:tcPr>
          <w:p w:rsidR="00151C63" w:rsidRPr="002628AE" w:rsidRDefault="00151C63" w:rsidP="00D2520C">
            <w:pPr>
              <w:rPr>
                <w:color w:val="000000"/>
                <w:sz w:val="24"/>
                <w:szCs w:val="24"/>
              </w:rPr>
            </w:pPr>
            <w:r>
              <w:rPr>
                <w:color w:val="000000"/>
                <w:sz w:val="24"/>
                <w:szCs w:val="24"/>
              </w:rPr>
              <w:t>Можливі технічні збої, проблеми з доступом або кіберзагрози</w:t>
            </w:r>
          </w:p>
        </w:tc>
      </w:tr>
      <w:tr w:rsidR="00151C63" w:rsidRPr="002628AE" w:rsidTr="00D2520C">
        <w:trPr>
          <w:tblCellSpacing w:w="15" w:type="dxa"/>
        </w:trPr>
        <w:tc>
          <w:tcPr>
            <w:tcW w:w="0" w:type="auto"/>
            <w:vAlign w:val="center"/>
            <w:hideMark/>
          </w:tcPr>
          <w:p w:rsidR="00151C63" w:rsidRPr="002628AE" w:rsidRDefault="00151C63" w:rsidP="00D2520C">
            <w:pPr>
              <w:rPr>
                <w:color w:val="000000"/>
                <w:sz w:val="24"/>
                <w:szCs w:val="24"/>
              </w:rPr>
            </w:pPr>
            <w:r>
              <w:rPr>
                <w:color w:val="000000"/>
                <w:sz w:val="24"/>
                <w:szCs w:val="24"/>
              </w:rPr>
              <w:t>Формування звітності та узагальнення даних</w:t>
            </w:r>
          </w:p>
        </w:tc>
        <w:tc>
          <w:tcPr>
            <w:tcW w:w="0" w:type="auto"/>
            <w:vAlign w:val="center"/>
            <w:hideMark/>
          </w:tcPr>
          <w:p w:rsidR="00151C63" w:rsidRPr="002628AE" w:rsidRDefault="00151C63" w:rsidP="00D2520C">
            <w:pPr>
              <w:rPr>
                <w:color w:val="000000"/>
                <w:sz w:val="24"/>
                <w:szCs w:val="24"/>
              </w:rPr>
            </w:pPr>
            <w:r>
              <w:rPr>
                <w:color w:val="000000"/>
                <w:sz w:val="24"/>
                <w:szCs w:val="24"/>
              </w:rPr>
              <w:t>Потребує ручної обробки та систематизації інформації</w:t>
            </w:r>
          </w:p>
        </w:tc>
        <w:tc>
          <w:tcPr>
            <w:tcW w:w="0" w:type="auto"/>
            <w:vAlign w:val="center"/>
            <w:hideMark/>
          </w:tcPr>
          <w:p w:rsidR="00151C63" w:rsidRPr="002628AE" w:rsidRDefault="00151C63" w:rsidP="00D2520C">
            <w:pPr>
              <w:rPr>
                <w:color w:val="000000"/>
                <w:sz w:val="24"/>
                <w:szCs w:val="24"/>
              </w:rPr>
            </w:pPr>
            <w:r>
              <w:rPr>
                <w:color w:val="000000"/>
                <w:sz w:val="24"/>
                <w:szCs w:val="24"/>
              </w:rPr>
              <w:t>Значна частина процесів може бути автоматизована за допомогою цифрових інструментів</w:t>
            </w:r>
          </w:p>
        </w:tc>
      </w:tr>
    </w:tbl>
    <w:p w:rsidR="00151C63" w:rsidRDefault="00151C63" w:rsidP="00151C63">
      <w:pPr>
        <w:spacing w:line="360" w:lineRule="auto"/>
        <w:ind w:firstLine="709"/>
        <w:jc w:val="both"/>
        <w:rPr>
          <w:lang w:val="uk-UA"/>
        </w:rPr>
      </w:pPr>
    </w:p>
    <w:p w:rsidR="00151C63" w:rsidRPr="001B7BDE" w:rsidRDefault="00151C63" w:rsidP="00151C63">
      <w:pPr>
        <w:spacing w:line="360" w:lineRule="auto"/>
        <w:ind w:firstLine="709"/>
        <w:jc w:val="both"/>
      </w:pPr>
      <w:r>
        <w:t>Основним недоліком наявної системи є те, що відомості з блокнота не завжди та не своєчасно переносяться в електронний формат. Особливо гостро ця проблема виявилася в періоди тривалих відключень електроенергії (блекаутів), коли підтримувати електронний облік було складно або неможливо. Неповне перенесення записів призводить до того, що електронна й паперова форми починають розходитися, частина даних залишається лише на папері, а це створює ризик їх часткової втрати, дублювання або застаріння та ускладнює пошук потрібної інформації.</w:t>
      </w:r>
    </w:p>
    <w:p w:rsidR="00151C63" w:rsidRPr="001B7BDE" w:rsidRDefault="00151C63" w:rsidP="00151C63">
      <w:pPr>
        <w:spacing w:line="360" w:lineRule="auto"/>
        <w:ind w:firstLine="709"/>
        <w:jc w:val="both"/>
      </w:pPr>
      <w:r>
        <w:t xml:space="preserve">Водночас слід зважено оцінювати й переваги паперового обліку. В умовах нестабільного електроживлення та ненадійного доступу до мережі Інтернет, коли немає можливості зарядити ноутбук чи інші пристрої, паперові носії залишаються повністю доступними й незалежними від зовнішніх чинників. Тому в кризові періоди ведення обліку в паперовій формі виявилося не лише </w:t>
      </w:r>
      <w:r>
        <w:lastRenderedPageBreak/>
        <w:t>вимушеним, а й об’єктивно доцільним рішенням, що забезпечувало безперервність роботи майстерні. Це формує своєрідний парадокс: менш зручна в повсякденній роботі паперова форма виявляється надійнішою саме тоді, коли електронні засоби стають недоступними.</w:t>
      </w:r>
    </w:p>
    <w:p w:rsidR="00151C63" w:rsidRPr="001B7BDE" w:rsidRDefault="00151C63" w:rsidP="00151C63">
      <w:pPr>
        <w:spacing w:line="360" w:lineRule="auto"/>
        <w:ind w:firstLine="709"/>
        <w:jc w:val="both"/>
      </w:pPr>
      <w:r>
        <w:t>Виявлене протиріччя є принциповим для подальшого обґрунтування напрямів удосконалення. Воно свідчить про те, що оптимальним рішенням для майстерні є не повна заміна паперового обліку електронним, а їх раціональне поєднання, за якого кожна форма використовується відповідно до своїх сильних сторін. Перш ніж формулювати конкретні рекомендації, доцільно провести узагальнене оцінювання стану інформаційного забезпечення організації.</w:t>
      </w:r>
    </w:p>
    <w:p w:rsidR="00151C63" w:rsidRDefault="00151C63" w:rsidP="00151C63">
      <w:pPr>
        <w:spacing w:line="360" w:lineRule="auto"/>
        <w:ind w:firstLine="709"/>
        <w:jc w:val="both"/>
        <w:rPr>
          <w:lang w:val="uk-UA"/>
        </w:rPr>
      </w:pPr>
      <w:r>
        <w:t>Для комплексного оцінювання наявного стану інформаційного забезпечення майстерні доцільно скористатися методом SWOT-аналізу, який дає змогу систематизувати внутрішні чинники (сильні та слабкі сторони) і зовнішні чинники (можливості та загрози). Такий підхід забезпечує цілісне бачення ситуації та створює підґрунтя для обґрунтованого вибору напрямів удосконалення. Результати SWOT-аналізу подано в таблиці 2.4.</w:t>
      </w:r>
    </w:p>
    <w:p w:rsidR="00151C63" w:rsidRPr="002628AE" w:rsidRDefault="00151C63" w:rsidP="00151C63">
      <w:pPr>
        <w:spacing w:line="360" w:lineRule="auto"/>
        <w:ind w:firstLine="709"/>
        <w:jc w:val="both"/>
        <w:rPr>
          <w:lang w:val="uk-UA"/>
        </w:rPr>
      </w:pPr>
    </w:p>
    <w:p w:rsidR="00151C63" w:rsidRPr="002628AE" w:rsidRDefault="00151C63" w:rsidP="00151C63">
      <w:pPr>
        <w:spacing w:before="160" w:after="60" w:line="360" w:lineRule="auto"/>
        <w:ind w:firstLine="709"/>
        <w:rPr>
          <w:lang w:val="uk-UA"/>
        </w:rPr>
      </w:pPr>
      <w:r>
        <w:t xml:space="preserve">Таблиця 2.4 – SWOT-аналіз інформаційного забезпечення майстерні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78"/>
        <w:gridCol w:w="4550"/>
      </w:tblGrid>
      <w:tr w:rsidR="00151C63" w:rsidRPr="002628AE" w:rsidTr="00D2520C">
        <w:trPr>
          <w:tblHeader/>
          <w:tblCellSpacing w:w="15" w:type="dxa"/>
        </w:trPr>
        <w:tc>
          <w:tcPr>
            <w:tcW w:w="0" w:type="auto"/>
            <w:vAlign w:val="center"/>
            <w:hideMark/>
          </w:tcPr>
          <w:p w:rsidR="00151C63" w:rsidRPr="002628AE" w:rsidRDefault="00151C63" w:rsidP="00D2520C">
            <w:pPr>
              <w:jc w:val="center"/>
              <w:rPr>
                <w:b/>
                <w:bCs/>
                <w:color w:val="000000"/>
                <w:sz w:val="26"/>
                <w:szCs w:val="26"/>
              </w:rPr>
            </w:pPr>
            <w:r>
              <w:rPr>
                <w:b/>
                <w:bCs/>
                <w:color w:val="000000"/>
                <w:sz w:val="26"/>
                <w:szCs w:val="26"/>
              </w:rPr>
              <w:t>Сильні сторони</w:t>
            </w:r>
          </w:p>
        </w:tc>
        <w:tc>
          <w:tcPr>
            <w:tcW w:w="0" w:type="auto"/>
            <w:vAlign w:val="center"/>
            <w:hideMark/>
          </w:tcPr>
          <w:p w:rsidR="00151C63" w:rsidRPr="002628AE" w:rsidRDefault="00151C63" w:rsidP="00D2520C">
            <w:pPr>
              <w:jc w:val="center"/>
              <w:rPr>
                <w:b/>
                <w:bCs/>
                <w:color w:val="000000"/>
                <w:sz w:val="26"/>
                <w:szCs w:val="26"/>
              </w:rPr>
            </w:pPr>
            <w:r>
              <w:rPr>
                <w:b/>
                <w:bCs/>
                <w:color w:val="000000"/>
                <w:sz w:val="26"/>
                <w:szCs w:val="26"/>
              </w:rPr>
              <w:t>Слабкі сторони</w:t>
            </w:r>
          </w:p>
        </w:tc>
      </w:tr>
      <w:tr w:rsidR="00151C63" w:rsidRPr="002628AE" w:rsidTr="00D2520C">
        <w:trPr>
          <w:tblCellSpacing w:w="15" w:type="dxa"/>
        </w:trPr>
        <w:tc>
          <w:tcPr>
            <w:tcW w:w="0" w:type="auto"/>
            <w:vAlign w:val="center"/>
            <w:hideMark/>
          </w:tcPr>
          <w:p w:rsidR="00151C63" w:rsidRPr="002628AE" w:rsidRDefault="00151C63" w:rsidP="00D2520C">
            <w:pPr>
              <w:rPr>
                <w:color w:val="000000"/>
                <w:sz w:val="26"/>
                <w:szCs w:val="26"/>
              </w:rPr>
            </w:pPr>
            <w:r>
              <w:rPr>
                <w:color w:val="000000"/>
                <w:sz w:val="26"/>
                <w:szCs w:val="26"/>
              </w:rPr>
              <w:t>Впорядкований облік виробничих процесів; використання внутрішнього чату для оперативної комунікації; ведення контент-плану в електронному форматі; можливість роботи з паперовими документами під час відключень електроенергії</w:t>
            </w:r>
          </w:p>
        </w:tc>
        <w:tc>
          <w:tcPr>
            <w:tcW w:w="0" w:type="auto"/>
            <w:vAlign w:val="center"/>
            <w:hideMark/>
          </w:tcPr>
          <w:p w:rsidR="00151C63" w:rsidRPr="002628AE" w:rsidRDefault="00151C63" w:rsidP="00D2520C">
            <w:pPr>
              <w:rPr>
                <w:color w:val="000000"/>
                <w:sz w:val="26"/>
                <w:szCs w:val="26"/>
              </w:rPr>
            </w:pPr>
            <w:r>
              <w:rPr>
                <w:color w:val="000000"/>
                <w:sz w:val="26"/>
                <w:szCs w:val="26"/>
              </w:rPr>
              <w:t>Переважання паперового документообігу; відсутність єдиної інформаційної бази; розосередження даних між різними каналами зберігання; залежність окремих процесів від керівника підприємства</w:t>
            </w:r>
          </w:p>
        </w:tc>
      </w:tr>
    </w:tbl>
    <w:p w:rsidR="00151C63" w:rsidRPr="002628AE" w:rsidRDefault="00151C63" w:rsidP="00151C63">
      <w:pPr>
        <w:rPr>
          <w:vanish/>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0"/>
        <w:gridCol w:w="4538"/>
      </w:tblGrid>
      <w:tr w:rsidR="00151C63" w:rsidRPr="002628AE" w:rsidTr="00D2520C">
        <w:trPr>
          <w:tblHeader/>
          <w:tblCellSpacing w:w="15" w:type="dxa"/>
        </w:trPr>
        <w:tc>
          <w:tcPr>
            <w:tcW w:w="0" w:type="auto"/>
            <w:vAlign w:val="center"/>
            <w:hideMark/>
          </w:tcPr>
          <w:p w:rsidR="00151C63" w:rsidRPr="002628AE" w:rsidRDefault="00151C63" w:rsidP="00D2520C">
            <w:pPr>
              <w:jc w:val="center"/>
              <w:rPr>
                <w:b/>
                <w:bCs/>
                <w:color w:val="000000"/>
                <w:sz w:val="24"/>
                <w:szCs w:val="24"/>
              </w:rPr>
            </w:pPr>
            <w:r>
              <w:rPr>
                <w:b/>
                <w:bCs/>
                <w:color w:val="000000"/>
                <w:sz w:val="24"/>
                <w:szCs w:val="24"/>
              </w:rPr>
              <w:t>Можливості</w:t>
            </w:r>
          </w:p>
        </w:tc>
        <w:tc>
          <w:tcPr>
            <w:tcW w:w="0" w:type="auto"/>
            <w:vAlign w:val="center"/>
            <w:hideMark/>
          </w:tcPr>
          <w:p w:rsidR="00151C63" w:rsidRPr="002628AE" w:rsidRDefault="00151C63" w:rsidP="00D2520C">
            <w:pPr>
              <w:jc w:val="center"/>
              <w:rPr>
                <w:b/>
                <w:bCs/>
                <w:color w:val="000000"/>
                <w:sz w:val="24"/>
                <w:szCs w:val="24"/>
              </w:rPr>
            </w:pPr>
            <w:r>
              <w:rPr>
                <w:b/>
                <w:bCs/>
                <w:color w:val="000000"/>
                <w:sz w:val="24"/>
                <w:szCs w:val="24"/>
              </w:rPr>
              <w:t>Загрози</w:t>
            </w:r>
          </w:p>
        </w:tc>
      </w:tr>
      <w:tr w:rsidR="00151C63" w:rsidRPr="002628AE" w:rsidTr="00D2520C">
        <w:trPr>
          <w:tblCellSpacing w:w="15" w:type="dxa"/>
        </w:trPr>
        <w:tc>
          <w:tcPr>
            <w:tcW w:w="0" w:type="auto"/>
            <w:vAlign w:val="center"/>
            <w:hideMark/>
          </w:tcPr>
          <w:p w:rsidR="00151C63" w:rsidRPr="002628AE" w:rsidRDefault="00151C63" w:rsidP="00D2520C">
            <w:pPr>
              <w:rPr>
                <w:color w:val="000000"/>
                <w:sz w:val="24"/>
                <w:szCs w:val="24"/>
              </w:rPr>
            </w:pPr>
            <w:r>
              <w:rPr>
                <w:color w:val="000000"/>
                <w:sz w:val="24"/>
                <w:szCs w:val="24"/>
              </w:rPr>
              <w:t>Автоматизація обліку та комунікаційних процесів; впровадження єдиної цифрової системи зберігання даних; використання хмарних сервісів для резервного копіювання; підвищення ефективності обробки інформації</w:t>
            </w:r>
          </w:p>
        </w:tc>
        <w:tc>
          <w:tcPr>
            <w:tcW w:w="0" w:type="auto"/>
            <w:vAlign w:val="center"/>
            <w:hideMark/>
          </w:tcPr>
          <w:p w:rsidR="00151C63" w:rsidRPr="002628AE" w:rsidRDefault="00151C63" w:rsidP="00D2520C">
            <w:pPr>
              <w:rPr>
                <w:color w:val="000000"/>
                <w:sz w:val="24"/>
                <w:szCs w:val="24"/>
              </w:rPr>
            </w:pPr>
            <w:r>
              <w:rPr>
                <w:color w:val="000000"/>
                <w:sz w:val="24"/>
                <w:szCs w:val="24"/>
              </w:rPr>
              <w:t>Перебої в електропостачанні та доступі до Інтернету; залежність від зовнішніх цифрових сервісів; ризик втрати інформації через технічні помилки або людський фактор</w:t>
            </w:r>
          </w:p>
        </w:tc>
      </w:tr>
    </w:tbl>
    <w:p w:rsidR="00151C63" w:rsidRDefault="00151C63" w:rsidP="00151C63">
      <w:pPr>
        <w:spacing w:before="160" w:after="60" w:line="360" w:lineRule="auto"/>
        <w:rPr>
          <w:lang w:val="uk-UA"/>
        </w:rPr>
      </w:pPr>
    </w:p>
    <w:p w:rsidR="00151C63" w:rsidRPr="001B7BDE" w:rsidRDefault="00151C63" w:rsidP="00151C63">
      <w:pPr>
        <w:spacing w:before="160" w:after="60" w:line="360" w:lineRule="auto"/>
        <w:ind w:firstLine="709"/>
      </w:pPr>
      <w:r>
        <w:lastRenderedPageBreak/>
        <w:t>Аналіз сильних сторін засвідчує, що майстерня вже має певні переваги: облік ведеться структуровано, є оперативний канал внутрішньої комунікації, а окремі процеси (планування контенту) переведено в електронну форму. Особливо слід відзначити надійність паперових носіїв в умовах відключень електроенергії, яка в реаліях функціонування організації перетворюється з традиційного недоліку на вагому перевагу.</w:t>
      </w:r>
    </w:p>
    <w:p w:rsidR="00151C63" w:rsidRPr="001B7BDE" w:rsidRDefault="00151C63" w:rsidP="00151C63">
      <w:pPr>
        <w:spacing w:line="360" w:lineRule="auto"/>
        <w:ind w:firstLine="709"/>
        <w:jc w:val="both"/>
      </w:pPr>
      <w:r>
        <w:t>Слабкі сторони пов’язані насамперед із розрізненістю інформації та переважанням ручної праці в роботі з нею. Відсутність єдиної бази даних і несвоєчасне перенесення записів призводять до того, що відомості зберігаються фрагментарно, а їх узагальнення потребує значних витрат часу. Висока концентрація інформації на рівні керівника створює додатковий ризик, оскільки частина важливих даних може бути недоступною для інших працівників.</w:t>
      </w:r>
    </w:p>
    <w:p w:rsidR="00151C63" w:rsidRPr="001B7BDE" w:rsidRDefault="00151C63" w:rsidP="00151C63">
      <w:pPr>
        <w:spacing w:line="360" w:lineRule="auto"/>
        <w:ind w:firstLine="709"/>
        <w:jc w:val="both"/>
      </w:pPr>
      <w:r>
        <w:t>Можливості організації пов’язані передусім із поступовою автоматизацією та інтеграцією інформаційних інструментів, зокрема із впровадженням чат-бота. Загрози ж зумовлені зовнішніми умовами функціонування — насамперед нестабільністю електроживлення та доступу до Інтернету, — а також впливом людського чинника. Для наочного представлення основних проблем, їх причин і наслідків доцільно скористатися даними таблиці 2.5.</w:t>
      </w:r>
    </w:p>
    <w:p w:rsidR="00151C63" w:rsidRPr="002628AE" w:rsidRDefault="00151C63" w:rsidP="00151C63">
      <w:pPr>
        <w:spacing w:before="160" w:after="60" w:line="360" w:lineRule="auto"/>
        <w:ind w:firstLine="709"/>
        <w:rPr>
          <w:lang w:val="uk-UA"/>
        </w:rPr>
      </w:pPr>
      <w:r>
        <w:t>Таблиця 2.5 – Систематизація проблем інформаційного забезпечення майстерні</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2"/>
        <w:gridCol w:w="3634"/>
        <w:gridCol w:w="3432"/>
      </w:tblGrid>
      <w:tr w:rsidR="00151C63" w:rsidRPr="00146B2D" w:rsidTr="00D2520C">
        <w:trPr>
          <w:tblHeader/>
          <w:tblCellSpacing w:w="15" w:type="dxa"/>
        </w:trPr>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Виявлена проблема</w:t>
            </w:r>
          </w:p>
        </w:tc>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Причини виникнення</w:t>
            </w:r>
          </w:p>
        </w:tc>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Вплив на діяльність підприємства</w:t>
            </w:r>
          </w:p>
        </w:tc>
      </w:tr>
      <w:tr w:rsidR="00151C63" w:rsidRPr="00146B2D" w:rsidTr="00D2520C">
        <w:trPr>
          <w:tblCellSpacing w:w="15" w:type="dxa"/>
        </w:trPr>
        <w:tc>
          <w:tcPr>
            <w:tcW w:w="0" w:type="auto"/>
            <w:vAlign w:val="center"/>
            <w:hideMark/>
          </w:tcPr>
          <w:p w:rsidR="00151C63" w:rsidRPr="00146B2D" w:rsidRDefault="00151C63" w:rsidP="00D2520C">
            <w:pPr>
              <w:rPr>
                <w:b/>
                <w:bCs/>
                <w:color w:val="000000"/>
                <w:sz w:val="20"/>
                <w:szCs w:val="20"/>
              </w:rPr>
            </w:pPr>
            <w:r>
              <w:rPr>
                <w:b/>
                <w:bCs/>
                <w:color w:val="000000"/>
                <w:sz w:val="20"/>
                <w:szCs w:val="20"/>
              </w:rPr>
              <w:t>Розосередження інформації між різними каналами зберігання</w:t>
            </w:r>
          </w:p>
        </w:tc>
        <w:tc>
          <w:tcPr>
            <w:tcW w:w="0" w:type="auto"/>
            <w:vAlign w:val="center"/>
            <w:hideMark/>
          </w:tcPr>
          <w:p w:rsidR="00151C63" w:rsidRPr="00146B2D" w:rsidRDefault="00151C63" w:rsidP="00D2520C">
            <w:pPr>
              <w:rPr>
                <w:color w:val="000000"/>
                <w:sz w:val="20"/>
                <w:szCs w:val="20"/>
              </w:rPr>
            </w:pPr>
            <w:r>
              <w:rPr>
                <w:color w:val="000000"/>
                <w:sz w:val="20"/>
                <w:szCs w:val="20"/>
              </w:rPr>
              <w:t>Відсутність єдиної системи обліку та накопичення даних</w:t>
            </w:r>
          </w:p>
        </w:tc>
        <w:tc>
          <w:tcPr>
            <w:tcW w:w="0" w:type="auto"/>
            <w:vAlign w:val="center"/>
            <w:hideMark/>
          </w:tcPr>
          <w:p w:rsidR="00151C63" w:rsidRPr="00146B2D" w:rsidRDefault="00151C63" w:rsidP="00D2520C">
            <w:pPr>
              <w:rPr>
                <w:color w:val="000000"/>
                <w:sz w:val="20"/>
                <w:szCs w:val="20"/>
              </w:rPr>
            </w:pPr>
            <w:r>
              <w:rPr>
                <w:color w:val="000000"/>
                <w:sz w:val="20"/>
                <w:szCs w:val="20"/>
              </w:rPr>
              <w:t>Ускладнення оперативного доступу до інформації та формування цілісної картини діяльності підприємства</w:t>
            </w:r>
          </w:p>
        </w:tc>
      </w:tr>
      <w:tr w:rsidR="00151C63" w:rsidRPr="00146B2D" w:rsidTr="00D2520C">
        <w:trPr>
          <w:tblCellSpacing w:w="15" w:type="dxa"/>
        </w:trPr>
        <w:tc>
          <w:tcPr>
            <w:tcW w:w="0" w:type="auto"/>
            <w:vAlign w:val="center"/>
            <w:hideMark/>
          </w:tcPr>
          <w:p w:rsidR="00151C63" w:rsidRPr="00146B2D" w:rsidRDefault="00151C63" w:rsidP="00D2520C">
            <w:pPr>
              <w:rPr>
                <w:b/>
                <w:bCs/>
                <w:color w:val="000000"/>
                <w:sz w:val="20"/>
                <w:szCs w:val="20"/>
              </w:rPr>
            </w:pPr>
            <w:r>
              <w:rPr>
                <w:b/>
                <w:bCs/>
                <w:color w:val="000000"/>
                <w:sz w:val="20"/>
                <w:szCs w:val="20"/>
              </w:rPr>
              <w:t>Несвоєчасне перенесення даних в електронну форму</w:t>
            </w:r>
          </w:p>
        </w:tc>
        <w:tc>
          <w:tcPr>
            <w:tcW w:w="0" w:type="auto"/>
            <w:vAlign w:val="center"/>
            <w:hideMark/>
          </w:tcPr>
          <w:p w:rsidR="00151C63" w:rsidRPr="00146B2D" w:rsidRDefault="00151C63" w:rsidP="00D2520C">
            <w:pPr>
              <w:rPr>
                <w:color w:val="000000"/>
                <w:sz w:val="20"/>
                <w:szCs w:val="20"/>
              </w:rPr>
            </w:pPr>
            <w:r>
              <w:rPr>
                <w:color w:val="000000"/>
                <w:sz w:val="20"/>
                <w:szCs w:val="20"/>
              </w:rPr>
              <w:t>Відсутність чітко визначеного порядку оцифрування інформації та вплив перебоїв з електропостачанням</w:t>
            </w:r>
          </w:p>
        </w:tc>
        <w:tc>
          <w:tcPr>
            <w:tcW w:w="0" w:type="auto"/>
            <w:vAlign w:val="center"/>
            <w:hideMark/>
          </w:tcPr>
          <w:p w:rsidR="00151C63" w:rsidRPr="00146B2D" w:rsidRDefault="00151C63" w:rsidP="00D2520C">
            <w:pPr>
              <w:rPr>
                <w:color w:val="000000"/>
                <w:sz w:val="20"/>
                <w:szCs w:val="20"/>
              </w:rPr>
            </w:pPr>
            <w:r>
              <w:rPr>
                <w:color w:val="000000"/>
                <w:sz w:val="20"/>
                <w:szCs w:val="20"/>
              </w:rPr>
              <w:t>Ризик виникнення розбіжностей між паперовими та електронними записами, можливість втрати окремих даних</w:t>
            </w:r>
          </w:p>
        </w:tc>
      </w:tr>
      <w:tr w:rsidR="00151C63" w:rsidRPr="00146B2D" w:rsidTr="00D2520C">
        <w:trPr>
          <w:tblCellSpacing w:w="15" w:type="dxa"/>
        </w:trPr>
        <w:tc>
          <w:tcPr>
            <w:tcW w:w="0" w:type="auto"/>
            <w:vAlign w:val="center"/>
            <w:hideMark/>
          </w:tcPr>
          <w:p w:rsidR="00151C63" w:rsidRPr="00146B2D" w:rsidRDefault="00151C63" w:rsidP="00D2520C">
            <w:pPr>
              <w:rPr>
                <w:b/>
                <w:bCs/>
                <w:color w:val="000000"/>
                <w:sz w:val="20"/>
                <w:szCs w:val="20"/>
              </w:rPr>
            </w:pPr>
            <w:r>
              <w:rPr>
                <w:b/>
                <w:bCs/>
                <w:color w:val="000000"/>
                <w:sz w:val="20"/>
                <w:szCs w:val="20"/>
              </w:rPr>
              <w:t>Трудомісткість пошуку необхідної інформації</w:t>
            </w:r>
          </w:p>
        </w:tc>
        <w:tc>
          <w:tcPr>
            <w:tcW w:w="0" w:type="auto"/>
            <w:vAlign w:val="center"/>
            <w:hideMark/>
          </w:tcPr>
          <w:p w:rsidR="00151C63" w:rsidRPr="00146B2D" w:rsidRDefault="00151C63" w:rsidP="00D2520C">
            <w:pPr>
              <w:rPr>
                <w:color w:val="000000"/>
                <w:sz w:val="20"/>
                <w:szCs w:val="20"/>
              </w:rPr>
            </w:pPr>
            <w:r>
              <w:rPr>
                <w:color w:val="000000"/>
                <w:sz w:val="20"/>
                <w:szCs w:val="20"/>
              </w:rPr>
              <w:t>Використання переважно хронологічного паперового обліку</w:t>
            </w:r>
          </w:p>
        </w:tc>
        <w:tc>
          <w:tcPr>
            <w:tcW w:w="0" w:type="auto"/>
            <w:vAlign w:val="center"/>
            <w:hideMark/>
          </w:tcPr>
          <w:p w:rsidR="00151C63" w:rsidRPr="00146B2D" w:rsidRDefault="00151C63" w:rsidP="00D2520C">
            <w:pPr>
              <w:rPr>
                <w:color w:val="000000"/>
                <w:sz w:val="20"/>
                <w:szCs w:val="20"/>
              </w:rPr>
            </w:pPr>
            <w:r>
              <w:rPr>
                <w:color w:val="000000"/>
                <w:sz w:val="20"/>
                <w:szCs w:val="20"/>
              </w:rPr>
              <w:t>Збільшення витрат часу на пошук даних та ймовірність виникнення помилок під час роботи з інформацією</w:t>
            </w:r>
          </w:p>
        </w:tc>
      </w:tr>
      <w:tr w:rsidR="00151C63" w:rsidRPr="00146B2D" w:rsidTr="00D2520C">
        <w:trPr>
          <w:tblCellSpacing w:w="15" w:type="dxa"/>
        </w:trPr>
        <w:tc>
          <w:tcPr>
            <w:tcW w:w="0" w:type="auto"/>
            <w:vAlign w:val="center"/>
            <w:hideMark/>
          </w:tcPr>
          <w:p w:rsidR="00151C63" w:rsidRPr="00146B2D" w:rsidRDefault="00151C63" w:rsidP="00D2520C">
            <w:pPr>
              <w:rPr>
                <w:b/>
                <w:bCs/>
                <w:color w:val="000000"/>
                <w:sz w:val="20"/>
                <w:szCs w:val="20"/>
              </w:rPr>
            </w:pPr>
            <w:r>
              <w:rPr>
                <w:b/>
                <w:bCs/>
                <w:color w:val="000000"/>
                <w:sz w:val="20"/>
                <w:szCs w:val="20"/>
              </w:rPr>
              <w:t>Залежність інформаційних процесів від керівника</w:t>
            </w:r>
          </w:p>
        </w:tc>
        <w:tc>
          <w:tcPr>
            <w:tcW w:w="0" w:type="auto"/>
            <w:vAlign w:val="center"/>
            <w:hideMark/>
          </w:tcPr>
          <w:p w:rsidR="00151C63" w:rsidRPr="00146B2D" w:rsidRDefault="00151C63" w:rsidP="00D2520C">
            <w:pPr>
              <w:rPr>
                <w:color w:val="000000"/>
                <w:sz w:val="20"/>
                <w:szCs w:val="20"/>
              </w:rPr>
            </w:pPr>
            <w:r>
              <w:rPr>
                <w:color w:val="000000"/>
                <w:sz w:val="20"/>
                <w:szCs w:val="20"/>
              </w:rPr>
              <w:t>Концентрація ключової інформації в однієї особи та недостатня формалізація процедур</w:t>
            </w:r>
          </w:p>
        </w:tc>
        <w:tc>
          <w:tcPr>
            <w:tcW w:w="0" w:type="auto"/>
            <w:vAlign w:val="center"/>
            <w:hideMark/>
          </w:tcPr>
          <w:p w:rsidR="00151C63" w:rsidRPr="00146B2D" w:rsidRDefault="00151C63" w:rsidP="00D2520C">
            <w:pPr>
              <w:rPr>
                <w:color w:val="000000"/>
                <w:sz w:val="20"/>
                <w:szCs w:val="20"/>
              </w:rPr>
            </w:pPr>
            <w:r>
              <w:rPr>
                <w:color w:val="000000"/>
                <w:sz w:val="20"/>
                <w:szCs w:val="20"/>
              </w:rPr>
              <w:t>Підвищення ризиків порушення безперервності діяльності у разі відсутності відповідальної особи</w:t>
            </w:r>
          </w:p>
        </w:tc>
      </w:tr>
    </w:tbl>
    <w:p w:rsidR="00151C63" w:rsidRDefault="00151C63" w:rsidP="00151C63">
      <w:pPr>
        <w:spacing w:line="360" w:lineRule="auto"/>
        <w:ind w:firstLine="709"/>
        <w:jc w:val="both"/>
        <w:rPr>
          <w:lang w:val="uk-UA"/>
        </w:rPr>
      </w:pPr>
    </w:p>
    <w:p w:rsidR="00151C63" w:rsidRDefault="00151C63" w:rsidP="00151C63">
      <w:pPr>
        <w:spacing w:line="360" w:lineRule="auto"/>
        <w:ind w:firstLine="709"/>
        <w:jc w:val="both"/>
        <w:rPr>
          <w:lang w:val="uk-UA"/>
        </w:rPr>
      </w:pPr>
      <w:r>
        <w:lastRenderedPageBreak/>
        <w:t>Узагальнення результатів оцінювання дає змогу сформулювати ключове протиріччя наявної системи інформаційного забезпечення: електронні засоби пришвидшують роботу в звичайних умовах, проте є вразливими до перебоїв з електропостачанням та Інтернетом, тоді як паперові носії надійніші, але потребують значних витрат часу й не забезпечують автоматизованого пошуку та опрацювання даних. Розв’язання цього протиріччя і становить основний зміст подальших рекомендацій.</w:t>
      </w:r>
    </w:p>
    <w:p w:rsidR="00151C63" w:rsidRPr="001B7BDE" w:rsidRDefault="00151C63" w:rsidP="00151C63">
      <w:pPr>
        <w:spacing w:line="360" w:lineRule="auto"/>
        <w:ind w:firstLine="709"/>
        <w:jc w:val="both"/>
      </w:pPr>
      <w:r>
        <w:t>З огляду на виявлені особливості та недоліки, удосконалення інформаційного забезпечення майстерні «Новий сезон» доцільно будувати не на повній відмові від паперового обліку, а на формуванні гібридної моделі, що поєднує переваги паперових і електронних носіїв. Сутність такої моделі полягає в тому, що паперовий облік зберігається як надійний резервний контур, незалежний від електроживлення, а електронні засоби впроваджуються для систематизації, пошуку, узагальнення й зберігання інформації. Це дає змогу одночасно врахувати і потребу в автоматизації, і реальні ризики, пов’язані з нестабільністю енергопостачання.</w:t>
      </w:r>
    </w:p>
    <w:p w:rsidR="00151C63" w:rsidRPr="001B7BDE" w:rsidRDefault="00151C63" w:rsidP="00151C63">
      <w:pPr>
        <w:spacing w:line="360" w:lineRule="auto"/>
        <w:ind w:firstLine="709"/>
        <w:jc w:val="both"/>
      </w:pPr>
      <w:r>
        <w:t>Першим напрямом удосконалення є впорядкування та уніфікація обліку. Для цього пропонується запровадити єдині форми (шаблони) фіксації замовлень [5; 4], постачань і виконаних робіт, які заповнюються однаково як у блокноті, так і в електронній формі. Уніфікація усуває розбіжності між паперовими та електронними записами, спрощує їх подальше перенесення й узагальнення, а також знижує залежність від конкретного працівника, оскільки структура запису стає зрозумілою для всіх.</w:t>
      </w:r>
    </w:p>
    <w:p w:rsidR="00151C63" w:rsidRPr="001B7BDE" w:rsidRDefault="00151C63" w:rsidP="00151C63">
      <w:pPr>
        <w:spacing w:line="360" w:lineRule="auto"/>
        <w:ind w:firstLine="709"/>
        <w:jc w:val="both"/>
      </w:pPr>
      <w:r>
        <w:t xml:space="preserve">Другим напрямом є запровадження регламенту та чіткої періодичності оцифрування записів. Визначення відповідального працівника й конкретного часу для перенесення даних із блокнота в електронну форму (наприклад, наприкінці робочого дня або тижня) дає змогу уникнути накопичення непринесених у систему відомостей і мінімізувати розходження між формами обліку. У періоди відключень електроенергії оцифрування переноситься на </w:t>
      </w:r>
      <w:r>
        <w:lastRenderedPageBreak/>
        <w:t>найближчий доступний час, тоді як паперовий облік продовжує вестися безперервно.</w:t>
      </w:r>
    </w:p>
    <w:p w:rsidR="00151C63" w:rsidRPr="001B7BDE" w:rsidRDefault="00151C63" w:rsidP="00151C63">
      <w:pPr>
        <w:spacing w:line="360" w:lineRule="auto"/>
        <w:ind w:firstLine="709"/>
        <w:jc w:val="both"/>
      </w:pPr>
      <w:r>
        <w:t>Третім напрямом є розширення використання хмарних інструментів з обов’язковим резервним копіюванням. Оскільки організація вже застосовує Google Sheets для планування контенту, цей інструментарій можна розширити для ведення єдиного реєстру замовлень, постачань і документів. Хмарне зберігання забезпечує доступ до даних з різних пристроїв, спрощує резервне копіювання та знижує ризик втрати інформації внаслідок пошкодження окремого носія.</w:t>
      </w:r>
    </w:p>
    <w:p w:rsidR="00151C63" w:rsidRPr="001B7BDE" w:rsidRDefault="00151C63" w:rsidP="00151C63">
      <w:pPr>
        <w:spacing w:line="360" w:lineRule="auto"/>
        <w:ind w:firstLine="709"/>
        <w:jc w:val="both"/>
      </w:pPr>
      <w:r>
        <w:t>Четвертим напрямом є структурування внутрішнього чату. Запровадження тематичних розділів або позначок (наприклад, окремо для замовлень, постачання й організаційних питань) дає змогу впорядкувати потік повідомлень і полегшити пошук потрібних відомостей. Це створює підґрунтя для подальшої автоматизації, оскільки структурована комунікація легше піддається обробці.</w:t>
      </w:r>
    </w:p>
    <w:p w:rsidR="00151C63" w:rsidRDefault="00151C63" w:rsidP="00151C63">
      <w:pPr>
        <w:spacing w:line="360" w:lineRule="auto"/>
        <w:ind w:firstLine="709"/>
        <w:jc w:val="both"/>
        <w:rPr>
          <w:lang w:val="uk-UA"/>
        </w:rPr>
      </w:pPr>
      <w:r>
        <w:t>П’ятим, узагальнювальним напрямом є автоматизація інформаційних процесів за допомогою чат-бота, що поєднує переваги попередніх заходів і дає змогу перейти від розрізнених інструментів до інтегрованої системи. Узагальнення запропонованих напрямів удосконалення та очікуваних результатів подано в таблиці 2.6.</w:t>
      </w:r>
    </w:p>
    <w:p w:rsidR="00151C63" w:rsidRPr="00F46A35" w:rsidRDefault="00151C63" w:rsidP="00151C63">
      <w:pPr>
        <w:spacing w:line="360" w:lineRule="auto"/>
        <w:ind w:firstLine="709"/>
        <w:jc w:val="both"/>
        <w:rPr>
          <w:lang w:val="uk-UA"/>
        </w:rPr>
      </w:pPr>
    </w:p>
    <w:p w:rsidR="00151C63" w:rsidRPr="002628AE" w:rsidRDefault="00151C63" w:rsidP="00151C63">
      <w:pPr>
        <w:spacing w:before="160" w:after="60" w:line="360" w:lineRule="auto"/>
        <w:ind w:firstLine="709"/>
        <w:jc w:val="center"/>
        <w:rPr>
          <w:lang w:val="uk-UA"/>
        </w:rPr>
      </w:pPr>
      <w:r>
        <w:t>Таблиця 2.6 – Напрями удосконалення інформаційного забезпечення майстерні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
        <w:gridCol w:w="3481"/>
        <w:gridCol w:w="5680"/>
      </w:tblGrid>
      <w:tr w:rsidR="00151C63" w:rsidRPr="00146B2D" w:rsidTr="00D2520C">
        <w:trPr>
          <w:tblHeader/>
          <w:tblCellSpacing w:w="15" w:type="dxa"/>
        </w:trPr>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 з/п</w:t>
            </w:r>
          </w:p>
        </w:tc>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Запропонований захід</w:t>
            </w:r>
          </w:p>
        </w:tc>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Очікуваний ефект від впровадження</w:t>
            </w:r>
          </w:p>
        </w:tc>
      </w:tr>
      <w:tr w:rsidR="00151C63" w:rsidRPr="00146B2D" w:rsidTr="00D2520C">
        <w:trPr>
          <w:tblCellSpacing w:w="15" w:type="dxa"/>
        </w:trPr>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1</w:t>
            </w:r>
          </w:p>
        </w:tc>
        <w:tc>
          <w:tcPr>
            <w:tcW w:w="0" w:type="auto"/>
            <w:vAlign w:val="center"/>
            <w:hideMark/>
          </w:tcPr>
          <w:p w:rsidR="00151C63" w:rsidRPr="00146B2D" w:rsidRDefault="00151C63" w:rsidP="00D2520C">
            <w:pPr>
              <w:rPr>
                <w:color w:val="000000"/>
                <w:sz w:val="20"/>
                <w:szCs w:val="20"/>
              </w:rPr>
            </w:pPr>
            <w:r>
              <w:rPr>
                <w:color w:val="000000"/>
                <w:sz w:val="20"/>
                <w:szCs w:val="20"/>
              </w:rPr>
              <w:t>Уніфікація форм ведення обліку</w:t>
            </w:r>
          </w:p>
        </w:tc>
        <w:tc>
          <w:tcPr>
            <w:tcW w:w="0" w:type="auto"/>
            <w:vAlign w:val="center"/>
            <w:hideMark/>
          </w:tcPr>
          <w:p w:rsidR="00151C63" w:rsidRPr="00146B2D" w:rsidRDefault="00151C63" w:rsidP="00D2520C">
            <w:pPr>
              <w:rPr>
                <w:color w:val="000000"/>
                <w:sz w:val="20"/>
                <w:szCs w:val="20"/>
              </w:rPr>
            </w:pPr>
            <w:r>
              <w:rPr>
                <w:color w:val="000000"/>
                <w:sz w:val="20"/>
                <w:szCs w:val="20"/>
              </w:rPr>
              <w:t>Підвищення узгодженості між паперовими та електронними записами, спрощення обробки інформації</w:t>
            </w:r>
          </w:p>
        </w:tc>
      </w:tr>
      <w:tr w:rsidR="00151C63" w:rsidRPr="00146B2D" w:rsidTr="00D2520C">
        <w:trPr>
          <w:tblCellSpacing w:w="15" w:type="dxa"/>
        </w:trPr>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2</w:t>
            </w:r>
          </w:p>
        </w:tc>
        <w:tc>
          <w:tcPr>
            <w:tcW w:w="0" w:type="auto"/>
            <w:vAlign w:val="center"/>
            <w:hideMark/>
          </w:tcPr>
          <w:p w:rsidR="00151C63" w:rsidRPr="00146B2D" w:rsidRDefault="00151C63" w:rsidP="00D2520C">
            <w:pPr>
              <w:rPr>
                <w:color w:val="000000"/>
                <w:sz w:val="20"/>
                <w:szCs w:val="20"/>
              </w:rPr>
            </w:pPr>
            <w:r>
              <w:rPr>
                <w:color w:val="000000"/>
                <w:sz w:val="20"/>
                <w:szCs w:val="20"/>
              </w:rPr>
              <w:t>Запровадження регламенту оцифрування даних</w:t>
            </w:r>
          </w:p>
        </w:tc>
        <w:tc>
          <w:tcPr>
            <w:tcW w:w="0" w:type="auto"/>
            <w:vAlign w:val="center"/>
            <w:hideMark/>
          </w:tcPr>
          <w:p w:rsidR="00151C63" w:rsidRPr="00146B2D" w:rsidRDefault="00151C63" w:rsidP="00D2520C">
            <w:pPr>
              <w:rPr>
                <w:color w:val="000000"/>
                <w:sz w:val="20"/>
                <w:szCs w:val="20"/>
              </w:rPr>
            </w:pPr>
            <w:r>
              <w:rPr>
                <w:color w:val="000000"/>
                <w:sz w:val="20"/>
                <w:szCs w:val="20"/>
              </w:rPr>
              <w:t>Забезпечення своєчасного внесення інформації та мінімізація розбіжностей між різними формами зберігання</w:t>
            </w:r>
          </w:p>
        </w:tc>
      </w:tr>
      <w:tr w:rsidR="00151C63" w:rsidRPr="00146B2D" w:rsidTr="00D2520C">
        <w:trPr>
          <w:tblCellSpacing w:w="15" w:type="dxa"/>
        </w:trPr>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3</w:t>
            </w:r>
          </w:p>
        </w:tc>
        <w:tc>
          <w:tcPr>
            <w:tcW w:w="0" w:type="auto"/>
            <w:vAlign w:val="center"/>
            <w:hideMark/>
          </w:tcPr>
          <w:p w:rsidR="00151C63" w:rsidRPr="00146B2D" w:rsidRDefault="00151C63" w:rsidP="00D2520C">
            <w:pPr>
              <w:rPr>
                <w:color w:val="000000"/>
                <w:sz w:val="20"/>
                <w:szCs w:val="20"/>
              </w:rPr>
            </w:pPr>
            <w:r>
              <w:rPr>
                <w:color w:val="000000"/>
                <w:sz w:val="20"/>
                <w:szCs w:val="20"/>
              </w:rPr>
              <w:t>Розширення використання хмарних сервісів</w:t>
            </w:r>
          </w:p>
        </w:tc>
        <w:tc>
          <w:tcPr>
            <w:tcW w:w="0" w:type="auto"/>
            <w:vAlign w:val="center"/>
            <w:hideMark/>
          </w:tcPr>
          <w:p w:rsidR="00151C63" w:rsidRPr="00146B2D" w:rsidRDefault="00151C63" w:rsidP="00D2520C">
            <w:pPr>
              <w:rPr>
                <w:color w:val="000000"/>
                <w:sz w:val="20"/>
                <w:szCs w:val="20"/>
              </w:rPr>
            </w:pPr>
            <w:r>
              <w:rPr>
                <w:color w:val="000000"/>
                <w:sz w:val="20"/>
                <w:szCs w:val="20"/>
              </w:rPr>
              <w:t>Формування єдиного інформаційного простору, забезпечення резервного копіювання та віддаленого доступу до даних</w:t>
            </w:r>
          </w:p>
        </w:tc>
      </w:tr>
      <w:tr w:rsidR="00151C63" w:rsidRPr="00146B2D" w:rsidTr="00D2520C">
        <w:trPr>
          <w:tblCellSpacing w:w="15" w:type="dxa"/>
        </w:trPr>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4</w:t>
            </w:r>
          </w:p>
        </w:tc>
        <w:tc>
          <w:tcPr>
            <w:tcW w:w="0" w:type="auto"/>
            <w:vAlign w:val="center"/>
            <w:hideMark/>
          </w:tcPr>
          <w:p w:rsidR="00151C63" w:rsidRPr="00146B2D" w:rsidRDefault="00151C63" w:rsidP="00D2520C">
            <w:pPr>
              <w:rPr>
                <w:color w:val="000000"/>
                <w:sz w:val="20"/>
                <w:szCs w:val="20"/>
              </w:rPr>
            </w:pPr>
            <w:r>
              <w:rPr>
                <w:color w:val="000000"/>
                <w:sz w:val="20"/>
                <w:szCs w:val="20"/>
              </w:rPr>
              <w:t>Оптимізація структури внутрішнього чату</w:t>
            </w:r>
          </w:p>
        </w:tc>
        <w:tc>
          <w:tcPr>
            <w:tcW w:w="0" w:type="auto"/>
            <w:vAlign w:val="center"/>
            <w:hideMark/>
          </w:tcPr>
          <w:p w:rsidR="00151C63" w:rsidRPr="00146B2D" w:rsidRDefault="00151C63" w:rsidP="00D2520C">
            <w:pPr>
              <w:rPr>
                <w:color w:val="000000"/>
                <w:sz w:val="20"/>
                <w:szCs w:val="20"/>
              </w:rPr>
            </w:pPr>
            <w:r>
              <w:rPr>
                <w:color w:val="000000"/>
                <w:sz w:val="20"/>
                <w:szCs w:val="20"/>
              </w:rPr>
              <w:t>Покращення організації внутрішніх комунікацій та скорочення часу на пошук необхідної інформації</w:t>
            </w:r>
          </w:p>
        </w:tc>
      </w:tr>
      <w:tr w:rsidR="00151C63" w:rsidRPr="00146B2D" w:rsidTr="00D2520C">
        <w:trPr>
          <w:tblCellSpacing w:w="15" w:type="dxa"/>
        </w:trPr>
        <w:tc>
          <w:tcPr>
            <w:tcW w:w="0" w:type="auto"/>
            <w:vAlign w:val="center"/>
            <w:hideMark/>
          </w:tcPr>
          <w:p w:rsidR="00151C63" w:rsidRPr="00146B2D" w:rsidRDefault="00151C63" w:rsidP="00D2520C">
            <w:pPr>
              <w:jc w:val="center"/>
              <w:rPr>
                <w:b/>
                <w:bCs/>
                <w:color w:val="000000"/>
                <w:sz w:val="20"/>
                <w:szCs w:val="20"/>
              </w:rPr>
            </w:pPr>
            <w:r>
              <w:rPr>
                <w:b/>
                <w:bCs/>
                <w:color w:val="000000"/>
                <w:sz w:val="20"/>
                <w:szCs w:val="20"/>
              </w:rPr>
              <w:t>5</w:t>
            </w:r>
          </w:p>
        </w:tc>
        <w:tc>
          <w:tcPr>
            <w:tcW w:w="0" w:type="auto"/>
            <w:vAlign w:val="center"/>
            <w:hideMark/>
          </w:tcPr>
          <w:p w:rsidR="00151C63" w:rsidRPr="00146B2D" w:rsidRDefault="00151C63" w:rsidP="00D2520C">
            <w:pPr>
              <w:rPr>
                <w:color w:val="000000"/>
                <w:sz w:val="20"/>
                <w:szCs w:val="20"/>
              </w:rPr>
            </w:pPr>
            <w:r>
              <w:rPr>
                <w:color w:val="000000"/>
                <w:sz w:val="20"/>
                <w:szCs w:val="20"/>
              </w:rPr>
              <w:t>Впровадження чат-бота для підтримки інформаційних процесів</w:t>
            </w:r>
          </w:p>
        </w:tc>
        <w:tc>
          <w:tcPr>
            <w:tcW w:w="0" w:type="auto"/>
            <w:vAlign w:val="center"/>
            <w:hideMark/>
          </w:tcPr>
          <w:p w:rsidR="00151C63" w:rsidRPr="00146B2D" w:rsidRDefault="00151C63" w:rsidP="00D2520C">
            <w:pPr>
              <w:rPr>
                <w:color w:val="000000"/>
                <w:sz w:val="20"/>
                <w:szCs w:val="20"/>
              </w:rPr>
            </w:pPr>
            <w:r>
              <w:rPr>
                <w:color w:val="000000"/>
                <w:sz w:val="20"/>
                <w:szCs w:val="20"/>
              </w:rPr>
              <w:t>Автоматизація обліку, нагадувань та оперативного пошуку інформації, зниження навантаження на персонал</w:t>
            </w:r>
          </w:p>
        </w:tc>
      </w:tr>
    </w:tbl>
    <w:p w:rsidR="00151C63" w:rsidRDefault="00151C63" w:rsidP="00151C63">
      <w:pPr>
        <w:spacing w:line="360" w:lineRule="auto"/>
        <w:ind w:firstLine="709"/>
        <w:jc w:val="both"/>
        <w:rPr>
          <w:b/>
          <w:bCs/>
          <w:lang w:val="uk-UA"/>
        </w:rPr>
      </w:pPr>
    </w:p>
    <w:p w:rsidR="00151C63" w:rsidRPr="001B7BDE" w:rsidRDefault="00151C63" w:rsidP="00151C63">
      <w:pPr>
        <w:spacing w:line="360" w:lineRule="auto"/>
        <w:ind w:firstLine="709"/>
        <w:jc w:val="both"/>
      </w:pPr>
      <w:r>
        <w:lastRenderedPageBreak/>
        <w:t>Окремим і найбільш перспективним напрямом удосконалення інформаційного забезпечення майстерні є розроблення чат-бота, здатного автоматично опрацьовувати та контролювати інформацію [26]. Доцільність цього рішення обґрунтовується кількома чинниками. По-перше, працівники організації вже звикли взаємодіяти через внутрішній чат, тому чат-бот, що працює в межах звичного месенджера, не потребує суттєвої зміни усталених звичок і знижує опір до впровадження. По-друге, чат-бот дає змогу інтегрувати розрізнені інструменти в єдину систему та автоматизувати значну частину рутинних операцій.</w:t>
      </w:r>
    </w:p>
    <w:p w:rsidR="00151C63" w:rsidRPr="001B7BDE" w:rsidRDefault="00151C63" w:rsidP="00151C63">
      <w:pPr>
        <w:spacing w:line="360" w:lineRule="auto"/>
        <w:ind w:firstLine="709"/>
        <w:jc w:val="both"/>
      </w:pPr>
      <w:r>
        <w:t>За своєю суттю чат-бот виконує роль посередника між працівником і єдиною базою даних організації: він приймає запити у формі звичайних повідомлень, звертається до бази даних, виконує необхідні операції та повертає користувачеві результат у зручному вигляді. Концептуальну схему (макет) роботи чат-бота наведено на рисунку 2.4.</w:t>
      </w:r>
    </w:p>
    <w:p w:rsidR="00151C63" w:rsidRPr="001B7BDE" w:rsidRDefault="00151C63" w:rsidP="00151C63">
      <w:pPr>
        <w:spacing w:before="120" w:line="360" w:lineRule="auto"/>
        <w:jc w:val="center"/>
      </w:pPr>
      <w:r>
        <w:rPr>
          <w:noProof/>
        </w:rPr>
        <w:drawing>
          <wp:inline distT="0" distB="0" distL="0" distR="0" wp14:anchorId="14CE840B" wp14:editId="51AC66F3">
            <wp:extent cx="4476750" cy="2657475"/>
            <wp:effectExtent l="0" t="0" r="0" b="0"/>
            <wp:docPr id="164203052" name="Рисунок 2.4 – Концептуальна схема (макет) роботи чат-бота майстерні" descr="Рисунок 2.4 – Концептуальна схема (макет) роботи чат-бота майстерні" title="Рисунок 2.4 – Концептуальна схема (макет) роботи чат-бота майстер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476750" cy="2657475"/>
                    </a:xfrm>
                    <a:prstGeom prst="rect">
                      <a:avLst/>
                    </a:prstGeom>
                  </pic:spPr>
                </pic:pic>
              </a:graphicData>
            </a:graphic>
          </wp:inline>
        </w:drawing>
      </w:r>
    </w:p>
    <w:p w:rsidR="00151C63" w:rsidRPr="001B7BDE" w:rsidRDefault="00151C63" w:rsidP="00151C63">
      <w:pPr>
        <w:spacing w:after="120" w:line="360" w:lineRule="auto"/>
        <w:jc w:val="center"/>
      </w:pPr>
      <w:r>
        <w:t>Рисунок 2.4 – Концептуальна схема (макет) роботи чат-бота майстерні</w:t>
      </w:r>
    </w:p>
    <w:p w:rsidR="00151C63" w:rsidRPr="001B7BDE" w:rsidRDefault="00151C63" w:rsidP="00151C63">
      <w:pPr>
        <w:spacing w:line="360" w:lineRule="auto"/>
        <w:ind w:firstLine="709"/>
        <w:jc w:val="both"/>
      </w:pPr>
      <w:r>
        <w:t xml:space="preserve">Відповідно до запропонованої схеми, чат-бот забезпечує реалізацію кількох основних функцій. Передусім це облік замовлень і матеріалів — внесення, перегляд та оновлення відомостей про вироби, терміни й залишки фурнітури. Друга функція — формування нагадувань і відображення статусів завдань, що допомагає контролювати терміни виконання та відправлення. Третя функція — пошук інформації за запитом користувача, який дає змогу швидко </w:t>
      </w:r>
      <w:r>
        <w:lastRenderedPageBreak/>
        <w:t>отримати потрібні відомості без перегляду всього обсягу записів. Четверта функція — експорт даних і резервне копіювання у хмарне сховище, що підвищує надійність зберігання інформації. Узагальнення функцій чат-бота подано в таблиці 2.7.</w:t>
      </w:r>
    </w:p>
    <w:p w:rsidR="00151C63" w:rsidRPr="002628AE" w:rsidRDefault="00151C63" w:rsidP="00151C63">
      <w:pPr>
        <w:spacing w:before="160" w:after="60" w:line="360" w:lineRule="auto"/>
        <w:ind w:firstLine="709"/>
        <w:rPr>
          <w:lang w:val="uk-UA"/>
        </w:rPr>
      </w:pPr>
      <w:r>
        <w:t>Таблиця 2.7 – Основні функції чат-бота майстерні «Новий сезон»</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7"/>
        <w:gridCol w:w="2888"/>
        <w:gridCol w:w="6223"/>
      </w:tblGrid>
      <w:tr w:rsidR="00151C63" w:rsidRPr="002628AE" w:rsidTr="00D2520C">
        <w:trPr>
          <w:tblHeader/>
          <w:tblCellSpacing w:w="15" w:type="dxa"/>
        </w:trPr>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 з/п</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Функціональний модуль</w:t>
            </w:r>
          </w:p>
        </w:tc>
        <w:tc>
          <w:tcPr>
            <w:tcW w:w="0" w:type="auto"/>
            <w:vAlign w:val="center"/>
            <w:hideMark/>
          </w:tcPr>
          <w:p w:rsidR="00151C63" w:rsidRPr="00146B2D" w:rsidRDefault="00151C63" w:rsidP="00D2520C">
            <w:pPr>
              <w:jc w:val="center"/>
              <w:rPr>
                <w:b/>
                <w:bCs/>
                <w:color w:val="000000"/>
                <w:sz w:val="24"/>
                <w:szCs w:val="24"/>
              </w:rPr>
            </w:pPr>
            <w:r>
              <w:rPr>
                <w:b/>
                <w:bCs/>
                <w:color w:val="000000"/>
                <w:sz w:val="24"/>
                <w:szCs w:val="24"/>
              </w:rPr>
              <w:t>Практичне призначення</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1</w:t>
            </w:r>
          </w:p>
        </w:tc>
        <w:tc>
          <w:tcPr>
            <w:tcW w:w="0" w:type="auto"/>
            <w:vAlign w:val="center"/>
            <w:hideMark/>
          </w:tcPr>
          <w:p w:rsidR="00151C63" w:rsidRPr="002628AE" w:rsidRDefault="00151C63" w:rsidP="00D2520C">
            <w:pPr>
              <w:rPr>
                <w:color w:val="000000"/>
                <w:sz w:val="24"/>
                <w:szCs w:val="24"/>
              </w:rPr>
            </w:pPr>
            <w:r>
              <w:rPr>
                <w:color w:val="000000"/>
                <w:sz w:val="24"/>
                <w:szCs w:val="24"/>
              </w:rPr>
              <w:t>Облік замовлень і матеріалів</w:t>
            </w:r>
          </w:p>
        </w:tc>
        <w:tc>
          <w:tcPr>
            <w:tcW w:w="0" w:type="auto"/>
            <w:vAlign w:val="center"/>
            <w:hideMark/>
          </w:tcPr>
          <w:p w:rsidR="00151C63" w:rsidRPr="002628AE" w:rsidRDefault="00151C63" w:rsidP="00D2520C">
            <w:pPr>
              <w:rPr>
                <w:color w:val="000000"/>
                <w:sz w:val="24"/>
                <w:szCs w:val="24"/>
              </w:rPr>
            </w:pPr>
            <w:r>
              <w:rPr>
                <w:color w:val="000000"/>
                <w:sz w:val="24"/>
                <w:szCs w:val="24"/>
              </w:rPr>
              <w:t>Забезпечує внесення, перегляд та оновлення інформації про замовлення, терміни виконання робіт і наявність матеріалів</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2</w:t>
            </w:r>
          </w:p>
        </w:tc>
        <w:tc>
          <w:tcPr>
            <w:tcW w:w="0" w:type="auto"/>
            <w:vAlign w:val="center"/>
            <w:hideMark/>
          </w:tcPr>
          <w:p w:rsidR="00151C63" w:rsidRPr="002628AE" w:rsidRDefault="00151C63" w:rsidP="00D2520C">
            <w:pPr>
              <w:rPr>
                <w:color w:val="000000"/>
                <w:sz w:val="24"/>
                <w:szCs w:val="24"/>
              </w:rPr>
            </w:pPr>
            <w:r>
              <w:rPr>
                <w:color w:val="000000"/>
                <w:sz w:val="24"/>
                <w:szCs w:val="24"/>
              </w:rPr>
              <w:t>Контроль термінів та система нагадувань</w:t>
            </w:r>
          </w:p>
        </w:tc>
        <w:tc>
          <w:tcPr>
            <w:tcW w:w="0" w:type="auto"/>
            <w:vAlign w:val="center"/>
            <w:hideMark/>
          </w:tcPr>
          <w:p w:rsidR="00151C63" w:rsidRPr="002628AE" w:rsidRDefault="00151C63" w:rsidP="00D2520C">
            <w:pPr>
              <w:rPr>
                <w:color w:val="000000"/>
                <w:sz w:val="24"/>
                <w:szCs w:val="24"/>
              </w:rPr>
            </w:pPr>
            <w:r>
              <w:rPr>
                <w:color w:val="000000"/>
                <w:sz w:val="24"/>
                <w:szCs w:val="24"/>
              </w:rPr>
              <w:t>Дозволяє відстежувати статус виконання замовлень, контролювати строки відправлень та отримувати автоматичні нагадування</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3</w:t>
            </w:r>
          </w:p>
        </w:tc>
        <w:tc>
          <w:tcPr>
            <w:tcW w:w="0" w:type="auto"/>
            <w:vAlign w:val="center"/>
            <w:hideMark/>
          </w:tcPr>
          <w:p w:rsidR="00151C63" w:rsidRPr="002628AE" w:rsidRDefault="00151C63" w:rsidP="00D2520C">
            <w:pPr>
              <w:rPr>
                <w:color w:val="000000"/>
                <w:sz w:val="24"/>
                <w:szCs w:val="24"/>
              </w:rPr>
            </w:pPr>
            <w:r>
              <w:rPr>
                <w:color w:val="000000"/>
                <w:sz w:val="24"/>
                <w:szCs w:val="24"/>
              </w:rPr>
              <w:t>Пошук інформації</w:t>
            </w:r>
          </w:p>
        </w:tc>
        <w:tc>
          <w:tcPr>
            <w:tcW w:w="0" w:type="auto"/>
            <w:vAlign w:val="center"/>
            <w:hideMark/>
          </w:tcPr>
          <w:p w:rsidR="00151C63" w:rsidRPr="002628AE" w:rsidRDefault="00151C63" w:rsidP="00D2520C">
            <w:pPr>
              <w:rPr>
                <w:color w:val="000000"/>
                <w:sz w:val="24"/>
                <w:szCs w:val="24"/>
              </w:rPr>
            </w:pPr>
            <w:r>
              <w:rPr>
                <w:color w:val="000000"/>
                <w:sz w:val="24"/>
                <w:szCs w:val="24"/>
              </w:rPr>
              <w:t>Забезпечує швидкий доступ до необхідних відомостей за ключовими параметрами без перегляду архівних записів</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4</w:t>
            </w:r>
          </w:p>
        </w:tc>
        <w:tc>
          <w:tcPr>
            <w:tcW w:w="0" w:type="auto"/>
            <w:vAlign w:val="center"/>
            <w:hideMark/>
          </w:tcPr>
          <w:p w:rsidR="00151C63" w:rsidRPr="002628AE" w:rsidRDefault="00151C63" w:rsidP="00D2520C">
            <w:pPr>
              <w:rPr>
                <w:color w:val="000000"/>
                <w:sz w:val="24"/>
                <w:szCs w:val="24"/>
              </w:rPr>
            </w:pPr>
            <w:r>
              <w:rPr>
                <w:color w:val="000000"/>
                <w:sz w:val="24"/>
                <w:szCs w:val="24"/>
              </w:rPr>
              <w:t>Резервне зберігання даних</w:t>
            </w:r>
          </w:p>
        </w:tc>
        <w:tc>
          <w:tcPr>
            <w:tcW w:w="0" w:type="auto"/>
            <w:vAlign w:val="center"/>
            <w:hideMark/>
          </w:tcPr>
          <w:p w:rsidR="00151C63" w:rsidRPr="002628AE" w:rsidRDefault="00151C63" w:rsidP="00D2520C">
            <w:pPr>
              <w:rPr>
                <w:color w:val="000000"/>
                <w:sz w:val="24"/>
                <w:szCs w:val="24"/>
              </w:rPr>
            </w:pPr>
            <w:r>
              <w:rPr>
                <w:color w:val="000000"/>
                <w:sz w:val="24"/>
                <w:szCs w:val="24"/>
              </w:rPr>
              <w:t>Передбачає автоматичне створення резервних копій та збереження інформації у хмарному середовищі</w:t>
            </w:r>
          </w:p>
        </w:tc>
      </w:tr>
      <w:tr w:rsidR="00151C63" w:rsidRPr="002628AE" w:rsidTr="00D2520C">
        <w:trPr>
          <w:tblCellSpacing w:w="15" w:type="dxa"/>
        </w:trPr>
        <w:tc>
          <w:tcPr>
            <w:tcW w:w="0" w:type="auto"/>
            <w:vAlign w:val="center"/>
            <w:hideMark/>
          </w:tcPr>
          <w:p w:rsidR="00151C63" w:rsidRPr="00146B2D" w:rsidRDefault="00151C63" w:rsidP="00D2520C">
            <w:pPr>
              <w:rPr>
                <w:b/>
                <w:bCs/>
                <w:color w:val="000000"/>
                <w:sz w:val="24"/>
                <w:szCs w:val="24"/>
              </w:rPr>
            </w:pPr>
            <w:r>
              <w:rPr>
                <w:b/>
                <w:bCs/>
                <w:color w:val="000000"/>
                <w:sz w:val="24"/>
                <w:szCs w:val="24"/>
              </w:rPr>
              <w:t>5</w:t>
            </w:r>
          </w:p>
        </w:tc>
        <w:tc>
          <w:tcPr>
            <w:tcW w:w="0" w:type="auto"/>
            <w:vAlign w:val="center"/>
            <w:hideMark/>
          </w:tcPr>
          <w:p w:rsidR="00151C63" w:rsidRPr="002628AE" w:rsidRDefault="00151C63" w:rsidP="00D2520C">
            <w:pPr>
              <w:rPr>
                <w:color w:val="000000"/>
                <w:sz w:val="24"/>
                <w:szCs w:val="24"/>
              </w:rPr>
            </w:pPr>
            <w:r>
              <w:rPr>
                <w:color w:val="000000"/>
                <w:sz w:val="24"/>
                <w:szCs w:val="24"/>
              </w:rPr>
              <w:t>Формування звітної інформації</w:t>
            </w:r>
          </w:p>
        </w:tc>
        <w:tc>
          <w:tcPr>
            <w:tcW w:w="0" w:type="auto"/>
            <w:vAlign w:val="center"/>
            <w:hideMark/>
          </w:tcPr>
          <w:p w:rsidR="00151C63" w:rsidRPr="002628AE" w:rsidRDefault="00151C63" w:rsidP="00D2520C">
            <w:pPr>
              <w:rPr>
                <w:color w:val="000000"/>
                <w:sz w:val="24"/>
                <w:szCs w:val="24"/>
              </w:rPr>
            </w:pPr>
            <w:r>
              <w:rPr>
                <w:color w:val="000000"/>
                <w:sz w:val="24"/>
                <w:szCs w:val="24"/>
              </w:rPr>
              <w:t>Дозволяє узагальнювати дані щодо замовлень, постачання матеріалів і результатів виконаної роботи для подальшого аналізу</w:t>
            </w:r>
          </w:p>
        </w:tc>
      </w:tr>
    </w:tbl>
    <w:p w:rsidR="00151C63" w:rsidRDefault="00151C63" w:rsidP="00151C63">
      <w:pPr>
        <w:spacing w:line="360" w:lineRule="auto"/>
        <w:ind w:firstLine="709"/>
        <w:jc w:val="both"/>
        <w:rPr>
          <w:lang w:val="uk-UA"/>
        </w:rPr>
      </w:pPr>
    </w:p>
    <w:p w:rsidR="00151C63" w:rsidRDefault="00151C63" w:rsidP="00151C63">
      <w:pPr>
        <w:spacing w:line="360" w:lineRule="auto"/>
        <w:ind w:firstLine="709"/>
        <w:jc w:val="both"/>
      </w:pPr>
      <w:r>
        <w:t>Для наочного уявлення про взаємодію користувача із чат-ботом доцільно розглянути приклад типового діалогу, поданий на рисунку 2.5. У ньому працівник за допомогою простих текстових запитів отримує відомості про замовлення на поточний день, перевіряє залишки фурнітури на складі, а також встановлює нагадування про необхідність відправлення готової продукції клієнтам. Такий сценарій демонструє основні функціональні можливості системи та відображає порядок її використання в повсякденній діяльності майстерні.</w:t>
      </w:r>
    </w:p>
    <w:p w:rsidR="00151C63" w:rsidRDefault="00151C63" w:rsidP="00151C63">
      <w:pPr>
        <w:spacing w:line="360" w:lineRule="auto"/>
        <w:ind w:firstLine="709"/>
        <w:jc w:val="both"/>
      </w:pPr>
      <w:r>
        <w:t>Важливою перевагою запропонованого рішення є використання звичного для користувачів формату спілкування через месенджер. Працівнику не потрібно відкривати окремі програми, шукати необхідні дані в таблицях чи працювати зі складними інформаційними системами. Уся необхідна інформація надається безпосередньо у вікні чату у відповідь на відповідний запит, що значно скорочує час на виконання рутинних операцій та пошук потрібних відомостей.</w:t>
      </w:r>
    </w:p>
    <w:p w:rsidR="00151C63" w:rsidRDefault="00151C63" w:rsidP="00151C63">
      <w:pPr>
        <w:spacing w:line="360" w:lineRule="auto"/>
        <w:ind w:firstLine="709"/>
        <w:jc w:val="both"/>
      </w:pPr>
      <w:r>
        <w:lastRenderedPageBreak/>
        <w:t>Крім того, чат-бот забезпечує швидкий доступ до актуальних даних незалежно від місця перебування користувача, за умови наявності доступу до мережі Інтернет. Це особливо важливо для невеликих підприємств, де працівники часто поєднують декілька функцій і потребують оперативного отримання інформації для прийняття робочих рішень. Використання текстових команд також мінімізує потребу в додатковому навчанні персоналу та спрощує процес впровадження системи в робочі процеси організації.</w:t>
      </w:r>
    </w:p>
    <w:p w:rsidR="00151C63" w:rsidRPr="001B7BDE" w:rsidRDefault="00151C63" w:rsidP="00151C63">
      <w:pPr>
        <w:spacing w:line="360" w:lineRule="auto"/>
        <w:ind w:firstLine="709"/>
        <w:jc w:val="both"/>
      </w:pPr>
      <w:r>
        <w:t>Таким чином, представлений на рисунку 2.5 приклад діалогу демонструє практичний механізм взаємодії користувача із системою та підтверджує, що запропонований чат-бот є зручним інструментом автоматизації інформаційних процесів. Такий формат взаємодії є інтуїтивно зрозумілим, не потребує спеціальних навичок роботи з програмним забезпеченням і сприяє підвищенню ефективності щоденної діяльності працівників..</w:t>
      </w:r>
    </w:p>
    <w:p w:rsidR="00151C63" w:rsidRPr="001B7BDE" w:rsidRDefault="00151C63" w:rsidP="00151C63">
      <w:pPr>
        <w:spacing w:before="120" w:line="360" w:lineRule="auto"/>
        <w:jc w:val="center"/>
      </w:pPr>
      <w:r>
        <w:rPr>
          <w:noProof/>
        </w:rPr>
        <w:drawing>
          <wp:inline distT="0" distB="0" distL="0" distR="0" wp14:anchorId="5DF657A9" wp14:editId="4E8DD100">
            <wp:extent cx="2885315" cy="4020207"/>
            <wp:effectExtent l="0" t="0" r="0" b="0"/>
            <wp:docPr id="1985599153" name="Рисунок 2.5 – Приклад макета інтерфейсу взаємодії з чат-ботом" descr="Рисунок 2.5 – Приклад макета інтерфейсу взаємодії з чат-ботом" title="Рисунок 2.5 – Приклад макета інтерфейсу взаємодії з чат-бо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943473" cy="4101241"/>
                    </a:xfrm>
                    <a:prstGeom prst="rect">
                      <a:avLst/>
                    </a:prstGeom>
                  </pic:spPr>
                </pic:pic>
              </a:graphicData>
            </a:graphic>
          </wp:inline>
        </w:drawing>
      </w:r>
    </w:p>
    <w:p w:rsidR="00151C63" w:rsidRPr="001B7BDE" w:rsidRDefault="00151C63" w:rsidP="00151C63">
      <w:pPr>
        <w:spacing w:after="120" w:line="360" w:lineRule="auto"/>
        <w:jc w:val="center"/>
      </w:pPr>
      <w:r>
        <w:t>Рисунок 2.5 – Приклад макета інтерфейсу взаємодії з чат-ботом</w:t>
      </w:r>
    </w:p>
    <w:p w:rsidR="00151C63" w:rsidRPr="001B7BDE" w:rsidRDefault="00151C63" w:rsidP="00151C63">
      <w:pPr>
        <w:spacing w:line="360" w:lineRule="auto"/>
        <w:ind w:firstLine="709"/>
        <w:jc w:val="both"/>
      </w:pPr>
      <w:r>
        <w:t xml:space="preserve">Під час розроблення та впровадження чат-бота необхідно враховувати специфічні умови функціонування майстерні, насамперед ризики, пов’язані з </w:t>
      </w:r>
      <w:r>
        <w:lastRenderedPageBreak/>
        <w:t>нестабільним електроживленням і доступом до мережі Інтернет. Тому в основу технічного рішення доцільно покласти принцип стійкості до перебоїв: дані мають зберігатися в хмарному сховищі з можливістю резервного копіювання, а паперовий облік — використовуватися як гарантований резервний канал на випадок недоступності електронних засобів. У періоди відключень електроенергії робота не зупиняється, а після відновлення живлення внесені на папері відомості переносяться в систему.</w:t>
      </w:r>
    </w:p>
    <w:p w:rsidR="00151C63" w:rsidRPr="001B7BDE" w:rsidRDefault="00151C63" w:rsidP="00151C63">
      <w:pPr>
        <w:spacing w:line="360" w:lineRule="auto"/>
        <w:ind w:firstLine="709"/>
        <w:jc w:val="both"/>
      </w:pPr>
      <w:r>
        <w:t>Очікуваними результатами впровадження чат-бота та супутніх заходів є: підвищення повноти й узгодженості облікових даних; суттєве скорочення витрат часу на пошук та опрацювання інформації; зниження ризику втрати даних завдяки резервному копіюванню; зменшення впливу людського чинника на якість обліку; формування єдиного впорядкованого інформаційного простору організації. Водночас зберігається паперовий контур обліку, що гарантує безперервність роботи майстерні навіть за несприятливих зовнішніх умов [2].</w:t>
      </w:r>
    </w:p>
    <w:p w:rsidR="00151C63" w:rsidRPr="001B7BDE" w:rsidRDefault="00151C63" w:rsidP="00151C63">
      <w:pPr>
        <w:spacing w:line="360" w:lineRule="auto"/>
        <w:ind w:firstLine="709"/>
        <w:jc w:val="both"/>
      </w:pPr>
      <w:r>
        <w:t>На основі проведеного аналізу обґрунтовано доцільність формування гібридної моделі інформаційного забезпечення, що поєднує надійність паперових носіїв із перевагами електронних інструментів, а також визначено основні напрями вдосконалення. Окрему увагу приділено розробленню макета чат-бота для автоматизації інформаційних процесів, описано його функції та особливості впровадження з урахуванням реальних умов функціонування організації. Запропоновані рішення відповідають меті кваліфікаційної роботи й створюють підґрунтя для практичного підвищення ефективності інформаційної діяльності майстерні.</w:t>
      </w:r>
    </w:p>
    <w:p w:rsidR="00151C63" w:rsidRDefault="00151C63" w:rsidP="00151C63">
      <w:pPr>
        <w:pageBreakBefore/>
        <w:spacing w:line="360" w:lineRule="auto"/>
        <w:jc w:val="center"/>
      </w:pPr>
      <w:r>
        <w:rPr>
          <w:b/>
          <w:lang w:val="uk-UA"/>
        </w:rPr>
        <w:lastRenderedPageBreak/>
        <w:t>ВИСНОВКИ</w:t>
      </w:r>
      <w:r>
        <w:rPr>
          <w:b/>
          <w:lang w:val="uk-UA"/>
        </w:rPr>
        <w:br/>
      </w:r>
      <w:r>
        <w:rPr>
          <w:b/>
          <w:lang w:val="uk-UA"/>
        </w:rPr>
        <w:br/>
      </w:r>
    </w:p>
    <w:p w:rsidR="00151C63" w:rsidRDefault="00151C63" w:rsidP="00151C63">
      <w:pPr>
        <w:spacing w:line="360" w:lineRule="auto"/>
        <w:ind w:firstLine="709"/>
        <w:jc w:val="both"/>
      </w:pPr>
      <w:r>
        <w:rPr>
          <w:lang w:val="uk-UA"/>
        </w:rPr>
        <w:t>За результатами виконаного дослідження, мета якого полягала в аналізі корпоративних комунікацій у соціальних мережах і на професійних платформах та обґрунтуванні напрямів удосконалення інформаційної діяльності суб’єкта малого бізнесу, сформульовано такі висновки.</w:t>
      </w:r>
    </w:p>
    <w:p w:rsidR="00151C63" w:rsidRDefault="00151C63" w:rsidP="00151C63">
      <w:pPr>
        <w:spacing w:line="360" w:lineRule="auto"/>
        <w:ind w:firstLine="709"/>
        <w:jc w:val="both"/>
      </w:pPr>
      <w:r>
        <w:rPr>
          <w:lang w:val="uk-UA"/>
        </w:rPr>
        <w:t>1. З’ясовано, що корпоративні комунікації є стратегічно важливим елементом управління сучасною організацією та становлять сукупність процесів, методів та інструментів передавання інформації між організацією і її внутрішнім та зовнішнім середовищем. Установлено, що в умовах цифрової трансформації економіки вони перетворюються на один зі стратегічних активів підприємства, безпосередньо впливаючи на його імідж, репутацію та конкурентоспроможність.</w:t>
      </w:r>
    </w:p>
    <w:p w:rsidR="00151C63" w:rsidRDefault="00151C63" w:rsidP="00151C63">
      <w:pPr>
        <w:spacing w:line="360" w:lineRule="auto"/>
        <w:ind w:firstLine="709"/>
        <w:jc w:val="both"/>
      </w:pPr>
      <w:r>
        <w:rPr>
          <w:lang w:val="uk-UA"/>
        </w:rPr>
        <w:t>2. Систематизовано класифікацію корпоративних комунікацій за спрямованістю (внутрішні та зовнішні), формою, каналом і регулярністю. Визначено, що внутрішні комунікації забезпечують узгодженість дій та формування корпоративної культури, а зовнішні — формують репутацію організації та сприяють залученню клієнтів і партнерів.</w:t>
      </w:r>
    </w:p>
    <w:p w:rsidR="00151C63" w:rsidRDefault="00151C63" w:rsidP="00151C63">
      <w:pPr>
        <w:spacing w:line="360" w:lineRule="auto"/>
        <w:ind w:firstLine="709"/>
        <w:jc w:val="both"/>
      </w:pPr>
      <w:r>
        <w:rPr>
          <w:lang w:val="uk-UA"/>
        </w:rPr>
        <w:t>3. Розкрито роль соціальних мереж як одного з найпотужніших інструментів корпоративних комунікацій. Обґрунтовано, що присутність організації в соціальних медіа стала практично обов’язковою умовою конкурентоспроможності, а основними напрямами їх використання є маркетинг (SMM), управління репутацією, обслуговування клієнтів та рекрутинг.</w:t>
      </w:r>
    </w:p>
    <w:p w:rsidR="00151C63" w:rsidRDefault="00151C63" w:rsidP="00151C63">
      <w:pPr>
        <w:spacing w:line="360" w:lineRule="auto"/>
        <w:ind w:firstLine="709"/>
        <w:jc w:val="both"/>
      </w:pPr>
      <w:r>
        <w:rPr>
          <w:lang w:val="uk-UA"/>
        </w:rPr>
        <w:t>4. Здійснено порівняльну характеристику основних платформ (Instagram, Facebook, TikTok, Telegram) за обсягом аудиторії, типом контенту, перевагами та обмеженнями для бізнесу. Установлено, що вибір платформи має ґрунтуватися на цілях комунікації та особливостях цільової аудиторії, а найбільший ефект досягається за умови інтегрованого використання кількох каналів.</w:t>
      </w:r>
    </w:p>
    <w:p w:rsidR="00151C63" w:rsidRDefault="00151C63" w:rsidP="00151C63">
      <w:pPr>
        <w:spacing w:line="360" w:lineRule="auto"/>
        <w:ind w:firstLine="709"/>
        <w:jc w:val="both"/>
      </w:pPr>
      <w:r>
        <w:rPr>
          <w:lang w:val="uk-UA"/>
        </w:rPr>
        <w:lastRenderedPageBreak/>
        <w:t>5. Досліджено професійні платформи (передусім LinkedIn) як складову системи бізнес-комунікацій. Доведено, що вони є ефективним інструментом B2B-маркетингу, формування особистого та корпоративного бренду, рекрутингу й налагодження ділових контактів, що особливо важливо для виходу на нові ринки.</w:t>
      </w:r>
    </w:p>
    <w:p w:rsidR="00151C63" w:rsidRDefault="00151C63" w:rsidP="00151C63">
      <w:pPr>
        <w:spacing w:line="360" w:lineRule="auto"/>
        <w:ind w:firstLine="709"/>
        <w:jc w:val="both"/>
      </w:pPr>
      <w:r>
        <w:rPr>
          <w:lang w:val="uk-UA"/>
        </w:rPr>
        <w:t>6. Здійснено загальну характеристику діяльності майстерні «Новий сезон» як суб’єкта малого бізнесу: визначено напрями її діяльності, коло партнерів, організаційну структуру та особливості використання Інтернету як каналу постачання ресурсів і збуту продукції.</w:t>
      </w:r>
    </w:p>
    <w:p w:rsidR="00151C63" w:rsidRDefault="00151C63" w:rsidP="00151C63">
      <w:pPr>
        <w:spacing w:line="360" w:lineRule="auto"/>
        <w:ind w:firstLine="709"/>
        <w:jc w:val="both"/>
      </w:pPr>
      <w:r>
        <w:rPr>
          <w:lang w:val="uk-UA"/>
        </w:rPr>
        <w:t>7. Проаналізовано інформаційні потоки, ресурси та документообіг організації. Установлено, що документообіг має переважно паперовий характер з окремими елементами електронного ведення, а ключовими проблемами є розрізненість інформації, неповне та несвоєчасне її перенесення в електронну форму, що загострюється в умовах відключень електроенергії.</w:t>
      </w:r>
    </w:p>
    <w:p w:rsidR="00151C63" w:rsidRDefault="00151C63" w:rsidP="00151C63">
      <w:pPr>
        <w:spacing w:line="360" w:lineRule="auto"/>
        <w:ind w:firstLine="709"/>
        <w:jc w:val="both"/>
      </w:pPr>
      <w:r>
        <w:rPr>
          <w:lang w:val="uk-UA"/>
        </w:rPr>
        <w:t>8. За результатами SWOT-аналізу та систематизації проблем виявлено основне протиріччя наявної системи інформаційного забезпечення: електронні засоби пришвидшують роботу, але є вразливими до перебоїв з електропостачанням та доступом до мережі, тоді як паперові носії надійніші, проте трудомісткі й не забезпечують автоматизованого опрацювання даних.</w:t>
      </w:r>
    </w:p>
    <w:p w:rsidR="00151C63" w:rsidRDefault="00151C63" w:rsidP="00151C63">
      <w:pPr>
        <w:spacing w:line="360" w:lineRule="auto"/>
        <w:ind w:firstLine="709"/>
        <w:jc w:val="both"/>
      </w:pPr>
      <w:r>
        <w:rPr>
          <w:lang w:val="uk-UA"/>
        </w:rPr>
        <w:t>9. Обґрунтовано доцільність формування гібридної моделі інформаційного забезпечення, що поєднує надійність паперових носіїв із перевагами електронних інструментів. Визначено основні напрями вдосконалення: уніфікація форм обліку, запровадження регламенту оцифрування записів, розширення хмарних інструментів із резервним копіюванням та структурування внутрішнього чату.</w:t>
      </w:r>
    </w:p>
    <w:p w:rsidR="00151C63" w:rsidRDefault="00151C63" w:rsidP="00151C63">
      <w:pPr>
        <w:spacing w:line="360" w:lineRule="auto"/>
        <w:ind w:firstLine="709"/>
        <w:jc w:val="both"/>
      </w:pPr>
      <w:r>
        <w:rPr>
          <w:lang w:val="uk-UA"/>
        </w:rPr>
        <w:t>10. Розроблено макет чат-бота для автоматизації інформаційних процесів майстерні, описано його основні функції (облік замовлень і матеріалів, нагадування та статуси, пошук інформації, експорт і резервне копіювання, формування звітів) та особливості впровадження з урахуванням принципу стійкості до перебоїв електроживлення.</w:t>
      </w:r>
    </w:p>
    <w:p w:rsidR="00151C63" w:rsidRDefault="00151C63" w:rsidP="00151C63">
      <w:pPr>
        <w:spacing w:line="360" w:lineRule="auto"/>
        <w:ind w:firstLine="709"/>
        <w:jc w:val="both"/>
      </w:pPr>
      <w:r>
        <w:rPr>
          <w:lang w:val="uk-UA"/>
        </w:rPr>
        <w:lastRenderedPageBreak/>
        <w:t>11. Практичне значення одержаних результатів полягає в тому, що сформульовані рекомендації та запропонований макет чат-бота можуть бути використані майстернею «Новий сезон» та іншими суб’єктами малого бізнесу для підвищення ефективності інформаційної діяльності, упорядкування документообігу й автоматизації рутинних операцій.</w:t>
      </w:r>
    </w:p>
    <w:p w:rsidR="00151C63" w:rsidRDefault="00151C63" w:rsidP="00151C63">
      <w:pPr>
        <w:spacing w:line="360" w:lineRule="auto"/>
        <w:ind w:firstLine="709"/>
        <w:jc w:val="both"/>
      </w:pPr>
      <w:r>
        <w:rPr>
          <w:lang w:val="uk-UA"/>
        </w:rPr>
        <w:t>12. Перспективними напрямами подальших досліджень є розроблення повнофункціонального програмного рішення чат-бота та його інтеграція з хмарними сервісами, поглиблене вивчення метрик ефективності комунікацій у соціальних мережах, а також адаптація запропонованої гібридної моделі інформаційного забезпечення до інших типів підприємств.</w:t>
      </w:r>
    </w:p>
    <w:p w:rsidR="00151C63" w:rsidRDefault="00151C63" w:rsidP="00151C63">
      <w:pPr>
        <w:pageBreakBefore/>
        <w:spacing w:line="360" w:lineRule="auto"/>
        <w:jc w:val="center"/>
      </w:pPr>
      <w:r>
        <w:rPr>
          <w:b/>
          <w:lang w:val="uk-UA"/>
        </w:rPr>
        <w:lastRenderedPageBreak/>
        <w:t>СПИСОК ВИКОРИСТАНИХ ДЖЕРЕЛ</w:t>
      </w:r>
      <w:r>
        <w:rPr>
          <w:b/>
          <w:lang w:val="uk-UA"/>
        </w:rPr>
        <w:br/>
      </w:r>
      <w:r>
        <w:rPr>
          <w:b/>
          <w:lang w:val="uk-UA"/>
        </w:rPr>
        <w:br/>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Бездрабко В. В. Документознавство в Україні: інституціоналізація та сучасний розвиток : монографія. Київ : Четверта хвиля, 2009. 720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Від автоматизації до повторних продажів: як чат-боти допомагають бізнесу рости / Netpeak. 2025. URL: https://netpeak.net/uk/blog/vid-avtomatizatsii-do-povtornikh-prodazhiv-yak-chat-boti-dopomagayut-biznesu-rosti/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ДСТУ 2732:2004. Діловодство й архівна справа. Терміни та визначення понять. Київ : Держспоживстандарт України, 2005. 31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ДСТУ 4163:2020. Державна уніфікована система документації. Уніфікована система організаційно-розпорядчої документації. Вимоги до оформлення документів. Київ : ДП «УкрНДНЦ», 2021. 32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ДСТУ 8302:2015. Інформація та документація. Бібліографічне посилання. Загальні положення та правила складання. Київ : ДП «УкрНДНЦ», 2016. 17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Королько В. Г. Паблік рилейшнз. Наукові основи, методика, практика : підручник. 2-ге вид., допов. Київ : Скарби, 2001. 400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Кулицький С. П. Основи організації інформаційної діяльності у сфері управління : навчальний посібник. Київ : МАУП, 2002. 224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Кушнаренко Н. М. Документознавство : підручник. 8-ме вид., переробл. і допов. Київ : Знання, 2008. 459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Матвієнко О. В., Цивін М. Н. Основи менеджменту інформаційних систем : навчальний посібник. Київ : Центр навчальної літератури, 2005. 176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Мойсеєв В. А. Паблік рилейшнз : навчальний посібник. Київ : Академвидав, 2007. 224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Окландер М. А. Маркетингові комунікації промислових підприємств в умовах інформаційної економіки : монографія. Київ : Знання, 2011. 232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Палеха Ю. І. Управлінське документування : навчальний посібник. Київ : Ліра-К, 2020. 344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lastRenderedPageBreak/>
        <w:t>Почепцов Г. Г. Паблік рилейшнз для професіоналів. Київ : Рефл-бук ; Ваклер, 2000. 624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Примак Т. О. Маркетингові комунікації : навчальний посібник. Київ : Ельга ; Ніка-Центр, 2003. 280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Про авторське право і суміжні права : Закон України від 01.12.2022 № 2811-IX. URL: https://zakon.rada.gov.ua/laws/show/2811-20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Про електронні документи та електронний документообіг : Закон України від 22.05.2003 № 851-IV. URL: https://zakon.rada.gov.ua/laws/show/851-15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Про електронні комунікації : Закон України від 16.12.2020 № 1089-IX. URL: https://zakon.rada.gov.ua/laws/show/1089-20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Про захист персональних даних : Закон України від 01.06.2010 № 2297-VI. URL: https://zakon.rada.gov.ua/laws/show/2297-17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Про інформацію : Закон України від 02.10.1992 № 2657-XII. URL: https://zakon.rada.gov.ua/laws/show/2657-12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Про рекламу : Закон України від 03.07.1996 № 270/96-ВР. URL: https://zakon.rada.gov.ua/laws/show/270/96-вр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Ромат Є. В. Реклама : підручник. 4-те вид., переробл. та допов. Київ : Студцентр, 2016. 608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Слісаренко І. Ю. Паблік рилейшнз у системі комунікації та управління : навчальний посібник. Київ : МАУП, 2001. 104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Тихомирова Є. Б. Зв'язки з громадськістю : навчальний посібник. Київ : НМЦВО, 2001. 560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Халілов Д. Маркетинг у соціальних мережах. Київ : Терра Інкогніта, 2018. 240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Швецова-Водка Г. М. Документознавство : навчальний посібник. Київ : Знання, 2007. 398 с.</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Як чат-боти використовуються в бізнесі / Kyivstar Business Hub. 2024. URL: https://hub.kyivstar.ua/articles/yak-chat-boti-vikoristovuyutsya-v-biznesi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lastRenderedPageBreak/>
        <w:t>Ярмолюк О. Я., Фісун Ю. В., Шаповалова А. А. Маркетинг соціальних мереж: сучасний виклик. Маркетинг і цифрові технології. 2022. Т. 6, № 3. С. 4–17.</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Communication ROI Study: Capitalizing on Effective Communication / Watson Wyatt Worldwide. Washington, 2010. 28 p.</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Digital 2024: Global Overview Report / We Are Social, Meltwater. DataReportal, 2024. URL: https://datareportal.com/reports/digital-2024-global-overview-report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Digital 2024: Ukraine / We Are Social, Meltwater. DataReportal, 2024. URL: https://datareportal.com/reports/digital-2024-ukraine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Godin S. Permission Marketing: Turning Strangers into Friends and Friends into Customers. New York : Simon &amp; Schuster, 1999. 255 p.</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Halligan B., Shah D. Inbound Marketing: Attract, Engage, and Delight Customers Online. 2nd ed. Hoboken : John Wiley &amp; Sons, 2014. 232 p.</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Kaplan A. M., Haenlein M. Users of the world, unite! The challenges and opportunities of Social Media. Business Horizons. 2010. Vol. 53, No. 1. P. 59–68.</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Kotler P., Kartajaya H., Setiawan I. Marketing 4.0: Moving from Traditional to Digital. Hoboken : John Wiley &amp; Sons, 2017. 208 p.</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Kotler P., Kartajaya H., Setiawan I. Marketing 5.0: Technology for Humanity. Hoboken : John Wiley &amp; Sons, 2021. 224 p.</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LinkedIn Marketing Solutions: B2B Marketing Benchmark / LinkedIn. 2024. URL: https://business.linkedin.com/marketing-solutions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Local Consumer Review Survey / BrightLocal. 2024. URL: https://www.brightlocal.com/research/local-consumer-review-survey/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Pulizzi J. Epic Content Marketing. New York : McGraw-Hill Education, 2014. 352 p.</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Qualman E. Socialnomics: How Social Media Transforms the Way We Live and Do Business. Hoboken : John Wiley &amp; Sons, 2009. 304 p.</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Recruiter Nation Report / Jobvite. 2023. URL: https://www.jobvite.com/lp/recruiter-nation-report/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lastRenderedPageBreak/>
        <w:t>Scott D. M. The New Rules of Marketing and PR. 8th ed. Hoboken : John Wiley &amp; Sons, 2022. 448 p.</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Social commerce — statistics &amp; facts / Statista. Hamburg : Statista, 2024. URL: https://www.statista.com/topics/8757/social-commerce/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The Sprout Social Index / Sprout Social. 2024. URL: https://sproutsocial.com/insights/index/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State of the Global Workplace / Gallup. Washington : Gallup, 2024. URL: https://www.gallup.com/workplace/ .</w:t>
      </w:r>
    </w:p>
    <w:p w:rsidR="00151C63" w:rsidRPr="00D577FC" w:rsidRDefault="00151C63" w:rsidP="00151C63">
      <w:pPr>
        <w:pStyle w:val="ListParagraph"/>
        <w:numPr>
          <w:ilvl w:val="0"/>
          <w:numId w:val="2"/>
        </w:numPr>
        <w:spacing w:line="360" w:lineRule="auto"/>
        <w:ind w:left="142" w:firstLine="709"/>
        <w:jc w:val="both"/>
        <w:rPr>
          <w:lang w:val="uk-UA"/>
        </w:rPr>
      </w:pPr>
      <w:r>
        <w:rPr>
          <w:lang w:val="uk-UA"/>
        </w:rPr>
        <w:t>Van Riel C. B. M., Fombrun C. J. Essentials of Corporate Communication: Implementing Practices for Effective Reputation Management. London : Routledge, 2007. 306 p.</w:t>
      </w:r>
    </w:p>
    <w:sectPr w:rsidR="00151C63" w:rsidRPr="00D577FC" w:rsidSect="00C4294F">
      <w:headerReference w:type="default" r:id="rId14"/>
      <w:pgSz w:w="11906" w:h="16838"/>
      <w:pgMar w:top="1134" w:right="567" w:bottom="1134" w:left="1701" w:header="708" w:footer="708"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863" w:rsidRDefault="00D66863" w:rsidP="001B7BDE">
      <w:r>
        <w:separator/>
      </w:r>
    </w:p>
  </w:endnote>
  <w:endnote w:type="continuationSeparator" w:id="0">
    <w:p w:rsidR="00D66863" w:rsidRDefault="00D66863" w:rsidP="001B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863" w:rsidRDefault="00D66863" w:rsidP="001B7BDE">
      <w:r>
        <w:separator/>
      </w:r>
    </w:p>
  </w:footnote>
  <w:footnote w:type="continuationSeparator" w:id="0">
    <w:p w:rsidR="00D66863" w:rsidRDefault="00D66863" w:rsidP="001B7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94F" w:rsidRDefault="00C4294F" w:rsidP="00C4294F">
    <w:pPr>
      <w:pStyle w:val="Header"/>
      <w:framePr w:wrap="none" w:vAnchor="text" w:hAnchor="margin" w:xAlign="right" w:y="1"/>
      <w:ind w:right="360"/>
      <w:rPr>
        <w:rStyle w:val="PageNumber"/>
      </w:rPr>
    </w:pPr>
  </w:p>
  <w:p w:rsidR="00C4294F" w:rsidRDefault="00C4294F" w:rsidP="00C429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0DC" w:rsidRDefault="00000000">
    <w:pPr>
      <w:pStyle w:val="Header"/>
      <w:jc w:val="right"/>
    </w:pPr>
    <w:r>
      <w:fldChar w:fldCharType="begin"/>
    </w:r>
    <w:r>
      <w:instrText xml:space="preserve"> PAGE </w:instrText>
    </w:r>
    <w:r>
      <w:fldChar w:fldCharType="separate"/>
    </w:r>
    <w:r w:rsidR="00D85F72">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D4B19"/>
    <w:multiLevelType w:val="hybridMultilevel"/>
    <w:tmpl w:val="9EE651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B872B06"/>
    <w:multiLevelType w:val="hybridMultilevel"/>
    <w:tmpl w:val="D6E6B9D8"/>
    <w:lvl w:ilvl="0" w:tplc="0E5C49A2">
      <w:start w:val="1"/>
      <w:numFmt w:val="bullet"/>
      <w:lvlText w:val="●"/>
      <w:lvlJc w:val="left"/>
      <w:pPr>
        <w:ind w:left="720" w:hanging="360"/>
      </w:pPr>
    </w:lvl>
    <w:lvl w:ilvl="1" w:tplc="2C4A676A">
      <w:start w:val="1"/>
      <w:numFmt w:val="bullet"/>
      <w:lvlText w:val="○"/>
      <w:lvlJc w:val="left"/>
      <w:pPr>
        <w:ind w:left="1440" w:hanging="360"/>
      </w:pPr>
    </w:lvl>
    <w:lvl w:ilvl="2" w:tplc="D110D524">
      <w:start w:val="1"/>
      <w:numFmt w:val="bullet"/>
      <w:lvlText w:val="■"/>
      <w:lvlJc w:val="left"/>
      <w:pPr>
        <w:ind w:left="2160" w:hanging="360"/>
      </w:pPr>
    </w:lvl>
    <w:lvl w:ilvl="3" w:tplc="6614A892">
      <w:start w:val="1"/>
      <w:numFmt w:val="bullet"/>
      <w:lvlText w:val="●"/>
      <w:lvlJc w:val="left"/>
      <w:pPr>
        <w:ind w:left="2880" w:hanging="360"/>
      </w:pPr>
    </w:lvl>
    <w:lvl w:ilvl="4" w:tplc="7CB4A244">
      <w:start w:val="1"/>
      <w:numFmt w:val="bullet"/>
      <w:lvlText w:val="○"/>
      <w:lvlJc w:val="left"/>
      <w:pPr>
        <w:ind w:left="3600" w:hanging="360"/>
      </w:pPr>
    </w:lvl>
    <w:lvl w:ilvl="5" w:tplc="A31270E0">
      <w:start w:val="1"/>
      <w:numFmt w:val="bullet"/>
      <w:lvlText w:val="■"/>
      <w:lvlJc w:val="left"/>
      <w:pPr>
        <w:ind w:left="4320" w:hanging="360"/>
      </w:pPr>
    </w:lvl>
    <w:lvl w:ilvl="6" w:tplc="9B40587A">
      <w:start w:val="1"/>
      <w:numFmt w:val="bullet"/>
      <w:lvlText w:val="●"/>
      <w:lvlJc w:val="left"/>
      <w:pPr>
        <w:ind w:left="5040" w:hanging="360"/>
      </w:pPr>
    </w:lvl>
    <w:lvl w:ilvl="7" w:tplc="BD96C33A">
      <w:start w:val="1"/>
      <w:numFmt w:val="bullet"/>
      <w:lvlText w:val="●"/>
      <w:lvlJc w:val="left"/>
      <w:pPr>
        <w:ind w:left="5760" w:hanging="360"/>
      </w:pPr>
    </w:lvl>
    <w:lvl w:ilvl="8" w:tplc="02DAAF40">
      <w:start w:val="1"/>
      <w:numFmt w:val="bullet"/>
      <w:lvlText w:val="●"/>
      <w:lvlJc w:val="left"/>
      <w:pPr>
        <w:ind w:left="6480" w:hanging="360"/>
      </w:pPr>
    </w:lvl>
  </w:abstractNum>
  <w:num w:numId="1" w16cid:durableId="909654277">
    <w:abstractNumId w:val="1"/>
    <w:lvlOverride w:ilvl="0">
      <w:startOverride w:val="1"/>
    </w:lvlOverride>
  </w:num>
  <w:num w:numId="2" w16cid:durableId="760219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D8B"/>
    <w:rsid w:val="00051FBE"/>
    <w:rsid w:val="000C64E2"/>
    <w:rsid w:val="001043C9"/>
    <w:rsid w:val="00146B2D"/>
    <w:rsid w:val="00151C63"/>
    <w:rsid w:val="0018461A"/>
    <w:rsid w:val="001B7BDE"/>
    <w:rsid w:val="00251837"/>
    <w:rsid w:val="002628AE"/>
    <w:rsid w:val="002E0F36"/>
    <w:rsid w:val="0032718C"/>
    <w:rsid w:val="00397ED4"/>
    <w:rsid w:val="004F3A35"/>
    <w:rsid w:val="00512189"/>
    <w:rsid w:val="005A1211"/>
    <w:rsid w:val="006F1C1D"/>
    <w:rsid w:val="00750D43"/>
    <w:rsid w:val="007A46AD"/>
    <w:rsid w:val="00844967"/>
    <w:rsid w:val="0086286F"/>
    <w:rsid w:val="00863690"/>
    <w:rsid w:val="008733FF"/>
    <w:rsid w:val="008A0F81"/>
    <w:rsid w:val="00972F07"/>
    <w:rsid w:val="00974D1E"/>
    <w:rsid w:val="00980503"/>
    <w:rsid w:val="00990F79"/>
    <w:rsid w:val="00A9560E"/>
    <w:rsid w:val="00AB42F6"/>
    <w:rsid w:val="00B6432D"/>
    <w:rsid w:val="00B83715"/>
    <w:rsid w:val="00BD0919"/>
    <w:rsid w:val="00C4294F"/>
    <w:rsid w:val="00D2346C"/>
    <w:rsid w:val="00D540DC"/>
    <w:rsid w:val="00D577FC"/>
    <w:rsid w:val="00D61AA1"/>
    <w:rsid w:val="00D66863"/>
    <w:rsid w:val="00D85F72"/>
    <w:rsid w:val="00DB3D0E"/>
    <w:rsid w:val="00DE1776"/>
    <w:rsid w:val="00E040E3"/>
    <w:rsid w:val="00E71EA2"/>
    <w:rsid w:val="00E7468D"/>
    <w:rsid w:val="00E87072"/>
    <w:rsid w:val="00E96D8B"/>
    <w:rsid w:val="00F07A48"/>
    <w:rsid w:val="00F319FB"/>
    <w:rsid w:val="00F46A35"/>
    <w:rsid w:val="00F647A5"/>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9B10"/>
  <w15:docId w15:val="{74903CD5-A239-1549-BEFB-51C95FEB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semiHidden/>
    <w:unhideWhenUsed/>
    <w:qFormat/>
    <w:pPr>
      <w:outlineLvl w:val="1"/>
    </w:pPr>
    <w:rPr>
      <w:color w:val="2E74B5"/>
      <w:sz w:val="26"/>
      <w:szCs w:val="26"/>
    </w:rPr>
  </w:style>
  <w:style w:type="paragraph" w:styleId="Heading3">
    <w:name w:val="heading 3"/>
    <w:link w:val="Heading3Char"/>
    <w:uiPriority w:val="9"/>
    <w:semiHidden/>
    <w:unhideWhenUsed/>
    <w:qFormat/>
    <w:pPr>
      <w:outlineLvl w:val="2"/>
    </w:pPr>
    <w:rPr>
      <w:color w:val="1F4D78"/>
      <w:sz w:val="24"/>
      <w:szCs w:val="24"/>
    </w:rPr>
  </w:style>
  <w:style w:type="paragraph" w:styleId="Heading4">
    <w:name w:val="heading 4"/>
    <w:link w:val="Heading4Char"/>
    <w:uiPriority w:val="9"/>
    <w:semiHidden/>
    <w:unhideWhenUsed/>
    <w:qFormat/>
    <w:pPr>
      <w:outlineLvl w:val="3"/>
    </w:pPr>
    <w:rPr>
      <w:i/>
      <w:iCs/>
      <w:color w:val="2E74B5"/>
    </w:rPr>
  </w:style>
  <w:style w:type="paragraph" w:styleId="Heading5">
    <w:name w:val="heading 5"/>
    <w:link w:val="Heading5Char"/>
    <w:uiPriority w:val="9"/>
    <w:semiHidden/>
    <w:unhideWhenUsed/>
    <w:qFormat/>
    <w:pPr>
      <w:outlineLvl w:val="4"/>
    </w:pPr>
    <w:rPr>
      <w:color w:val="2E74B5"/>
    </w:rPr>
  </w:style>
  <w:style w:type="paragraph" w:styleId="Heading6">
    <w:name w:val="heading 6"/>
    <w:link w:val="Heading6Char"/>
    <w:uiPriority w:val="9"/>
    <w:semiHidden/>
    <w:unhideWhenUsed/>
    <w:qFormat/>
    <w:pPr>
      <w:outlineLvl w:val="5"/>
    </w:pPr>
    <w:rPr>
      <w:color w:val="1F4D78"/>
    </w:rPr>
  </w:style>
  <w:style w:type="paragraph" w:styleId="Heading9">
    <w:name w:val="heading 9"/>
    <w:basedOn w:val="Normal"/>
    <w:next w:val="Normal"/>
    <w:link w:val="Heading9Char"/>
    <w:uiPriority w:val="9"/>
    <w:semiHidden/>
    <w:unhideWhenUsed/>
    <w:qFormat/>
    <w:rsid w:val="00146B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B7BDE"/>
    <w:pPr>
      <w:tabs>
        <w:tab w:val="center" w:pos="4680"/>
        <w:tab w:val="right" w:pos="9360"/>
      </w:tabs>
    </w:pPr>
  </w:style>
  <w:style w:type="character" w:customStyle="1" w:styleId="HeaderChar">
    <w:name w:val="Header Char"/>
    <w:basedOn w:val="DefaultParagraphFont"/>
    <w:link w:val="Header"/>
    <w:uiPriority w:val="99"/>
    <w:rsid w:val="001B7BDE"/>
  </w:style>
  <w:style w:type="paragraph" w:styleId="Footer">
    <w:name w:val="footer"/>
    <w:basedOn w:val="Normal"/>
    <w:link w:val="FooterChar"/>
    <w:uiPriority w:val="99"/>
    <w:unhideWhenUsed/>
    <w:rsid w:val="001B7BDE"/>
    <w:pPr>
      <w:tabs>
        <w:tab w:val="center" w:pos="4680"/>
        <w:tab w:val="right" w:pos="9360"/>
      </w:tabs>
    </w:pPr>
  </w:style>
  <w:style w:type="character" w:customStyle="1" w:styleId="FooterChar">
    <w:name w:val="Footer Char"/>
    <w:basedOn w:val="DefaultParagraphFont"/>
    <w:link w:val="Footer"/>
    <w:uiPriority w:val="99"/>
    <w:rsid w:val="001B7BDE"/>
  </w:style>
  <w:style w:type="paragraph" w:styleId="NormalWeb">
    <w:name w:val="Normal (Web)"/>
    <w:basedOn w:val="Normal"/>
    <w:uiPriority w:val="99"/>
    <w:unhideWhenUsed/>
    <w:rsid w:val="00397ED4"/>
    <w:pPr>
      <w:spacing w:before="100" w:beforeAutospacing="1" w:after="100" w:afterAutospacing="1"/>
    </w:pPr>
    <w:rPr>
      <w:sz w:val="24"/>
      <w:szCs w:val="24"/>
    </w:rPr>
  </w:style>
  <w:style w:type="character" w:styleId="Strong">
    <w:name w:val="Strong"/>
    <w:basedOn w:val="DefaultParagraphFont"/>
    <w:uiPriority w:val="22"/>
    <w:qFormat/>
    <w:rsid w:val="00D61AA1"/>
    <w:rPr>
      <w:b/>
      <w:bCs/>
    </w:rPr>
  </w:style>
  <w:style w:type="character" w:customStyle="1" w:styleId="Heading9Char">
    <w:name w:val="Heading 9 Char"/>
    <w:basedOn w:val="DefaultParagraphFont"/>
    <w:link w:val="Heading9"/>
    <w:uiPriority w:val="9"/>
    <w:semiHidden/>
    <w:rsid w:val="00146B2D"/>
    <w:rPr>
      <w:rFonts w:asciiTheme="majorHAnsi" w:eastAsiaTheme="majorEastAsia" w:hAnsiTheme="majorHAnsi" w:cstheme="majorBidi"/>
      <w:i/>
      <w:iCs/>
      <w:color w:val="272727" w:themeColor="text1" w:themeTint="D8"/>
      <w:sz w:val="21"/>
      <w:szCs w:val="21"/>
    </w:rPr>
  </w:style>
  <w:style w:type="paragraph" w:customStyle="1" w:styleId="Default">
    <w:name w:val="Default"/>
    <w:rsid w:val="00146B2D"/>
    <w:pPr>
      <w:autoSpaceDE w:val="0"/>
      <w:autoSpaceDN w:val="0"/>
      <w:adjustRightInd w:val="0"/>
    </w:pPr>
    <w:rPr>
      <w:rFonts w:ascii="Arial" w:eastAsia="Calibri" w:hAnsi="Arial" w:cs="Arial"/>
      <w:color w:val="000000"/>
      <w:sz w:val="24"/>
      <w:szCs w:val="24"/>
      <w:lang w:val="ru-RU"/>
    </w:rPr>
  </w:style>
  <w:style w:type="paragraph" w:styleId="BodyText">
    <w:name w:val="Body Text"/>
    <w:basedOn w:val="Normal"/>
    <w:link w:val="BodyTextChar"/>
    <w:uiPriority w:val="99"/>
    <w:semiHidden/>
    <w:rsid w:val="00146B2D"/>
    <w:pPr>
      <w:spacing w:after="120"/>
    </w:pPr>
    <w:rPr>
      <w:rFonts w:ascii="Calibri" w:hAnsi="Calibri"/>
      <w:sz w:val="20"/>
      <w:szCs w:val="20"/>
      <w:lang w:val="uk-UA"/>
    </w:rPr>
  </w:style>
  <w:style w:type="character" w:customStyle="1" w:styleId="BodyTextChar">
    <w:name w:val="Body Text Char"/>
    <w:basedOn w:val="DefaultParagraphFont"/>
    <w:link w:val="BodyText"/>
    <w:uiPriority w:val="99"/>
    <w:semiHidden/>
    <w:rsid w:val="00146B2D"/>
    <w:rPr>
      <w:rFonts w:ascii="Calibri" w:hAnsi="Calibri"/>
      <w:sz w:val="20"/>
      <w:szCs w:val="20"/>
      <w:lang w:val="uk-UA"/>
    </w:rPr>
  </w:style>
  <w:style w:type="paragraph" w:customStyle="1" w:styleId="11">
    <w:name w:val="Заголовок 11"/>
    <w:basedOn w:val="Normal"/>
    <w:rsid w:val="00146B2D"/>
    <w:pPr>
      <w:widowControl w:val="0"/>
      <w:autoSpaceDE w:val="0"/>
      <w:autoSpaceDN w:val="0"/>
      <w:adjustRightInd w:val="0"/>
      <w:outlineLvl w:val="0"/>
    </w:pPr>
    <w:rPr>
      <w:b/>
      <w:bCs/>
      <w:lang w:val="uk-UA" w:eastAsia="uk-UA"/>
    </w:rPr>
  </w:style>
  <w:style w:type="paragraph" w:customStyle="1" w:styleId="isselectedend">
    <w:name w:val="isselectedend"/>
    <w:basedOn w:val="Normal"/>
    <w:rsid w:val="00151C63"/>
    <w:pPr>
      <w:spacing w:before="100" w:beforeAutospacing="1" w:after="100" w:afterAutospacing="1"/>
    </w:pPr>
    <w:rPr>
      <w:sz w:val="24"/>
      <w:szCs w:val="24"/>
    </w:rPr>
  </w:style>
  <w:style w:type="character" w:customStyle="1" w:styleId="apple-converted-space">
    <w:name w:val="apple-converted-space"/>
    <w:basedOn w:val="DefaultParagraphFont"/>
    <w:rsid w:val="00151C63"/>
  </w:style>
  <w:style w:type="table" w:styleId="TableGrid">
    <w:name w:val="Table Grid"/>
    <w:basedOn w:val="TableNormal"/>
    <w:uiPriority w:val="39"/>
    <w:rsid w:val="00151C63"/>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1C63"/>
    <w:rPr>
      <w:color w:val="2E74B5"/>
      <w:sz w:val="32"/>
      <w:szCs w:val="32"/>
    </w:rPr>
  </w:style>
  <w:style w:type="character" w:customStyle="1" w:styleId="Heading2Char">
    <w:name w:val="Heading 2 Char"/>
    <w:basedOn w:val="DefaultParagraphFont"/>
    <w:link w:val="Heading2"/>
    <w:uiPriority w:val="9"/>
    <w:semiHidden/>
    <w:rsid w:val="00151C63"/>
    <w:rPr>
      <w:color w:val="2E74B5"/>
      <w:sz w:val="26"/>
      <w:szCs w:val="26"/>
    </w:rPr>
  </w:style>
  <w:style w:type="character" w:customStyle="1" w:styleId="Heading3Char">
    <w:name w:val="Heading 3 Char"/>
    <w:basedOn w:val="DefaultParagraphFont"/>
    <w:link w:val="Heading3"/>
    <w:uiPriority w:val="9"/>
    <w:semiHidden/>
    <w:rsid w:val="00151C63"/>
    <w:rPr>
      <w:color w:val="1F4D78"/>
      <w:sz w:val="24"/>
      <w:szCs w:val="24"/>
    </w:rPr>
  </w:style>
  <w:style w:type="character" w:customStyle="1" w:styleId="Heading4Char">
    <w:name w:val="Heading 4 Char"/>
    <w:basedOn w:val="DefaultParagraphFont"/>
    <w:link w:val="Heading4"/>
    <w:uiPriority w:val="9"/>
    <w:semiHidden/>
    <w:rsid w:val="00151C63"/>
    <w:rPr>
      <w:i/>
      <w:iCs/>
      <w:color w:val="2E74B5"/>
    </w:rPr>
  </w:style>
  <w:style w:type="character" w:customStyle="1" w:styleId="Heading5Char">
    <w:name w:val="Heading 5 Char"/>
    <w:basedOn w:val="DefaultParagraphFont"/>
    <w:link w:val="Heading5"/>
    <w:uiPriority w:val="9"/>
    <w:semiHidden/>
    <w:rsid w:val="00151C63"/>
    <w:rPr>
      <w:color w:val="2E74B5"/>
    </w:rPr>
  </w:style>
  <w:style w:type="character" w:customStyle="1" w:styleId="Heading6Char">
    <w:name w:val="Heading 6 Char"/>
    <w:basedOn w:val="DefaultParagraphFont"/>
    <w:link w:val="Heading6"/>
    <w:uiPriority w:val="9"/>
    <w:semiHidden/>
    <w:rsid w:val="00151C63"/>
    <w:rPr>
      <w:color w:val="1F4D78"/>
    </w:rPr>
  </w:style>
  <w:style w:type="character" w:customStyle="1" w:styleId="TitleChar">
    <w:name w:val="Title Char"/>
    <w:basedOn w:val="DefaultParagraphFont"/>
    <w:link w:val="Title"/>
    <w:uiPriority w:val="10"/>
    <w:rsid w:val="00151C63"/>
    <w:rPr>
      <w:sz w:val="56"/>
      <w:szCs w:val="56"/>
    </w:rPr>
  </w:style>
  <w:style w:type="character" w:styleId="PageNumber">
    <w:name w:val="page number"/>
    <w:basedOn w:val="DefaultParagraphFont"/>
    <w:uiPriority w:val="99"/>
    <w:semiHidden/>
    <w:unhideWhenUsed/>
    <w:rsid w:val="00C42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A3EAA-3FA9-774A-8DCD-604F23246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17138</Words>
  <Characters>97691</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Tania</cp:lastModifiedBy>
  <cp:revision>2</cp:revision>
  <cp:lastPrinted>2026-06-12T05:20:00Z</cp:lastPrinted>
  <dcterms:created xsi:type="dcterms:W3CDTF">2026-06-12T07:54:00Z</dcterms:created>
  <dcterms:modified xsi:type="dcterms:W3CDTF">2026-06-12T07:54:00Z</dcterms:modified>
</cp:coreProperties>
</file>