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theme/themeOverride2.xml" ContentType="application/vnd.openxmlformats-officedocument.themeOverride+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Override PartName="/word/theme/themeOverride1.xml" ContentType="application/vnd.openxmlformats-officedocument.themeOverrid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2FC" w:rsidRPr="007752FC" w:rsidRDefault="00A5504A" w:rsidP="0002618C">
      <w:pPr>
        <w:pStyle w:val="Default"/>
        <w:jc w:val="center"/>
        <w:rPr>
          <w:b/>
          <w:bCs/>
          <w:sz w:val="28"/>
          <w:szCs w:val="28"/>
        </w:rPr>
      </w:pPr>
      <w:r w:rsidRPr="00A5504A">
        <w:rPr>
          <w:noProof/>
          <w:lang w:val="ru-RU" w:eastAsia="ru-RU"/>
        </w:rPr>
        <w:pict>
          <v:rect id="Прямоугольник 96" o:spid="_x0000_s1033" style="position:absolute;left:0;text-align:left;margin-left:447.85pt;margin-top:-36.7pt;width:38.5pt;height:36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" stroked="f"/>
        </w:pict>
      </w:r>
      <w:r w:rsidR="007752FC" w:rsidRPr="007752FC">
        <w:rPr>
          <w:b/>
          <w:bCs/>
          <w:sz w:val="28"/>
          <w:szCs w:val="28"/>
        </w:rPr>
        <w:t>МІНІСТЕРСТВО ОСВІТИ І НАУКИ УКРАЇНИ</w:t>
      </w:r>
    </w:p>
    <w:p w:rsidR="007752FC" w:rsidRPr="007752FC" w:rsidRDefault="007752FC" w:rsidP="0002618C">
      <w:pPr>
        <w:spacing w:after="0" w:line="240" w:lineRule="auto"/>
        <w:jc w:val="center"/>
        <w:rPr>
          <w:rFonts w:ascii="Times New Roman" w:hAnsi="Times New Roman"/>
          <w:b/>
          <w:bCs/>
          <w:sz w:val="12"/>
          <w:szCs w:val="12"/>
        </w:rPr>
      </w:pPr>
    </w:p>
    <w:p w:rsidR="00AB2337" w:rsidRPr="007752FC" w:rsidRDefault="007752FC" w:rsidP="0002618C">
      <w:pPr>
        <w:spacing w:after="0"/>
        <w:jc w:val="center"/>
        <w:rPr>
          <w:rFonts w:ascii="Times New Roman" w:hAnsi="Times New Roman"/>
          <w:b/>
          <w:bCs/>
          <w:color w:val="000000"/>
          <w:sz w:val="28"/>
          <w:szCs w:val="28"/>
        </w:rPr>
      </w:pPr>
      <w:r w:rsidRPr="007752FC">
        <w:rPr>
          <w:rFonts w:ascii="Times New Roman" w:hAnsi="Times New Roman"/>
          <w:b/>
          <w:bCs/>
          <w:sz w:val="28"/>
          <w:szCs w:val="28"/>
        </w:rPr>
        <w:t>ІВАНО-ФРАНКІВСЬКИЙ НАЦІОНАЛЬНИЙ ТЕХНІЧНИЙ УНІВЕРСИТЕТ НАФТИ І ГАЗУ</w:t>
      </w:r>
    </w:p>
    <w:p w:rsidR="007752FC" w:rsidRDefault="007752FC" w:rsidP="007752FC">
      <w:pPr>
        <w:spacing w:after="0" w:line="240" w:lineRule="auto"/>
        <w:jc w:val="right"/>
        <w:rPr>
          <w:rFonts w:ascii="Times New Roman" w:hAnsi="Times New Roman"/>
          <w:color w:val="000000"/>
          <w:sz w:val="28"/>
          <w:szCs w:val="28"/>
        </w:rPr>
      </w:pPr>
    </w:p>
    <w:p w:rsidR="007752FC" w:rsidRDefault="007752FC" w:rsidP="007752FC">
      <w:pPr>
        <w:spacing w:after="0" w:line="240" w:lineRule="auto"/>
        <w:jc w:val="right"/>
        <w:rPr>
          <w:rFonts w:ascii="Times New Roman" w:hAnsi="Times New Roman"/>
          <w:color w:val="000000"/>
          <w:sz w:val="28"/>
          <w:szCs w:val="28"/>
        </w:rPr>
      </w:pPr>
    </w:p>
    <w:p w:rsidR="00AB2337" w:rsidRPr="0078696C" w:rsidRDefault="00AB2337" w:rsidP="0002618C">
      <w:pPr>
        <w:spacing w:after="0"/>
        <w:jc w:val="right"/>
        <w:rPr>
          <w:rFonts w:ascii="Times New Roman" w:hAnsi="Times New Roman"/>
          <w:color w:val="000000"/>
          <w:sz w:val="28"/>
          <w:szCs w:val="28"/>
        </w:rPr>
      </w:pPr>
      <w:r w:rsidRPr="0078696C">
        <w:rPr>
          <w:rFonts w:ascii="Times New Roman" w:hAnsi="Times New Roman"/>
          <w:color w:val="000000"/>
          <w:sz w:val="28"/>
          <w:szCs w:val="28"/>
        </w:rPr>
        <w:t>Кваліфікаційна наукова</w:t>
      </w:r>
    </w:p>
    <w:p w:rsidR="00AB2337" w:rsidRPr="0078696C" w:rsidRDefault="00AB2337" w:rsidP="0002618C">
      <w:pPr>
        <w:spacing w:after="0"/>
        <w:jc w:val="right"/>
        <w:rPr>
          <w:rFonts w:ascii="Times New Roman" w:hAnsi="Times New Roman"/>
          <w:color w:val="000000"/>
          <w:sz w:val="28"/>
          <w:szCs w:val="28"/>
        </w:rPr>
      </w:pPr>
      <w:r w:rsidRPr="0078696C">
        <w:rPr>
          <w:rFonts w:ascii="Times New Roman" w:hAnsi="Times New Roman"/>
          <w:color w:val="000000"/>
          <w:sz w:val="28"/>
          <w:szCs w:val="28"/>
        </w:rPr>
        <w:t>праця на правах рукопису</w:t>
      </w:r>
    </w:p>
    <w:p w:rsidR="00AB2337" w:rsidRDefault="00AB2337" w:rsidP="0002618C">
      <w:pPr>
        <w:spacing w:after="0"/>
        <w:rPr>
          <w:rFonts w:ascii="Times New Roman" w:hAnsi="Times New Roman"/>
          <w:color w:val="000000"/>
          <w:sz w:val="28"/>
          <w:szCs w:val="28"/>
        </w:rPr>
      </w:pPr>
    </w:p>
    <w:p w:rsidR="0002618C" w:rsidRPr="0078696C" w:rsidRDefault="0002618C" w:rsidP="0002618C">
      <w:pPr>
        <w:spacing w:after="0"/>
        <w:rPr>
          <w:rFonts w:ascii="Times New Roman" w:hAnsi="Times New Roman"/>
          <w:color w:val="000000"/>
          <w:sz w:val="28"/>
          <w:szCs w:val="28"/>
        </w:rPr>
      </w:pPr>
    </w:p>
    <w:p w:rsidR="00AB2337" w:rsidRPr="0078696C" w:rsidRDefault="00AB2337" w:rsidP="0002618C">
      <w:pPr>
        <w:spacing w:after="0"/>
        <w:jc w:val="center"/>
        <w:rPr>
          <w:rFonts w:ascii="Times New Roman" w:hAnsi="Times New Roman"/>
          <w:b/>
          <w:bCs/>
          <w:color w:val="000000"/>
          <w:sz w:val="28"/>
          <w:szCs w:val="28"/>
        </w:rPr>
      </w:pPr>
      <w:r w:rsidRPr="0078696C">
        <w:rPr>
          <w:rFonts w:ascii="Times New Roman" w:hAnsi="Times New Roman"/>
          <w:b/>
          <w:bCs/>
          <w:color w:val="000000"/>
          <w:sz w:val="28"/>
          <w:szCs w:val="28"/>
        </w:rPr>
        <w:t>ШЕВЧЕНКО Наталія Павлівна</w:t>
      </w:r>
    </w:p>
    <w:p w:rsidR="00B93939" w:rsidRDefault="00B93939" w:rsidP="0002618C">
      <w:pPr>
        <w:spacing w:after="0"/>
        <w:jc w:val="center"/>
        <w:rPr>
          <w:rFonts w:ascii="Times New Roman" w:hAnsi="Times New Roman"/>
          <w:b/>
          <w:bCs/>
          <w:color w:val="000000"/>
          <w:sz w:val="28"/>
          <w:szCs w:val="28"/>
        </w:rPr>
      </w:pPr>
    </w:p>
    <w:p w:rsidR="0002618C" w:rsidRPr="0078696C" w:rsidRDefault="0002618C" w:rsidP="0002618C">
      <w:pPr>
        <w:spacing w:after="0"/>
        <w:jc w:val="center"/>
        <w:rPr>
          <w:rFonts w:ascii="Times New Roman" w:hAnsi="Times New Roman"/>
          <w:b/>
          <w:bCs/>
          <w:color w:val="000000"/>
          <w:sz w:val="28"/>
          <w:szCs w:val="28"/>
        </w:rPr>
      </w:pPr>
    </w:p>
    <w:p w:rsidR="00AB2337" w:rsidRPr="0078696C" w:rsidRDefault="00AB2337" w:rsidP="0002618C">
      <w:pPr>
        <w:spacing w:after="0"/>
        <w:jc w:val="right"/>
        <w:rPr>
          <w:rFonts w:ascii="Times New Roman" w:hAnsi="Times New Roman"/>
          <w:color w:val="000000"/>
          <w:sz w:val="28"/>
          <w:szCs w:val="28"/>
        </w:rPr>
      </w:pPr>
      <w:r w:rsidRPr="0078696C">
        <w:rPr>
          <w:rFonts w:ascii="Times New Roman" w:hAnsi="Times New Roman"/>
          <w:color w:val="000000"/>
          <w:sz w:val="28"/>
          <w:szCs w:val="28"/>
        </w:rPr>
        <w:t xml:space="preserve">УДК </w:t>
      </w:r>
      <w:r w:rsidR="00B93939" w:rsidRPr="0078696C">
        <w:rPr>
          <w:rFonts w:ascii="Times New Roman" w:hAnsi="Times New Roman"/>
          <w:color w:val="000000"/>
          <w:sz w:val="28"/>
          <w:szCs w:val="28"/>
        </w:rPr>
        <w:t>[351:368.914]+339.92(4+477)(043.3/.5)</w:t>
      </w:r>
    </w:p>
    <w:p w:rsidR="00B93939" w:rsidRDefault="00B93939" w:rsidP="0002618C">
      <w:pPr>
        <w:spacing w:after="0"/>
        <w:jc w:val="right"/>
        <w:rPr>
          <w:rFonts w:ascii="Times New Roman" w:hAnsi="Times New Roman"/>
          <w:b/>
          <w:color w:val="000000"/>
          <w:sz w:val="28"/>
          <w:szCs w:val="28"/>
        </w:rPr>
      </w:pPr>
    </w:p>
    <w:p w:rsidR="0002618C" w:rsidRPr="0078696C" w:rsidRDefault="0002618C" w:rsidP="0002618C">
      <w:pPr>
        <w:spacing w:after="0"/>
        <w:jc w:val="right"/>
        <w:rPr>
          <w:rFonts w:ascii="Times New Roman" w:hAnsi="Times New Roman"/>
          <w:b/>
          <w:color w:val="000000"/>
          <w:sz w:val="28"/>
          <w:szCs w:val="28"/>
        </w:rPr>
      </w:pPr>
    </w:p>
    <w:p w:rsidR="00AB2337" w:rsidRPr="0078696C" w:rsidRDefault="00AB2337" w:rsidP="0002618C">
      <w:pPr>
        <w:spacing w:after="0"/>
        <w:jc w:val="center"/>
        <w:rPr>
          <w:rFonts w:ascii="Times New Roman" w:hAnsi="Times New Roman"/>
          <w:b/>
          <w:bCs/>
          <w:color w:val="000000"/>
          <w:sz w:val="28"/>
          <w:szCs w:val="28"/>
        </w:rPr>
      </w:pPr>
      <w:r w:rsidRPr="0078696C">
        <w:rPr>
          <w:rFonts w:ascii="Times New Roman" w:hAnsi="Times New Roman"/>
          <w:b/>
          <w:bCs/>
          <w:color w:val="000000"/>
          <w:sz w:val="28"/>
          <w:szCs w:val="28"/>
        </w:rPr>
        <w:t>ДИСЕРТАЦІЯ</w:t>
      </w:r>
    </w:p>
    <w:p w:rsidR="00FD6D60" w:rsidRPr="0078696C" w:rsidRDefault="00FD6D60" w:rsidP="0002618C">
      <w:pPr>
        <w:spacing w:after="0"/>
        <w:jc w:val="center"/>
        <w:rPr>
          <w:rFonts w:ascii="Times New Roman" w:hAnsi="Times New Roman"/>
          <w:b/>
          <w:bCs/>
          <w:color w:val="000000"/>
          <w:sz w:val="28"/>
          <w:szCs w:val="28"/>
        </w:rPr>
      </w:pPr>
    </w:p>
    <w:p w:rsidR="0052371B" w:rsidRPr="0078696C" w:rsidRDefault="00AB2337" w:rsidP="0002618C">
      <w:pPr>
        <w:spacing w:after="0"/>
        <w:jc w:val="center"/>
        <w:rPr>
          <w:rFonts w:ascii="Times New Roman" w:hAnsi="Times New Roman"/>
          <w:b/>
          <w:bCs/>
          <w:color w:val="000000"/>
          <w:sz w:val="28"/>
          <w:szCs w:val="28"/>
        </w:rPr>
      </w:pPr>
      <w:r w:rsidRPr="0078696C">
        <w:rPr>
          <w:rFonts w:ascii="Times New Roman" w:hAnsi="Times New Roman"/>
          <w:b/>
          <w:bCs/>
          <w:color w:val="000000"/>
          <w:sz w:val="28"/>
          <w:szCs w:val="28"/>
        </w:rPr>
        <w:t xml:space="preserve">ДЕРЖАВНЕ УПРАВЛІННЯ ПРОЦЕСАМИ </w:t>
      </w:r>
      <w:r w:rsidR="00494662" w:rsidRPr="0078696C">
        <w:rPr>
          <w:rFonts w:ascii="Times New Roman" w:hAnsi="Times New Roman"/>
          <w:b/>
          <w:bCs/>
          <w:color w:val="000000"/>
          <w:sz w:val="28"/>
          <w:szCs w:val="28"/>
        </w:rPr>
        <w:t>РЕФОРМУВАННЯ</w:t>
      </w:r>
    </w:p>
    <w:p w:rsidR="00AB2337" w:rsidRPr="0078696C" w:rsidRDefault="00AB2337" w:rsidP="0002618C">
      <w:pPr>
        <w:spacing w:after="0"/>
        <w:jc w:val="center"/>
        <w:rPr>
          <w:rFonts w:ascii="Times New Roman" w:hAnsi="Times New Roman"/>
          <w:b/>
          <w:bCs/>
          <w:color w:val="000000"/>
          <w:sz w:val="28"/>
          <w:szCs w:val="28"/>
        </w:rPr>
      </w:pPr>
      <w:r w:rsidRPr="0078696C">
        <w:rPr>
          <w:rFonts w:ascii="Times New Roman" w:hAnsi="Times New Roman"/>
          <w:b/>
          <w:bCs/>
          <w:color w:val="000000"/>
          <w:sz w:val="28"/>
          <w:szCs w:val="28"/>
        </w:rPr>
        <w:t>СИСТЕМИ ПЕНСІЙНОГО ЗАБЕЗПЕЧЕННЯ УКРАЇНИ</w:t>
      </w:r>
    </w:p>
    <w:p w:rsidR="00AB2337" w:rsidRPr="0078696C" w:rsidRDefault="00D74DFF" w:rsidP="0002618C">
      <w:pPr>
        <w:spacing w:after="0"/>
        <w:jc w:val="center"/>
        <w:rPr>
          <w:rFonts w:ascii="Times New Roman" w:hAnsi="Times New Roman"/>
          <w:b/>
          <w:color w:val="000000"/>
          <w:sz w:val="28"/>
          <w:szCs w:val="28"/>
        </w:rPr>
      </w:pPr>
      <w:r w:rsidRPr="0078696C">
        <w:rPr>
          <w:rFonts w:ascii="Times New Roman" w:hAnsi="Times New Roman"/>
          <w:b/>
          <w:color w:val="000000"/>
          <w:sz w:val="28"/>
          <w:szCs w:val="28"/>
        </w:rPr>
        <w:t>В КОНТЕКСТІ ЄВРОІНТЕГРАЦІЇ</w:t>
      </w:r>
    </w:p>
    <w:p w:rsidR="00FD6D60" w:rsidRPr="0078696C" w:rsidRDefault="00FD6D60" w:rsidP="007752FC">
      <w:pPr>
        <w:spacing w:after="0" w:line="240" w:lineRule="auto"/>
        <w:jc w:val="center"/>
        <w:rPr>
          <w:rFonts w:ascii="Times New Roman" w:hAnsi="Times New Roman"/>
          <w:color w:val="000000"/>
          <w:sz w:val="28"/>
          <w:szCs w:val="28"/>
        </w:rPr>
      </w:pPr>
    </w:p>
    <w:p w:rsidR="00AB2337" w:rsidRDefault="00AB2337" w:rsidP="007752FC">
      <w:pPr>
        <w:spacing w:after="0" w:line="240" w:lineRule="auto"/>
        <w:jc w:val="center"/>
        <w:rPr>
          <w:rFonts w:ascii="Times New Roman" w:hAnsi="Times New Roman"/>
          <w:color w:val="000000"/>
          <w:sz w:val="28"/>
          <w:szCs w:val="28"/>
        </w:rPr>
      </w:pPr>
      <w:r w:rsidRPr="0078696C">
        <w:rPr>
          <w:rFonts w:ascii="Times New Roman" w:hAnsi="Times New Roman"/>
          <w:color w:val="000000"/>
          <w:sz w:val="28"/>
          <w:szCs w:val="28"/>
        </w:rPr>
        <w:t>25.00.01 – теорія та історія державного управління</w:t>
      </w:r>
    </w:p>
    <w:p w:rsidR="007752FC" w:rsidRPr="00127401" w:rsidRDefault="007752FC" w:rsidP="007752FC">
      <w:pPr>
        <w:pStyle w:val="Default"/>
        <w:spacing w:before="120"/>
        <w:jc w:val="center"/>
        <w:rPr>
          <w:sz w:val="28"/>
          <w:szCs w:val="28"/>
        </w:rPr>
      </w:pPr>
      <w:r w:rsidRPr="00127401">
        <w:rPr>
          <w:sz w:val="28"/>
          <w:szCs w:val="28"/>
        </w:rPr>
        <w:t>Державне управління</w:t>
      </w:r>
    </w:p>
    <w:p w:rsidR="007752FC" w:rsidRPr="0078696C" w:rsidRDefault="007752FC" w:rsidP="007752FC">
      <w:pPr>
        <w:spacing w:after="0" w:line="240" w:lineRule="auto"/>
        <w:jc w:val="center"/>
        <w:rPr>
          <w:rFonts w:ascii="Times New Roman" w:hAnsi="Times New Roman"/>
          <w:color w:val="000000"/>
          <w:sz w:val="28"/>
          <w:szCs w:val="28"/>
        </w:rPr>
      </w:pPr>
    </w:p>
    <w:p w:rsidR="00AB2337" w:rsidRDefault="00AB2337" w:rsidP="007752FC">
      <w:pPr>
        <w:spacing w:after="0" w:line="240" w:lineRule="auto"/>
        <w:jc w:val="center"/>
        <w:rPr>
          <w:rFonts w:ascii="Times New Roman" w:hAnsi="Times New Roman"/>
          <w:color w:val="000000"/>
          <w:sz w:val="28"/>
          <w:szCs w:val="28"/>
        </w:rPr>
      </w:pPr>
    </w:p>
    <w:p w:rsidR="0002618C" w:rsidRPr="0078696C" w:rsidRDefault="0002618C" w:rsidP="007752FC">
      <w:pPr>
        <w:spacing w:after="0" w:line="240" w:lineRule="auto"/>
        <w:jc w:val="center"/>
        <w:rPr>
          <w:rFonts w:ascii="Times New Roman" w:hAnsi="Times New Roman"/>
          <w:color w:val="000000"/>
          <w:sz w:val="28"/>
          <w:szCs w:val="28"/>
        </w:rPr>
      </w:pPr>
    </w:p>
    <w:p w:rsidR="00AB2337" w:rsidRPr="0078696C" w:rsidRDefault="00AB2337" w:rsidP="0002618C">
      <w:pPr>
        <w:spacing w:after="0"/>
        <w:jc w:val="both"/>
        <w:rPr>
          <w:rFonts w:ascii="Times New Roman" w:hAnsi="Times New Roman"/>
          <w:color w:val="000000"/>
          <w:sz w:val="28"/>
          <w:szCs w:val="28"/>
        </w:rPr>
      </w:pPr>
      <w:r w:rsidRPr="0078696C">
        <w:rPr>
          <w:rFonts w:ascii="Times New Roman" w:hAnsi="Times New Roman"/>
          <w:color w:val="000000"/>
          <w:sz w:val="28"/>
          <w:szCs w:val="28"/>
        </w:rPr>
        <w:t>Подається на здобуття наукового ступеня кандидата наук з державного</w:t>
      </w:r>
      <w:r w:rsidR="007752FC">
        <w:rPr>
          <w:rFonts w:ascii="Times New Roman" w:hAnsi="Times New Roman"/>
          <w:color w:val="000000"/>
          <w:sz w:val="28"/>
          <w:szCs w:val="28"/>
        </w:rPr>
        <w:t xml:space="preserve"> </w:t>
      </w:r>
      <w:r w:rsidRPr="0078696C">
        <w:rPr>
          <w:rFonts w:ascii="Times New Roman" w:hAnsi="Times New Roman"/>
          <w:color w:val="000000"/>
          <w:sz w:val="28"/>
          <w:szCs w:val="28"/>
        </w:rPr>
        <w:t>управління</w:t>
      </w:r>
      <w:r w:rsidR="0002618C">
        <w:rPr>
          <w:rFonts w:ascii="Times New Roman" w:hAnsi="Times New Roman"/>
          <w:color w:val="000000"/>
          <w:sz w:val="28"/>
          <w:szCs w:val="28"/>
        </w:rPr>
        <w:t>.</w:t>
      </w:r>
    </w:p>
    <w:p w:rsidR="0002618C" w:rsidRPr="003D3D5D" w:rsidRDefault="0002618C" w:rsidP="0002618C">
      <w:pPr>
        <w:spacing w:after="0"/>
        <w:jc w:val="both"/>
        <w:rPr>
          <w:rFonts w:ascii="Times New Roman" w:hAnsi="Times New Roman"/>
          <w:color w:val="000000"/>
          <w:sz w:val="8"/>
          <w:szCs w:val="8"/>
        </w:rPr>
      </w:pPr>
    </w:p>
    <w:p w:rsidR="00AB2337" w:rsidRPr="0078696C" w:rsidRDefault="00AB2337" w:rsidP="0002618C">
      <w:pPr>
        <w:spacing w:after="0"/>
        <w:jc w:val="both"/>
        <w:rPr>
          <w:rFonts w:ascii="Times New Roman" w:hAnsi="Times New Roman"/>
          <w:color w:val="000000"/>
          <w:sz w:val="28"/>
          <w:szCs w:val="28"/>
        </w:rPr>
      </w:pPr>
      <w:r w:rsidRPr="0078696C">
        <w:rPr>
          <w:rFonts w:ascii="Times New Roman" w:hAnsi="Times New Roman"/>
          <w:color w:val="000000"/>
          <w:sz w:val="28"/>
          <w:szCs w:val="28"/>
        </w:rPr>
        <w:t>Дисертація містить результати власних досліджень. Використання ідей,</w:t>
      </w:r>
      <w:r w:rsidR="007752FC">
        <w:rPr>
          <w:rFonts w:ascii="Times New Roman" w:hAnsi="Times New Roman"/>
          <w:color w:val="000000"/>
          <w:sz w:val="28"/>
          <w:szCs w:val="28"/>
        </w:rPr>
        <w:t xml:space="preserve"> </w:t>
      </w:r>
      <w:r w:rsidRPr="0078696C">
        <w:rPr>
          <w:rFonts w:ascii="Times New Roman" w:hAnsi="Times New Roman"/>
          <w:color w:val="000000"/>
          <w:sz w:val="28"/>
          <w:szCs w:val="28"/>
        </w:rPr>
        <w:t>результатів і текстів інших авторів мають посилання на відповідне джерело</w:t>
      </w:r>
      <w:r w:rsidR="0002618C">
        <w:rPr>
          <w:rFonts w:ascii="Times New Roman" w:hAnsi="Times New Roman"/>
          <w:color w:val="000000"/>
          <w:sz w:val="28"/>
          <w:szCs w:val="28"/>
        </w:rPr>
        <w:t>.</w:t>
      </w:r>
    </w:p>
    <w:p w:rsidR="0002618C" w:rsidRPr="003D3D5D" w:rsidRDefault="0002618C" w:rsidP="0002618C">
      <w:pPr>
        <w:spacing w:after="0"/>
        <w:jc w:val="both"/>
        <w:rPr>
          <w:rFonts w:ascii="Times New Roman" w:hAnsi="Times New Roman"/>
          <w:color w:val="000000"/>
          <w:sz w:val="16"/>
          <w:szCs w:val="16"/>
        </w:rPr>
      </w:pPr>
    </w:p>
    <w:p w:rsidR="00AB2337" w:rsidRPr="0078696C" w:rsidRDefault="00AB2337" w:rsidP="0002618C">
      <w:pPr>
        <w:spacing w:after="0"/>
        <w:jc w:val="both"/>
        <w:rPr>
          <w:rFonts w:ascii="Times New Roman" w:hAnsi="Times New Roman"/>
          <w:color w:val="000000"/>
          <w:sz w:val="28"/>
          <w:szCs w:val="28"/>
        </w:rPr>
      </w:pPr>
      <w:r w:rsidRPr="0078696C">
        <w:rPr>
          <w:rFonts w:ascii="Times New Roman" w:hAnsi="Times New Roman"/>
          <w:color w:val="000000"/>
          <w:sz w:val="28"/>
          <w:szCs w:val="28"/>
        </w:rPr>
        <w:t xml:space="preserve">__________________________ </w:t>
      </w:r>
      <w:r w:rsidR="0002618C">
        <w:rPr>
          <w:rFonts w:ascii="Times New Roman" w:hAnsi="Times New Roman"/>
          <w:color w:val="000000"/>
          <w:sz w:val="28"/>
          <w:szCs w:val="28"/>
        </w:rPr>
        <w:t xml:space="preserve"> </w:t>
      </w:r>
      <w:r w:rsidRPr="0078696C">
        <w:rPr>
          <w:rFonts w:ascii="Times New Roman" w:hAnsi="Times New Roman"/>
          <w:color w:val="000000"/>
          <w:sz w:val="28"/>
          <w:szCs w:val="28"/>
        </w:rPr>
        <w:t>Шевченко Н.П.</w:t>
      </w:r>
    </w:p>
    <w:p w:rsidR="00AB2337" w:rsidRPr="0078696C" w:rsidRDefault="0002618C" w:rsidP="007752FC">
      <w:pPr>
        <w:spacing w:after="0" w:line="240" w:lineRule="auto"/>
        <w:jc w:val="both"/>
        <w:rPr>
          <w:rFonts w:ascii="Times New Roman" w:hAnsi="Times New Roman"/>
          <w:color w:val="000000"/>
          <w:sz w:val="24"/>
          <w:szCs w:val="28"/>
        </w:rPr>
      </w:pPr>
      <w:r>
        <w:rPr>
          <w:rFonts w:ascii="Times New Roman" w:hAnsi="Times New Roman"/>
          <w:color w:val="000000"/>
          <w:sz w:val="24"/>
          <w:szCs w:val="28"/>
        </w:rPr>
        <w:t xml:space="preserve">              </w:t>
      </w:r>
      <w:r w:rsidR="003D3D5D">
        <w:rPr>
          <w:rFonts w:ascii="Times New Roman" w:hAnsi="Times New Roman"/>
          <w:color w:val="000000"/>
          <w:sz w:val="24"/>
          <w:szCs w:val="28"/>
        </w:rPr>
        <w:t xml:space="preserve">    </w:t>
      </w:r>
      <w:r>
        <w:rPr>
          <w:rFonts w:ascii="Times New Roman" w:hAnsi="Times New Roman"/>
          <w:color w:val="000000"/>
          <w:sz w:val="24"/>
          <w:szCs w:val="28"/>
        </w:rPr>
        <w:t xml:space="preserve">     </w:t>
      </w:r>
      <w:r w:rsidR="00AB2337" w:rsidRPr="0078696C">
        <w:rPr>
          <w:rFonts w:ascii="Times New Roman" w:hAnsi="Times New Roman"/>
          <w:color w:val="000000"/>
          <w:sz w:val="24"/>
          <w:szCs w:val="28"/>
        </w:rPr>
        <w:t>(підпис)</w:t>
      </w:r>
    </w:p>
    <w:p w:rsidR="00AB2337" w:rsidRPr="0078696C" w:rsidRDefault="00AB2337" w:rsidP="007752FC">
      <w:pPr>
        <w:spacing w:after="0" w:line="240" w:lineRule="auto"/>
        <w:jc w:val="both"/>
        <w:rPr>
          <w:rFonts w:ascii="Times New Roman" w:hAnsi="Times New Roman"/>
          <w:color w:val="000000"/>
          <w:sz w:val="28"/>
          <w:szCs w:val="28"/>
        </w:rPr>
      </w:pPr>
    </w:p>
    <w:p w:rsidR="007752FC" w:rsidRDefault="00AB2337" w:rsidP="0002618C">
      <w:pPr>
        <w:spacing w:after="0"/>
        <w:ind w:left="6096"/>
        <w:rPr>
          <w:rFonts w:ascii="Times New Roman" w:hAnsi="Times New Roman"/>
          <w:color w:val="000000"/>
          <w:sz w:val="28"/>
          <w:szCs w:val="28"/>
        </w:rPr>
      </w:pPr>
      <w:r w:rsidRPr="0078696C">
        <w:rPr>
          <w:rFonts w:ascii="Times New Roman" w:hAnsi="Times New Roman"/>
          <w:color w:val="000000"/>
          <w:sz w:val="28"/>
          <w:szCs w:val="28"/>
        </w:rPr>
        <w:t>Науковий керівник</w:t>
      </w:r>
      <w:r w:rsidR="007752FC">
        <w:rPr>
          <w:rFonts w:ascii="Times New Roman" w:hAnsi="Times New Roman"/>
          <w:color w:val="000000"/>
          <w:sz w:val="28"/>
          <w:szCs w:val="28"/>
        </w:rPr>
        <w:t xml:space="preserve">: </w:t>
      </w:r>
    </w:p>
    <w:p w:rsidR="007752FC" w:rsidRDefault="00AB2337" w:rsidP="0002618C">
      <w:pPr>
        <w:spacing w:after="0"/>
        <w:ind w:left="6096"/>
        <w:rPr>
          <w:rFonts w:ascii="Times New Roman" w:hAnsi="Times New Roman"/>
          <w:b/>
          <w:color w:val="000000"/>
          <w:sz w:val="28"/>
          <w:szCs w:val="28"/>
        </w:rPr>
      </w:pPr>
      <w:r w:rsidRPr="0078696C">
        <w:rPr>
          <w:rFonts w:ascii="Times New Roman" w:hAnsi="Times New Roman"/>
          <w:b/>
          <w:color w:val="000000"/>
          <w:sz w:val="28"/>
          <w:szCs w:val="28"/>
        </w:rPr>
        <w:t>Малімон Віталій Іванович</w:t>
      </w:r>
      <w:r w:rsidR="007752FC">
        <w:rPr>
          <w:rFonts w:ascii="Times New Roman" w:hAnsi="Times New Roman"/>
          <w:b/>
          <w:color w:val="000000"/>
          <w:sz w:val="28"/>
          <w:szCs w:val="28"/>
        </w:rPr>
        <w:t>,</w:t>
      </w:r>
    </w:p>
    <w:p w:rsidR="00AB2337" w:rsidRPr="0078696C" w:rsidRDefault="00AB2337" w:rsidP="0002618C">
      <w:pPr>
        <w:spacing w:after="0"/>
        <w:ind w:left="6096"/>
        <w:rPr>
          <w:rFonts w:ascii="Times New Roman" w:hAnsi="Times New Roman"/>
          <w:color w:val="000000"/>
          <w:sz w:val="28"/>
          <w:szCs w:val="28"/>
        </w:rPr>
      </w:pPr>
      <w:r w:rsidRPr="0078696C">
        <w:rPr>
          <w:rFonts w:ascii="Times New Roman" w:hAnsi="Times New Roman"/>
          <w:color w:val="000000"/>
          <w:sz w:val="28"/>
          <w:szCs w:val="28"/>
        </w:rPr>
        <w:t xml:space="preserve">кандидат наук </w:t>
      </w:r>
      <w:r w:rsidR="0052371B" w:rsidRPr="0078696C">
        <w:rPr>
          <w:rFonts w:ascii="Times New Roman" w:hAnsi="Times New Roman"/>
          <w:color w:val="000000"/>
          <w:sz w:val="28"/>
          <w:szCs w:val="28"/>
        </w:rPr>
        <w:t>з державного управління, доцент</w:t>
      </w:r>
    </w:p>
    <w:p w:rsidR="00AB2337" w:rsidRPr="0078696C" w:rsidRDefault="00AB2337" w:rsidP="007752FC">
      <w:pPr>
        <w:spacing w:after="0" w:line="240" w:lineRule="auto"/>
        <w:rPr>
          <w:rFonts w:ascii="Times New Roman" w:hAnsi="Times New Roman"/>
          <w:color w:val="000000"/>
          <w:sz w:val="28"/>
          <w:szCs w:val="28"/>
        </w:rPr>
      </w:pPr>
    </w:p>
    <w:p w:rsidR="0002618C" w:rsidRDefault="0002618C" w:rsidP="007752FC">
      <w:pPr>
        <w:spacing w:after="0" w:line="240" w:lineRule="auto"/>
        <w:jc w:val="center"/>
        <w:rPr>
          <w:rFonts w:ascii="Times New Roman" w:hAnsi="Times New Roman"/>
          <w:color w:val="000000"/>
          <w:sz w:val="28"/>
          <w:szCs w:val="28"/>
        </w:rPr>
      </w:pPr>
    </w:p>
    <w:p w:rsidR="00AB2337" w:rsidRPr="003D3D5D" w:rsidRDefault="00AB2337" w:rsidP="007752FC">
      <w:pPr>
        <w:spacing w:after="0" w:line="240" w:lineRule="auto"/>
        <w:jc w:val="center"/>
        <w:rPr>
          <w:rFonts w:ascii="Times New Roman" w:hAnsi="Times New Roman"/>
          <w:b/>
          <w:color w:val="000000"/>
          <w:sz w:val="28"/>
          <w:szCs w:val="28"/>
        </w:rPr>
      </w:pPr>
      <w:r w:rsidRPr="003D3D5D">
        <w:rPr>
          <w:rFonts w:ascii="Times New Roman" w:hAnsi="Times New Roman"/>
          <w:b/>
          <w:color w:val="000000"/>
          <w:sz w:val="28"/>
          <w:szCs w:val="28"/>
        </w:rPr>
        <w:t>Івано-Франківськ</w:t>
      </w:r>
      <w:r w:rsidR="007752FC" w:rsidRPr="003D3D5D">
        <w:rPr>
          <w:rFonts w:ascii="Times New Roman" w:hAnsi="Times New Roman"/>
          <w:b/>
          <w:color w:val="000000"/>
          <w:sz w:val="28"/>
          <w:szCs w:val="28"/>
        </w:rPr>
        <w:t xml:space="preserve"> – </w:t>
      </w:r>
      <w:r w:rsidRPr="003D3D5D">
        <w:rPr>
          <w:rFonts w:ascii="Times New Roman" w:hAnsi="Times New Roman"/>
          <w:b/>
          <w:color w:val="000000"/>
          <w:sz w:val="28"/>
          <w:szCs w:val="28"/>
        </w:rPr>
        <w:t>2019</w:t>
      </w:r>
    </w:p>
    <w:p w:rsidR="00DA68FF" w:rsidRPr="0078696C" w:rsidRDefault="00AB2337" w:rsidP="00DA68FF">
      <w:pPr>
        <w:pStyle w:val="Default"/>
        <w:spacing w:line="360" w:lineRule="auto"/>
        <w:contextualSpacing/>
        <w:jc w:val="center"/>
        <w:rPr>
          <w:b/>
          <w:sz w:val="28"/>
          <w:szCs w:val="28"/>
        </w:rPr>
      </w:pPr>
      <w:r w:rsidRPr="0078696C">
        <w:rPr>
          <w:sz w:val="28"/>
          <w:szCs w:val="28"/>
        </w:rPr>
        <w:br w:type="page"/>
      </w:r>
      <w:r w:rsidR="00DA68FF" w:rsidRPr="0078696C">
        <w:rPr>
          <w:b/>
          <w:sz w:val="28"/>
          <w:szCs w:val="28"/>
        </w:rPr>
        <w:lastRenderedPageBreak/>
        <w:t>АНОТАЦІЯ</w:t>
      </w:r>
    </w:p>
    <w:p w:rsidR="00DA68FF" w:rsidRPr="0078696C" w:rsidRDefault="00DA68FF" w:rsidP="00DA68FF">
      <w:pPr>
        <w:tabs>
          <w:tab w:val="left" w:pos="1276"/>
        </w:tabs>
        <w:spacing w:after="0" w:line="360" w:lineRule="auto"/>
        <w:ind w:firstLine="709"/>
        <w:contextualSpacing/>
        <w:jc w:val="both"/>
        <w:rPr>
          <w:rFonts w:ascii="Times New Roman" w:hAnsi="Times New Roman"/>
          <w:i/>
          <w:color w:val="000000"/>
          <w:sz w:val="28"/>
          <w:szCs w:val="28"/>
        </w:rPr>
      </w:pPr>
    </w:p>
    <w:p w:rsidR="00DA68FF" w:rsidRPr="0078696C" w:rsidRDefault="00DA68FF" w:rsidP="00DA68FF">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b/>
          <w:color w:val="000000"/>
          <w:sz w:val="28"/>
          <w:szCs w:val="28"/>
        </w:rPr>
        <w:t xml:space="preserve">Шевченко Н.П. Державне управління процесами реформування системи пенсійного забезпечення в контексті євроінтеграції – </w:t>
      </w:r>
      <w:r w:rsidRPr="0078696C">
        <w:rPr>
          <w:rFonts w:ascii="Times New Roman" w:hAnsi="Times New Roman"/>
          <w:color w:val="000000"/>
          <w:sz w:val="28"/>
          <w:szCs w:val="28"/>
        </w:rPr>
        <w:t>Кваліфікаційна наукова праця на правах рукопису.</w:t>
      </w:r>
    </w:p>
    <w:p w:rsidR="00DA68FF" w:rsidRPr="0078696C" w:rsidRDefault="00DA68FF" w:rsidP="00DA68FF">
      <w:pPr>
        <w:tabs>
          <w:tab w:val="left" w:pos="1276"/>
        </w:tabs>
        <w:spacing w:after="0" w:line="360" w:lineRule="auto"/>
        <w:ind w:firstLine="709"/>
        <w:contextualSpacing/>
        <w:jc w:val="both"/>
        <w:rPr>
          <w:rFonts w:ascii="Times New Roman" w:hAnsi="Times New Roman"/>
          <w:color w:val="000000"/>
          <w:sz w:val="28"/>
          <w:szCs w:val="28"/>
        </w:rPr>
      </w:pPr>
    </w:p>
    <w:p w:rsidR="00DA68FF" w:rsidRPr="0078696C" w:rsidRDefault="00DA68FF" w:rsidP="00DA68FF">
      <w:pPr>
        <w:tabs>
          <w:tab w:val="left" w:pos="1276"/>
        </w:tabs>
        <w:spacing w:after="0" w:line="360" w:lineRule="auto"/>
        <w:ind w:firstLine="709"/>
        <w:contextualSpacing/>
        <w:jc w:val="both"/>
        <w:rPr>
          <w:rFonts w:ascii="Times New Roman" w:hAnsi="Times New Roman"/>
          <w:i/>
          <w:color w:val="000000"/>
          <w:sz w:val="28"/>
          <w:szCs w:val="28"/>
        </w:rPr>
      </w:pPr>
      <w:r w:rsidRPr="003D3D5D">
        <w:rPr>
          <w:rFonts w:ascii="Times New Roman" w:hAnsi="Times New Roman"/>
          <w:i/>
          <w:color w:val="000000"/>
          <w:sz w:val="28"/>
          <w:szCs w:val="28"/>
        </w:rPr>
        <w:t>Дисертація на здобуття наукового ступеня кандидата наук з державного управління за спеціальністю 25.00.01 – теорія та історія державного управління</w:t>
      </w:r>
      <w:r w:rsidR="003D3D5D" w:rsidRPr="003D3D5D">
        <w:rPr>
          <w:rFonts w:ascii="Times New Roman" w:hAnsi="Times New Roman"/>
          <w:i/>
          <w:color w:val="000000"/>
          <w:sz w:val="28"/>
          <w:szCs w:val="28"/>
        </w:rPr>
        <w:t xml:space="preserve"> </w:t>
      </w:r>
      <w:r w:rsidR="003D3D5D" w:rsidRPr="003D3D5D">
        <w:rPr>
          <w:rFonts w:ascii="Times New Roman" w:hAnsi="Times New Roman"/>
          <w:i/>
          <w:sz w:val="28"/>
          <w:szCs w:val="28"/>
        </w:rPr>
        <w:t xml:space="preserve">(281 – </w:t>
      </w:r>
      <w:r w:rsidR="003D3D5D">
        <w:rPr>
          <w:rFonts w:ascii="Times New Roman" w:hAnsi="Times New Roman"/>
          <w:i/>
          <w:sz w:val="28"/>
          <w:szCs w:val="28"/>
        </w:rPr>
        <w:t>п</w:t>
      </w:r>
      <w:r w:rsidR="003D3D5D" w:rsidRPr="003D3D5D">
        <w:rPr>
          <w:rFonts w:ascii="Times New Roman" w:hAnsi="Times New Roman"/>
          <w:i/>
          <w:sz w:val="28"/>
          <w:szCs w:val="28"/>
        </w:rPr>
        <w:t>ублічне управління та адміністрування)</w:t>
      </w:r>
      <w:r w:rsidRPr="003D3D5D">
        <w:rPr>
          <w:rFonts w:ascii="Times New Roman" w:hAnsi="Times New Roman"/>
          <w:i/>
          <w:color w:val="000000"/>
          <w:sz w:val="28"/>
          <w:szCs w:val="28"/>
        </w:rPr>
        <w:t>. – Івано-Франківський національний</w:t>
      </w:r>
      <w:r w:rsidRPr="0078696C">
        <w:rPr>
          <w:rFonts w:ascii="Times New Roman" w:hAnsi="Times New Roman"/>
          <w:i/>
          <w:color w:val="000000"/>
          <w:sz w:val="28"/>
          <w:szCs w:val="28"/>
        </w:rPr>
        <w:t xml:space="preserve"> технічний університет нафти і газу. – Івано-Франківськ, 2019.</w:t>
      </w:r>
    </w:p>
    <w:p w:rsidR="00DA68FF" w:rsidRPr="0078696C" w:rsidRDefault="00DA68FF" w:rsidP="00DA68FF">
      <w:pPr>
        <w:tabs>
          <w:tab w:val="left" w:pos="1276"/>
        </w:tabs>
        <w:spacing w:after="0" w:line="360" w:lineRule="auto"/>
        <w:ind w:firstLine="709"/>
        <w:contextualSpacing/>
        <w:jc w:val="both"/>
        <w:rPr>
          <w:rFonts w:ascii="Times New Roman" w:hAnsi="Times New Roman"/>
          <w:color w:val="000000"/>
          <w:sz w:val="28"/>
          <w:szCs w:val="28"/>
        </w:rPr>
      </w:pPr>
    </w:p>
    <w:p w:rsidR="00DA68FF" w:rsidRPr="0078696C" w:rsidRDefault="00DA68FF" w:rsidP="00DA68FF">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Дисертаційна робота присвячена обґрунтуванню науково-прикладних аспектів реформування національної системи пенсійного забезпечення в контексті євроінтеграції.</w:t>
      </w:r>
    </w:p>
    <w:p w:rsidR="00DA68FF" w:rsidRPr="0078696C" w:rsidRDefault="00DA68FF" w:rsidP="00DA68FF">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 роботі проаналізовано понятійно-категоріальний апарат понять «пенсія», «пенсійне забезпечення», «пенсійне страхування». Виділено три основні аспекти пенсійного забезпечення з позиції науки державного управління: як конституційної гарантії, як гуманітарної складової державної політики та як фінансової складової державної політики.</w:t>
      </w:r>
    </w:p>
    <w:p w:rsidR="00DA68FF" w:rsidRPr="0078696C" w:rsidRDefault="00DA68FF" w:rsidP="00DA68FF">
      <w:pPr>
        <w:autoSpaceDE w:val="0"/>
        <w:autoSpaceDN w:val="0"/>
        <w:adjustRightInd w:val="0"/>
        <w:spacing w:after="0" w:line="360" w:lineRule="auto"/>
        <w:ind w:firstLine="709"/>
        <w:contextualSpacing/>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Визначено, що поняття «джерело пенсійного забезпечення» є вужчим від поняття «джерело права» та відрізняється від останнього сферою регулювання та колом осіб, на яких воно поширюється. Проведений аналіз дав підстави провести класифікацію джерел пенсійного забезпечення за юридичною силою, за колом осіб, за змістом, в залежності від фінансових джерел.Надано характеристику основних законів, що регулюють питання пенсійного забезпечення громадян України.</w:t>
      </w:r>
    </w:p>
    <w:p w:rsidR="00DA68FF" w:rsidRPr="0078696C" w:rsidRDefault="00DA68FF" w:rsidP="00DA68FF">
      <w:pPr>
        <w:spacing w:line="360" w:lineRule="auto"/>
        <w:ind w:firstLine="709"/>
        <w:contextualSpacing/>
        <w:jc w:val="both"/>
        <w:rPr>
          <w:rFonts w:ascii="Times New Roman" w:hAnsi="Times New Roman"/>
          <w:bCs/>
          <w:color w:val="000000"/>
          <w:sz w:val="28"/>
          <w:szCs w:val="28"/>
        </w:rPr>
      </w:pPr>
      <w:r w:rsidRPr="0078696C">
        <w:rPr>
          <w:rFonts w:ascii="Times New Roman" w:hAnsi="Times New Roman"/>
          <w:bCs/>
          <w:color w:val="000000"/>
          <w:sz w:val="28"/>
          <w:szCs w:val="28"/>
          <w:lang w:eastAsia="uk-UA"/>
        </w:rPr>
        <w:t>Здійснено ретроспективний аналіз вітчизняної пенсійної системи</w:t>
      </w:r>
      <w:r w:rsidRPr="0078696C">
        <w:rPr>
          <w:rFonts w:ascii="Times New Roman" w:hAnsi="Times New Roman"/>
          <w:bCs/>
          <w:color w:val="000000"/>
          <w:sz w:val="28"/>
          <w:szCs w:val="28"/>
        </w:rPr>
        <w:t xml:space="preserve">. Обґрунтовано, що система пенсійного забезпечення України пройшла тривалий та складний період своєї еволюції та бере свій початок не у радянській системі </w:t>
      </w:r>
      <w:r w:rsidRPr="0078696C">
        <w:rPr>
          <w:rFonts w:ascii="Times New Roman" w:hAnsi="Times New Roman"/>
          <w:bCs/>
          <w:color w:val="000000"/>
          <w:sz w:val="28"/>
          <w:szCs w:val="28"/>
        </w:rPr>
        <w:lastRenderedPageBreak/>
        <w:t>соціального забезпечення, а в законодавстві тих країн, до складу яких входили українські землі.</w:t>
      </w:r>
      <w:r w:rsidRPr="0078696C">
        <w:rPr>
          <w:rFonts w:ascii="Times New Roman" w:eastAsia="Times New Roman" w:hAnsi="Times New Roman"/>
          <w:color w:val="000000"/>
          <w:sz w:val="28"/>
          <w:szCs w:val="28"/>
          <w:lang w:eastAsia="uk-UA"/>
        </w:rPr>
        <w:t xml:space="preserve"> Надано характеристику першим радянським уніфікованим законодавчим актам з питань пенсійного забезпечення: Законам СРСР «Про державні пенсії» 1956 р. та «Про пенсії і допомоги членам колгоспу» 1964 р. Доведено вагому роль зазначених законів у створенні державної всеохоплюючої система пенсійного забезпечення тогочасних союзних республік.</w:t>
      </w:r>
    </w:p>
    <w:p w:rsidR="00DA68FF" w:rsidRPr="0078696C" w:rsidRDefault="00DA68FF" w:rsidP="00DA68FF">
      <w:pPr>
        <w:spacing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hAnsi="Times New Roman"/>
          <w:bCs/>
          <w:color w:val="000000"/>
          <w:sz w:val="28"/>
          <w:szCs w:val="28"/>
        </w:rPr>
        <w:t xml:space="preserve">Досліджено сучасний стан державного управління системою пенсійного забезпечення України, виокремлено </w:t>
      </w:r>
      <w:r w:rsidRPr="0078696C">
        <w:rPr>
          <w:rFonts w:ascii="Times New Roman" w:hAnsi="Times New Roman"/>
          <w:color w:val="000000"/>
          <w:sz w:val="28"/>
          <w:szCs w:val="28"/>
        </w:rPr>
        <w:t xml:space="preserve">основні передумови та особливості переходу української пенсійної системи до страхових принципів. Проведено аналіз нормативно-правового регулювання пенсійної системи в період з 1991 р. до сьогодні та </w:t>
      </w:r>
      <w:r w:rsidRPr="0078696C">
        <w:rPr>
          <w:rFonts w:ascii="Times New Roman" w:eastAsia="Times New Roman" w:hAnsi="Times New Roman"/>
          <w:color w:val="000000"/>
          <w:sz w:val="28"/>
          <w:szCs w:val="28"/>
          <w:lang w:eastAsia="uk-UA"/>
        </w:rPr>
        <w:t xml:space="preserve">виділено </w:t>
      </w:r>
      <w:r w:rsidRPr="0078696C">
        <w:rPr>
          <w:rFonts w:ascii="Times New Roman" w:hAnsi="Times New Roman"/>
          <w:color w:val="000000"/>
          <w:sz w:val="28"/>
        </w:rPr>
        <w:t xml:space="preserve">6 основних етапів пенсійних реформ: </w:t>
      </w:r>
      <w:r w:rsidRPr="0078696C">
        <w:rPr>
          <w:rFonts w:ascii="Times New Roman" w:eastAsia="Times New Roman" w:hAnsi="Times New Roman"/>
          <w:color w:val="000000"/>
          <w:sz w:val="28"/>
          <w:szCs w:val="28"/>
          <w:lang w:eastAsia="uk-UA"/>
        </w:rPr>
        <w:t xml:space="preserve">1 етап (1991 – 1997) – формування, розвиток та удосконалення пенсійної системи у перші роки незалежності України; 2 етап (1998 – 2003) – впровадження персоніфікованого обліку в системі загальнообов’язкового державного пенсійного страхування, об’єднання в складі єдиного органу – Пенсійного фонду України всіх необхідних підсистем; 3 етап (2004 – вересень 2011 ) – запровадження нової трирівневої пенсійної системи; 4 етап (жовтень 2011 – березень 2014) – внесення змін до пенсійного законодавства в частині підвищення пенсійного віку жінок, збільшення тривалості страхового стажу, обмеження максимального розміру пенсії тощо; 5 етап (квітень 2014 – вересень 2017) – реформування пенсійного законодавства в умовах економічної кризи; 6 етап (жовтень 2017 – до сьогодні) – проведення масштабних змін пенсійного законодавства, що спрямовані на підняття пенсійного віку та збільшення страхового стажу. </w:t>
      </w:r>
    </w:p>
    <w:p w:rsidR="00DA68FF" w:rsidRPr="0078696C" w:rsidRDefault="00DA68FF" w:rsidP="00DA68F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Критично оцінено сучасний стан пенсійної системи України. Виділено низку проблем, з якими зіштовхуються громадяни при реалізації права на призначення пенсії, серед яких: неможливість представлення до органу ПФУ уточнюючої довідки про пільговий характер робіт в зв’язку з відсутністю даних про місцезнаходження підприємства чи інших даних щодо тривалості та </w:t>
      </w:r>
      <w:r w:rsidRPr="0078696C">
        <w:rPr>
          <w:rFonts w:ascii="Times New Roman" w:hAnsi="Times New Roman"/>
          <w:color w:val="000000"/>
          <w:sz w:val="28"/>
          <w:szCs w:val="28"/>
        </w:rPr>
        <w:lastRenderedPageBreak/>
        <w:t>характеру робіт; неможливість підтвердження стажу роботи на підприємстві, яке на момент звернення за призначенням пенсії є ліквідованим, в зв’язку з відсутністю документів в архівних установах; непроведення підприємством атестації робочих місць за умовами праці в зв’язку з відсутністю коштів чи іншими бюрократичними процедурами, або наявність перерви понад 5 років при проведенні чергової атестації;  відсутність первинних документів щодо участі особи в ліквідації наслідків аварії на ЧАЕС; відсутність строкових трудових договорів про роботу в особливих кліматичних умовах (райони Крайньої Півночі та місцевості, прирівняні до них); неналежна урегульованість нормативно-правових актів в частині призначення та перерахунку пенсій військовослужбовців та прирівняних до них осіб та ін.</w:t>
      </w:r>
    </w:p>
    <w:p w:rsidR="00DA68FF" w:rsidRPr="0078696C" w:rsidRDefault="00DA68FF" w:rsidP="00DA68F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Виділено низку проблем, що негативно випливають на процес здійснення реформ: наявність дострокових пенсій, непрозорість механізму нарахування пенсій, відсутність чіткого розмежування джерел фінансового забезпечення, наявність широкого спектру законів, які визначають пільги та привілеї окремим категоріям громадян, залежність Пенсійного фонду від стабільності сплати роботодавцями платежів, непрозорість механізму обчислення пенсії та чіткого розмежування джерел фінансового забезпечення пенсійних виплат, відсутність реального механізму індексації пенсійних виплат у зв’язку з інфляційними процесами в державі, низький рівень пенсій, необґрунтованість реформ в частині підвищення пенсійного віку та трудового стажу, високі відсоткові ставки страхових внесків до Пенсійного фонду, невідповідність розміру пенсійної виплати обсягу сплачуваних страхових внесків, погано розвинута система недержавного пенсійного забезпечення, значна неінформованість громадян у сфері пенсійного забезпечення.</w:t>
      </w:r>
    </w:p>
    <w:p w:rsidR="00DA68FF" w:rsidRPr="0078696C" w:rsidRDefault="00DA68FF" w:rsidP="00DA68FF">
      <w:pPr>
        <w:autoSpaceDE w:val="0"/>
        <w:autoSpaceDN w:val="0"/>
        <w:adjustRightInd w:val="0"/>
        <w:spacing w:after="0" w:line="360" w:lineRule="auto"/>
        <w:ind w:firstLine="709"/>
        <w:contextualSpacing/>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Досліджено основні моделі пенсійних систем європейських країн та сучасні тенденції їх розвитку, окреслено різноманіття підходів, що використовуються розвиненими країнами при формуванні і реалізації державної політики у сфері пенсійного забезпечення.</w:t>
      </w:r>
    </w:p>
    <w:p w:rsidR="00DA68FF" w:rsidRPr="0078696C" w:rsidRDefault="00DA68FF" w:rsidP="00DA68FF">
      <w:pPr>
        <w:autoSpaceDE w:val="0"/>
        <w:autoSpaceDN w:val="0"/>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lastRenderedPageBreak/>
        <w:t>Систематизовано основні економічні, соціальні та політичні чинники реформування пенсійних систем, відображено ключові заходи і надано оцінку досягнутих результатів у країнах Європейського Союзу. Виявлено, що в європейських країнах надання пенсій за віком передбачає знаходження балансу між соціальним захистом і стимулюванням трудової діяльності. Суттєвий вплив демографічних чинників на фінансовий стан пенсійної системи за умов скорочення частки населення працездатного віку та збільшення числа пенсіонерів зумовлює необхідність впровадження урядами держав ефективних заходів для забезпечення фінансовими ресурсами солідарного рівня пенсійної системи. Здійснено класифікацію моделей пенсійних систем, в основу якої покладено такі ознаки: концепція створення, рівень централізації фінансових ресурсів, рівень розвитку економіки, цілі, метод фінансування, вид інституту соціального захисту, джерела фінансування, стратегії, тип проведення реформ, дослідження Світового банку тощо. Найбільш поширеною є класифікація пенсійних систем, що отримала закріплення в документах Європейської Комісії, згідно з якою в країнах з розвиненою економікою домінують три моделі: модель О. Бісмарка; модель В. Бевериджа та скандинавська, або приватно-корпоративна модель. Дані пенсійні системи досліджені автором на прикладі трьох європейських країн: Німеччини, Великої Британії та Швеції.</w:t>
      </w:r>
    </w:p>
    <w:p w:rsidR="00DA68FF" w:rsidRPr="0078696C" w:rsidRDefault="00DA68FF" w:rsidP="00DA68FF">
      <w:pPr>
        <w:autoSpaceDE w:val="0"/>
        <w:autoSpaceDN w:val="0"/>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Виділено, що в реалізації основних функцій державної пенсійної політики існують два принципово відмінні фінансові механізми: розподільчий та накопичувальний.</w:t>
      </w:r>
    </w:p>
    <w:p w:rsidR="00DA68FF" w:rsidRPr="0078696C" w:rsidRDefault="00DA68FF" w:rsidP="00DA68F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Розроблено пропозиції стосовно забезпечення комплексного підходу до реалізації пенсійної реформи в Україні, що передбачає гармонізацію заходів з модернізації державного пенсійного страхування із діяльністю, спрямованою на підвищення якості та доступності суспільних послуг пенсіонерам. Обґрунтовано рекомендації щодо поступового запровадження другого рівня пенсійної системи – обов’язкової накопичувальної складової, яка повинна включати загальну накопичувальну та професійну накопичувальну. Доведено, що шляхом зниження податкового тиску на роботодавців та встановлення пільг </w:t>
      </w:r>
      <w:r w:rsidRPr="0078696C">
        <w:rPr>
          <w:rFonts w:ascii="Times New Roman" w:hAnsi="Times New Roman"/>
          <w:color w:val="000000"/>
          <w:sz w:val="28"/>
          <w:szCs w:val="28"/>
        </w:rPr>
        <w:lastRenderedPageBreak/>
        <w:t>та компенсацій для них, за умови участі у пенсійному плануванні, буде запроваджено реальний механізм функціонування трирівневої пенсійної системи.</w:t>
      </w:r>
    </w:p>
    <w:p w:rsidR="00DA68FF" w:rsidRPr="0078696C" w:rsidRDefault="00DA68FF" w:rsidP="00DA68F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Запропоновано авторське бачення змін до пенсійного законодавства шляхом прийняття Кодексу пенсійного забезпечення та страхування на основі діючих Законів України «Про загальнообов’язкове державне пенсійне страхування», «Про пенсійне забезпечення», «Про недержавне пенсійне забезпечення» та норм спеціального законодавства.</w:t>
      </w:r>
    </w:p>
    <w:p w:rsidR="00DA68FF" w:rsidRPr="0078696C" w:rsidRDefault="00DA68FF" w:rsidP="00DA68FF">
      <w:pPr>
        <w:spacing w:line="360" w:lineRule="auto"/>
        <w:ind w:firstLine="709"/>
        <w:contextualSpacing/>
        <w:jc w:val="both"/>
        <w:rPr>
          <w:rFonts w:ascii="Times New Roman" w:hAnsi="Times New Roman"/>
          <w:color w:val="000000"/>
          <w:sz w:val="28"/>
          <w:szCs w:val="28"/>
        </w:rPr>
      </w:pPr>
    </w:p>
    <w:p w:rsidR="00DA68FF" w:rsidRPr="0078696C" w:rsidRDefault="00DA68FF" w:rsidP="00DA68FF">
      <w:pPr>
        <w:spacing w:after="0" w:line="360" w:lineRule="auto"/>
        <w:ind w:firstLine="709"/>
        <w:contextualSpacing/>
        <w:jc w:val="both"/>
        <w:rPr>
          <w:rFonts w:ascii="Times New Roman" w:hAnsi="Times New Roman"/>
          <w:color w:val="000000"/>
          <w:sz w:val="28"/>
          <w:szCs w:val="28"/>
          <w:lang w:eastAsia="uk-UA"/>
        </w:rPr>
      </w:pPr>
      <w:r w:rsidRPr="0078696C">
        <w:rPr>
          <w:rFonts w:ascii="Times New Roman" w:hAnsi="Times New Roman"/>
          <w:b/>
          <w:i/>
          <w:color w:val="000000"/>
          <w:sz w:val="28"/>
          <w:szCs w:val="28"/>
          <w:lang w:eastAsia="uk-UA"/>
        </w:rPr>
        <w:t xml:space="preserve">Ключові слова: </w:t>
      </w:r>
      <w:r w:rsidRPr="0078696C">
        <w:rPr>
          <w:rFonts w:ascii="Times New Roman" w:hAnsi="Times New Roman"/>
          <w:color w:val="000000"/>
          <w:sz w:val="28"/>
          <w:szCs w:val="28"/>
          <w:lang w:eastAsia="uk-UA"/>
        </w:rPr>
        <w:t>пенсія, пенсійне забезпечення, пенсійне страхування, пенсійна система, загальнообов’язкове державне пенсійне страхування, солідарна та накопичувальна системи, недержавне пенсійне забезпечення, реформування, Пенсійний фонд, Європейський Союз.</w:t>
      </w:r>
    </w:p>
    <w:p w:rsidR="00DE5802" w:rsidRDefault="00DE5802" w:rsidP="00926322">
      <w:pPr>
        <w:tabs>
          <w:tab w:val="left" w:pos="1276"/>
        </w:tabs>
        <w:spacing w:after="0" w:line="360" w:lineRule="auto"/>
        <w:contextualSpacing/>
        <w:jc w:val="center"/>
        <w:rPr>
          <w:rFonts w:ascii="Times New Roman" w:hAnsi="Times New Roman"/>
          <w:b/>
          <w:bCs/>
          <w:color w:val="000000"/>
          <w:sz w:val="28"/>
          <w:szCs w:val="28"/>
          <w:lang w:eastAsia="uk-UA"/>
        </w:rPr>
      </w:pPr>
    </w:p>
    <w:p w:rsidR="00DA68FF" w:rsidRPr="0078696C" w:rsidRDefault="00DA68FF" w:rsidP="00926322">
      <w:pPr>
        <w:tabs>
          <w:tab w:val="left" w:pos="1276"/>
        </w:tabs>
        <w:spacing w:after="0" w:line="360" w:lineRule="auto"/>
        <w:contextualSpacing/>
        <w:jc w:val="center"/>
        <w:rPr>
          <w:rFonts w:ascii="Times New Roman" w:hAnsi="Times New Roman"/>
          <w:b/>
          <w:bCs/>
          <w:color w:val="000000"/>
          <w:sz w:val="28"/>
          <w:szCs w:val="28"/>
          <w:lang w:val="en-US" w:eastAsia="uk-UA"/>
        </w:rPr>
      </w:pPr>
      <w:r w:rsidRPr="0078696C">
        <w:rPr>
          <w:rFonts w:ascii="Times New Roman" w:hAnsi="Times New Roman"/>
          <w:b/>
          <w:bCs/>
          <w:color w:val="000000"/>
          <w:sz w:val="28"/>
          <w:szCs w:val="28"/>
          <w:lang w:val="en-US" w:eastAsia="uk-UA"/>
        </w:rPr>
        <w:t>ABSTRACT</w:t>
      </w:r>
    </w:p>
    <w:p w:rsidR="00DA68FF" w:rsidRPr="0078696C" w:rsidRDefault="00DA68FF" w:rsidP="00DA68FF">
      <w:pPr>
        <w:tabs>
          <w:tab w:val="left" w:pos="1276"/>
        </w:tabs>
        <w:spacing w:after="0" w:line="360" w:lineRule="auto"/>
        <w:ind w:firstLine="709"/>
        <w:contextualSpacing/>
        <w:jc w:val="both"/>
        <w:rPr>
          <w:rFonts w:ascii="Times New Roman" w:hAnsi="Times New Roman"/>
          <w:b/>
          <w:color w:val="000000"/>
          <w:sz w:val="28"/>
          <w:szCs w:val="28"/>
          <w:lang w:val="en-US"/>
        </w:rPr>
      </w:pPr>
    </w:p>
    <w:p w:rsidR="00DA68FF" w:rsidRPr="0078696C" w:rsidRDefault="00DA68FF" w:rsidP="00DA68FF">
      <w:pPr>
        <w:tabs>
          <w:tab w:val="left" w:pos="1276"/>
        </w:tabs>
        <w:spacing w:after="0" w:line="360" w:lineRule="auto"/>
        <w:ind w:firstLine="709"/>
        <w:contextualSpacing/>
        <w:jc w:val="both"/>
        <w:rPr>
          <w:rFonts w:ascii="Times New Roman" w:hAnsi="Times New Roman"/>
          <w:color w:val="000000"/>
          <w:sz w:val="28"/>
          <w:szCs w:val="28"/>
          <w:lang w:val="en-US"/>
        </w:rPr>
      </w:pPr>
      <w:r w:rsidRPr="0078696C">
        <w:rPr>
          <w:rFonts w:ascii="Times New Roman" w:hAnsi="Times New Roman"/>
          <w:b/>
          <w:color w:val="000000"/>
          <w:sz w:val="28"/>
          <w:szCs w:val="28"/>
          <w:lang w:val="en-US"/>
        </w:rPr>
        <w:t>Shevchenko</w:t>
      </w:r>
      <w:r w:rsidR="00DE5802">
        <w:rPr>
          <w:rFonts w:ascii="Times New Roman" w:hAnsi="Times New Roman"/>
          <w:b/>
          <w:color w:val="000000"/>
          <w:sz w:val="28"/>
          <w:szCs w:val="28"/>
        </w:rPr>
        <w:t> </w:t>
      </w:r>
      <w:r w:rsidRPr="0078696C">
        <w:rPr>
          <w:rFonts w:ascii="Times New Roman" w:hAnsi="Times New Roman"/>
          <w:b/>
          <w:color w:val="000000"/>
          <w:sz w:val="28"/>
          <w:szCs w:val="28"/>
          <w:lang w:val="en-US"/>
        </w:rPr>
        <w:t xml:space="preserve">N.P. Public administration of the processes of reforming the pension system of Ukraine in the context of European integration. – </w:t>
      </w:r>
      <w:r w:rsidRPr="0078696C">
        <w:rPr>
          <w:rFonts w:ascii="Times New Roman" w:hAnsi="Times New Roman"/>
          <w:color w:val="000000"/>
          <w:sz w:val="28"/>
          <w:szCs w:val="28"/>
          <w:lang w:val="en-US"/>
        </w:rPr>
        <w:t>Qualification scientific paper as manuscript.</w:t>
      </w:r>
    </w:p>
    <w:p w:rsidR="00DA68FF" w:rsidRPr="00DE5802" w:rsidRDefault="00DA68FF" w:rsidP="00DA68FF">
      <w:pPr>
        <w:tabs>
          <w:tab w:val="left" w:pos="1276"/>
        </w:tabs>
        <w:spacing w:after="0" w:line="360" w:lineRule="auto"/>
        <w:ind w:firstLine="709"/>
        <w:contextualSpacing/>
        <w:jc w:val="both"/>
        <w:rPr>
          <w:rFonts w:ascii="Times New Roman" w:hAnsi="Times New Roman"/>
          <w:i/>
          <w:color w:val="000000"/>
          <w:sz w:val="28"/>
          <w:szCs w:val="28"/>
          <w:lang w:val="en-US"/>
        </w:rPr>
      </w:pPr>
    </w:p>
    <w:p w:rsidR="00DA68FF" w:rsidRPr="0078696C" w:rsidRDefault="00DA68FF" w:rsidP="00DA68FF">
      <w:pPr>
        <w:autoSpaceDE w:val="0"/>
        <w:autoSpaceDN w:val="0"/>
        <w:adjustRightInd w:val="0"/>
        <w:spacing w:after="0" w:line="360" w:lineRule="auto"/>
        <w:ind w:firstLine="709"/>
        <w:contextualSpacing/>
        <w:jc w:val="both"/>
        <w:rPr>
          <w:rFonts w:ascii="Times New Roman" w:hAnsi="Times New Roman"/>
          <w:i/>
          <w:iCs/>
          <w:color w:val="000000"/>
          <w:sz w:val="28"/>
          <w:szCs w:val="28"/>
          <w:lang w:val="en-US" w:eastAsia="uk-UA"/>
        </w:rPr>
      </w:pPr>
      <w:r w:rsidRPr="00DE5802">
        <w:rPr>
          <w:rFonts w:ascii="Times New Roman" w:hAnsi="Times New Roman"/>
          <w:i/>
          <w:iCs/>
          <w:color w:val="000000"/>
          <w:sz w:val="28"/>
          <w:szCs w:val="28"/>
          <w:lang w:val="en-US" w:eastAsia="uk-UA"/>
        </w:rPr>
        <w:t>Thesis for obtaining the candidate of sciences degree in public administration; specialty 25.00.01 – theory and history of public administration</w:t>
      </w:r>
      <w:r w:rsidR="00DE5802" w:rsidRPr="00DE5802">
        <w:rPr>
          <w:rFonts w:ascii="Times New Roman" w:hAnsi="Times New Roman"/>
          <w:i/>
          <w:iCs/>
          <w:color w:val="000000"/>
          <w:sz w:val="28"/>
          <w:szCs w:val="28"/>
          <w:lang w:eastAsia="uk-UA"/>
        </w:rPr>
        <w:t xml:space="preserve"> </w:t>
      </w:r>
      <w:r w:rsidR="00DE5802" w:rsidRPr="00DE5802">
        <w:rPr>
          <w:rFonts w:ascii="Times New Roman" w:hAnsi="Times New Roman"/>
          <w:i/>
          <w:sz w:val="28"/>
          <w:szCs w:val="28"/>
          <w:lang w:val="en-US"/>
        </w:rPr>
        <w:t>(281 – Public management and administration)</w:t>
      </w:r>
      <w:r w:rsidRPr="00DE5802">
        <w:rPr>
          <w:rFonts w:ascii="Times New Roman" w:hAnsi="Times New Roman"/>
          <w:i/>
          <w:iCs/>
          <w:color w:val="000000"/>
          <w:sz w:val="28"/>
          <w:szCs w:val="28"/>
          <w:lang w:val="en-US" w:eastAsia="uk-UA"/>
        </w:rPr>
        <w:t>. – Ivano-Frankivsk National Technical University of Oil and Gas. – Ivano-Frankivsk, 2019</w:t>
      </w:r>
      <w:r w:rsidRPr="0078696C">
        <w:rPr>
          <w:rFonts w:ascii="Times New Roman" w:hAnsi="Times New Roman"/>
          <w:i/>
          <w:iCs/>
          <w:color w:val="000000"/>
          <w:sz w:val="28"/>
          <w:szCs w:val="28"/>
          <w:lang w:val="en-US" w:eastAsia="uk-UA"/>
        </w:rPr>
        <w:t>.</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p>
    <w:p w:rsidR="00DA68FF" w:rsidRPr="0078696C" w:rsidRDefault="00DA68FF" w:rsidP="00DA68FF">
      <w:pPr>
        <w:spacing w:after="0" w:line="360" w:lineRule="auto"/>
        <w:ind w:firstLine="709"/>
        <w:jc w:val="both"/>
        <w:rPr>
          <w:rFonts w:ascii="Times New Roman" w:hAnsi="Times New Roman"/>
          <w:color w:val="000000"/>
          <w:sz w:val="28"/>
          <w:szCs w:val="28"/>
          <w:lang w:val="en-US"/>
        </w:rPr>
      </w:pPr>
      <w:r w:rsidRPr="0078696C">
        <w:rPr>
          <w:rFonts w:ascii="Times New Roman" w:hAnsi="Times New Roman"/>
          <w:color w:val="000000"/>
          <w:sz w:val="28"/>
          <w:szCs w:val="28"/>
          <w:lang w:val="en-US"/>
        </w:rPr>
        <w:t>The dissertation is devoted to the substantiation of scientific and applied aspects of the reform of the national pension system in the context of European integration.</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color w:val="000000"/>
          <w:sz w:val="28"/>
          <w:szCs w:val="28"/>
          <w:lang w:val="en-US"/>
        </w:rPr>
        <w:t>The article analyzes the conceptual-categorical apparatus of the concepts of «pension», «pension provision», «pension insurance».</w:t>
      </w:r>
      <w:r w:rsidRPr="0078696C">
        <w:rPr>
          <w:rFonts w:ascii="Times New Roman" w:hAnsi="Times New Roman"/>
          <w:bCs/>
          <w:color w:val="000000"/>
          <w:sz w:val="28"/>
          <w:szCs w:val="28"/>
          <w:lang w:val="en-US" w:eastAsia="uk-UA"/>
        </w:rPr>
        <w:t xml:space="preserve"> There are three main aspects </w:t>
      </w:r>
      <w:r w:rsidRPr="0078696C">
        <w:rPr>
          <w:rFonts w:ascii="Times New Roman" w:hAnsi="Times New Roman"/>
          <w:bCs/>
          <w:color w:val="000000"/>
          <w:sz w:val="28"/>
          <w:szCs w:val="28"/>
          <w:lang w:val="en-US" w:eastAsia="uk-UA"/>
        </w:rPr>
        <w:lastRenderedPageBreak/>
        <w:t>of the pension system according to the science of public administration: as a constitutional guarantee, as a humanitarian component of public policy and as a financial component of public policy.</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 xml:space="preserve">It is determined that the concept of </w:t>
      </w:r>
      <w:r w:rsidRPr="0078696C">
        <w:rPr>
          <w:rFonts w:ascii="Times New Roman" w:hAnsi="Times New Roman"/>
          <w:color w:val="000000"/>
          <w:sz w:val="28"/>
          <w:lang w:val="en-US"/>
        </w:rPr>
        <w:t>«</w:t>
      </w:r>
      <w:r w:rsidRPr="0078696C">
        <w:rPr>
          <w:rFonts w:ascii="Times New Roman" w:hAnsi="Times New Roman"/>
          <w:bCs/>
          <w:color w:val="000000"/>
          <w:sz w:val="28"/>
          <w:szCs w:val="28"/>
          <w:lang w:val="en-US" w:eastAsia="uk-UA"/>
        </w:rPr>
        <w:t xml:space="preserve">sources of pension insurance» is narrower than the concept of «source of law» and differs from it by the regulation and the number of persons to whom it applies. Based on the analysis, pension sources are classified: by legal force, by number of persons, by content, by financial sources. The basic laws governing the pension provision of </w:t>
      </w:r>
      <w:r w:rsidR="00280E67" w:rsidRPr="0078696C">
        <w:rPr>
          <w:rFonts w:ascii="Times New Roman" w:hAnsi="Times New Roman"/>
          <w:bCs/>
          <w:color w:val="000000"/>
          <w:sz w:val="28"/>
          <w:szCs w:val="28"/>
          <w:lang w:val="en-US" w:eastAsia="uk-UA"/>
        </w:rPr>
        <w:t xml:space="preserve"> the </w:t>
      </w:r>
      <w:r w:rsidRPr="0078696C">
        <w:rPr>
          <w:rFonts w:ascii="Times New Roman" w:hAnsi="Times New Roman"/>
          <w:bCs/>
          <w:color w:val="000000"/>
          <w:sz w:val="28"/>
          <w:szCs w:val="28"/>
          <w:lang w:val="en-US" w:eastAsia="uk-UA"/>
        </w:rPr>
        <w:t>Ukrainian citizens are characterized.</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 xml:space="preserve">A retrospective analysis of the national pension system has been carried out. It is substantiated that the pension system of Ukraine has passed a long and difficult period of its evolution, </w:t>
      </w:r>
      <w:r w:rsidR="00280E67" w:rsidRPr="0078696C">
        <w:rPr>
          <w:rFonts w:ascii="Times New Roman" w:hAnsi="Times New Roman"/>
          <w:bCs/>
          <w:color w:val="000000"/>
          <w:sz w:val="28"/>
          <w:szCs w:val="28"/>
          <w:lang w:val="en-US" w:eastAsia="uk-UA"/>
        </w:rPr>
        <w:t>though</w:t>
      </w:r>
      <w:r w:rsidRPr="0078696C">
        <w:rPr>
          <w:rFonts w:ascii="Times New Roman" w:hAnsi="Times New Roman"/>
          <w:bCs/>
          <w:color w:val="000000"/>
          <w:sz w:val="28"/>
          <w:szCs w:val="28"/>
          <w:lang w:val="en-US" w:eastAsia="uk-UA"/>
        </w:rPr>
        <w:t xml:space="preserve"> it begins not in the Soviet social security system, but in the legislation of those countries, which included Ukrainian lands.The first legislative acts </w:t>
      </w:r>
      <w:r w:rsidR="00280E67" w:rsidRPr="0078696C">
        <w:rPr>
          <w:rFonts w:ascii="Times New Roman" w:hAnsi="Times New Roman"/>
          <w:bCs/>
          <w:color w:val="000000"/>
          <w:sz w:val="28"/>
          <w:szCs w:val="28"/>
          <w:lang w:val="en-US" w:eastAsia="uk-UA"/>
        </w:rPr>
        <w:t>about</w:t>
      </w:r>
      <w:r w:rsidRPr="0078696C">
        <w:rPr>
          <w:rFonts w:ascii="Times New Roman" w:hAnsi="Times New Roman"/>
          <w:bCs/>
          <w:color w:val="000000"/>
          <w:sz w:val="28"/>
          <w:szCs w:val="28"/>
          <w:lang w:val="en-US" w:eastAsia="uk-UA"/>
        </w:rPr>
        <w:t xml:space="preserve"> pension provision are characterized: the Law of the USSR «About the state pensions» (1956) and «About pensions and benefits for collective farm members» (1964).The significant role of these laws in the creation of a state comprehensive pension system of the Union Republics </w:t>
      </w:r>
      <w:r w:rsidR="00280E67" w:rsidRPr="0078696C">
        <w:rPr>
          <w:rFonts w:ascii="Times New Roman" w:hAnsi="Times New Roman"/>
          <w:bCs/>
          <w:color w:val="000000"/>
          <w:sz w:val="28"/>
          <w:szCs w:val="28"/>
          <w:lang w:val="en-US" w:eastAsia="uk-UA"/>
        </w:rPr>
        <w:t xml:space="preserve">of those times </w:t>
      </w:r>
      <w:r w:rsidRPr="0078696C">
        <w:rPr>
          <w:rFonts w:ascii="Times New Roman" w:hAnsi="Times New Roman"/>
          <w:bCs/>
          <w:color w:val="000000"/>
          <w:sz w:val="28"/>
          <w:szCs w:val="28"/>
          <w:lang w:val="en-US" w:eastAsia="uk-UA"/>
        </w:rPr>
        <w:t>was proved.</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The current state of the state management of the pension system of Ukraine is investigated, the basic prerequisites and features of the transition of the Ukrainian pension system to the insurance principles are singled out.The analysis of the legal regulation of the pension system in the period from 1991 to the present has been carried out and 6 main stages of pension reforms have been identified: stage 1</w:t>
      </w:r>
      <w:r w:rsidR="00FA4EF3" w:rsidRPr="007F3B41">
        <w:rPr>
          <w:rFonts w:ascii="Times New Roman" w:hAnsi="Times New Roman"/>
          <w:bCs/>
          <w:color w:val="000000"/>
          <w:sz w:val="28"/>
          <w:szCs w:val="28"/>
          <w:lang w:val="en-US" w:eastAsia="uk-UA"/>
        </w:rPr>
        <w:br/>
      </w:r>
      <w:r w:rsidRPr="0078696C">
        <w:rPr>
          <w:rFonts w:ascii="Times New Roman" w:hAnsi="Times New Roman"/>
          <w:bCs/>
          <w:color w:val="000000"/>
          <w:sz w:val="28"/>
          <w:szCs w:val="28"/>
          <w:lang w:val="en-US" w:eastAsia="uk-UA"/>
        </w:rPr>
        <w:t xml:space="preserve"> (1991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1997)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formation, development and improvement of the pension system in the first years of Ukraine's independence; stage 2 (1998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2003)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implementation of personalized accounting in the system of compulsory state pension insurance, unification within a single body </w:t>
      </w:r>
      <w:r w:rsidRPr="0078696C">
        <w:rPr>
          <w:rFonts w:ascii="Times New Roman" w:hAnsi="Times New Roman"/>
          <w:bCs/>
          <w:i/>
          <w:iCs/>
          <w:color w:val="000000"/>
          <w:sz w:val="28"/>
          <w:szCs w:val="28"/>
          <w:lang w:val="en-US" w:eastAsia="uk-UA"/>
        </w:rPr>
        <w:t>–</w:t>
      </w:r>
      <w:r w:rsidRPr="0078696C">
        <w:rPr>
          <w:rFonts w:ascii="Times New Roman" w:hAnsi="Times New Roman"/>
          <w:bCs/>
          <w:color w:val="000000"/>
          <w:sz w:val="28"/>
          <w:szCs w:val="28"/>
          <w:lang w:val="en-US" w:eastAsia="uk-UA"/>
        </w:rPr>
        <w:t xml:space="preserve"> the Pension Fund of Ukraine of all necessary subsystems; stage 3 (2004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September 2011)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introduction of a new three-tier pension system; stage 4 (October 2011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March 2014)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amendments to the pension legislation in terms of raising the retirement age of women, increasing the length of insurance experience, limiting the maximum amount of pensions, etc.; stage 5 </w:t>
      </w:r>
      <w:r w:rsidR="00FA4EF3" w:rsidRPr="007F3B41">
        <w:rPr>
          <w:rFonts w:ascii="Times New Roman" w:hAnsi="Times New Roman"/>
          <w:bCs/>
          <w:color w:val="000000"/>
          <w:sz w:val="28"/>
          <w:szCs w:val="28"/>
          <w:lang w:val="en-US" w:eastAsia="uk-UA"/>
        </w:rPr>
        <w:br/>
      </w:r>
      <w:r w:rsidRPr="0078696C">
        <w:rPr>
          <w:rFonts w:ascii="Times New Roman" w:hAnsi="Times New Roman"/>
          <w:bCs/>
          <w:color w:val="000000"/>
          <w:sz w:val="28"/>
          <w:szCs w:val="28"/>
          <w:lang w:val="en-US" w:eastAsia="uk-UA"/>
        </w:rPr>
        <w:lastRenderedPageBreak/>
        <w:t xml:space="preserve">(April 2014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 September 2017)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reforming pension legislation in times of economic crisis; stage 6 (October 2017 </w:t>
      </w:r>
      <w:r w:rsidRPr="0078696C">
        <w:rPr>
          <w:rFonts w:ascii="Times New Roman" w:hAnsi="Times New Roman"/>
          <w:bCs/>
          <w:i/>
          <w:iCs/>
          <w:color w:val="000000"/>
          <w:sz w:val="28"/>
          <w:szCs w:val="28"/>
          <w:lang w:val="en-US" w:eastAsia="uk-UA"/>
        </w:rPr>
        <w:t xml:space="preserve">– </w:t>
      </w:r>
      <w:r w:rsidRPr="0078696C">
        <w:rPr>
          <w:rFonts w:ascii="Times New Roman" w:hAnsi="Times New Roman"/>
          <w:bCs/>
          <w:color w:val="000000"/>
          <w:sz w:val="28"/>
          <w:szCs w:val="28"/>
          <w:lang w:val="en-US" w:eastAsia="uk-UA"/>
        </w:rPr>
        <w:t xml:space="preserve">present) </w:t>
      </w:r>
      <w:r w:rsidRPr="0078696C">
        <w:rPr>
          <w:rFonts w:ascii="Times New Roman" w:hAnsi="Times New Roman"/>
          <w:bCs/>
          <w:i/>
          <w:iCs/>
          <w:color w:val="000000"/>
          <w:sz w:val="28"/>
          <w:szCs w:val="28"/>
          <w:lang w:val="en-US" w:eastAsia="uk-UA"/>
        </w:rPr>
        <w:t>–</w:t>
      </w:r>
      <w:r w:rsidRPr="0078696C">
        <w:rPr>
          <w:rFonts w:ascii="Times New Roman" w:hAnsi="Times New Roman"/>
          <w:bCs/>
          <w:color w:val="000000"/>
          <w:sz w:val="28"/>
          <w:szCs w:val="28"/>
          <w:lang w:val="en-US" w:eastAsia="uk-UA"/>
        </w:rPr>
        <w:t xml:space="preserve"> implementation of large-scale changes to the pension legislation aimed at raising the retirement age and increasing the length of service.</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The current state of the pension system of Ukraine is critically evaluated.A number of problems have been identified regarding the implementation of citizens' pension rights, including: the inability to provide the PFU with additional information on the specific nature of the work, due to the lack of location data of the enterprise or other data on the duration and nature of the work; impossibility to confirm the length of service at the enterprise, which was liquidated at the time of applying for the pension, due to the lack of documents in archival institutions;lack of job certification for working conditions due to lack of funds or other bureaucratic procedures in the enterprise, availability of a break in orders for performance appraisal for more than</w:t>
      </w:r>
      <w:r w:rsidR="00FA4EF3" w:rsidRPr="007F3B41">
        <w:rPr>
          <w:rFonts w:ascii="Times New Roman" w:hAnsi="Times New Roman"/>
          <w:bCs/>
          <w:color w:val="000000"/>
          <w:sz w:val="28"/>
          <w:szCs w:val="28"/>
          <w:lang w:val="en-US" w:eastAsia="uk-UA"/>
        </w:rPr>
        <w:br/>
      </w:r>
      <w:r w:rsidRPr="0078696C">
        <w:rPr>
          <w:rFonts w:ascii="Times New Roman" w:hAnsi="Times New Roman"/>
          <w:bCs/>
          <w:color w:val="000000"/>
          <w:sz w:val="28"/>
          <w:szCs w:val="28"/>
          <w:lang w:val="en-US" w:eastAsia="uk-UA"/>
        </w:rPr>
        <w:t xml:space="preserve"> 5 years; lack of primary documents regarding the person's participation in the Chernobyl accident elimination; absence of fixed-term employment contracts for work in special climatic conditions (areas of the Far North and localities equal to them); lack of regulation of normative-legal acts on purpose and calculation of pensions of servicemen and other persons, etc.</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There are a number of problems that have a negative impact on the reform process</w:t>
      </w:r>
      <w:r w:rsidR="00280E67" w:rsidRPr="0078696C">
        <w:rPr>
          <w:rFonts w:ascii="Times New Roman" w:hAnsi="Times New Roman"/>
          <w:bCs/>
          <w:color w:val="000000"/>
          <w:sz w:val="28"/>
          <w:szCs w:val="28"/>
          <w:lang w:val="en-US" w:eastAsia="uk-UA"/>
        </w:rPr>
        <w:t xml:space="preserve"> such as</w:t>
      </w:r>
      <w:r w:rsidRPr="0078696C">
        <w:rPr>
          <w:rFonts w:ascii="Times New Roman" w:hAnsi="Times New Roman"/>
          <w:bCs/>
          <w:color w:val="000000"/>
          <w:sz w:val="28"/>
          <w:szCs w:val="28"/>
          <w:lang w:val="en-US" w:eastAsia="uk-UA"/>
        </w:rPr>
        <w:t xml:space="preserve">: availability of early pensions, opacity of the mechanism of accrual of pensions, lack of clear delineation of sources of funding for pensions, the existence of a wide range of laws that determine privileges for particular categories of citizens, the dependence of the Pension Fund on the stability of employers' contributions, the lack of transparency in the mechanism for calculating pensions and clearly distinguishing sources of financial support for pension payments, lack of a real mechanism for indexing pension payments in connection with inflationary processes in the country, low pensions, the unreasonableness of reforms to raise retirement age and seniority, high interest rates of insurance contributions to the Pension Fund, inconsistency of the amount of pension payment of the amount of paid insurance premiums, poorly </w:t>
      </w:r>
      <w:r w:rsidRPr="0078696C">
        <w:rPr>
          <w:rFonts w:ascii="Times New Roman" w:hAnsi="Times New Roman"/>
          <w:bCs/>
          <w:color w:val="000000"/>
          <w:sz w:val="28"/>
          <w:szCs w:val="28"/>
          <w:lang w:val="en-US" w:eastAsia="uk-UA"/>
        </w:rPr>
        <w:lastRenderedPageBreak/>
        <w:t>developed non-state pension</w:t>
      </w:r>
      <w:r w:rsidR="00280E67" w:rsidRPr="0078696C">
        <w:rPr>
          <w:rFonts w:ascii="Times New Roman" w:hAnsi="Times New Roman"/>
          <w:bCs/>
          <w:color w:val="000000"/>
          <w:sz w:val="28"/>
          <w:szCs w:val="28"/>
          <w:lang w:val="en-US" w:eastAsia="uk-UA"/>
        </w:rPr>
        <w:t xml:space="preserve"> system, lack of information for</w:t>
      </w:r>
      <w:r w:rsidRPr="0078696C">
        <w:rPr>
          <w:rFonts w:ascii="Times New Roman" w:hAnsi="Times New Roman"/>
          <w:bCs/>
          <w:color w:val="000000"/>
          <w:sz w:val="28"/>
          <w:szCs w:val="28"/>
          <w:lang w:val="en-US" w:eastAsia="uk-UA"/>
        </w:rPr>
        <w:t xml:space="preserve"> the public regarding pension provision.</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The basic models of the pension systems of European countries and the modern tendencies of their development are investigated; the variety of approaches used by the developed countries in the formulation and implementation of the state policy in the sphere of pension provision is outlined. The main economic, social and political factors of reforming the pension system are systematized; the results of the achievements in the countries of the European Union are evaluated. It has been found, that in European countries, in order to provide pensions, a balance needs to be found between social protection and employment.The increase in the number of pensioners and the decrease in the working population have led the governments of the countries to introduce effective measures to provide the financial resources to the solidarity pension system.</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The classification of pension systems models is based on the following features: concept of creation, level of centralization of financial resources, level of economic development, goals, method of financing, type of social protection institution, sources of financing, strategies, type of reforms, World Bank research, etc.The most common is the classification of pension systems, which has been enshrined in European Commission documents, according to which three models are dominant in developed economies: O. Bismarck’s model; V. Beveridge’s model and the private-corporate model. These pension systems are investigated by the author on the example of three European countries: Germany, the United Kingdom and Sweden.</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It is pointed out that in the implementation of the main functions of the state pension policy there are two fundamentally different financial mechanisms: distributive and accumulative.</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 xml:space="preserve">Proposals have been made to provide a comprehensive approach to the implementation of pension reform in Ukraine, which envisages the harmonization of measures for modernization of state pension insurance with activities aimed at improving the quality and accessibility of public services for pensioners. </w:t>
      </w:r>
      <w:r w:rsidRPr="0078696C">
        <w:rPr>
          <w:rFonts w:ascii="Times New Roman" w:hAnsi="Times New Roman"/>
          <w:bCs/>
          <w:color w:val="000000"/>
          <w:sz w:val="28"/>
          <w:szCs w:val="28"/>
          <w:lang w:val="en-US" w:eastAsia="uk-UA"/>
        </w:rPr>
        <w:lastRenderedPageBreak/>
        <w:t xml:space="preserve">Recommendations for the gradual introduction of the second pillar of the pension system </w:t>
      </w:r>
      <w:r w:rsidRPr="0078696C">
        <w:rPr>
          <w:rFonts w:ascii="Times New Roman" w:hAnsi="Times New Roman"/>
          <w:bCs/>
          <w:i/>
          <w:iCs/>
          <w:color w:val="000000"/>
          <w:sz w:val="28"/>
          <w:szCs w:val="28"/>
          <w:lang w:val="en-US" w:eastAsia="uk-UA"/>
        </w:rPr>
        <w:t>–</w:t>
      </w:r>
      <w:r w:rsidRPr="0078696C">
        <w:rPr>
          <w:rFonts w:ascii="Times New Roman" w:hAnsi="Times New Roman"/>
          <w:bCs/>
          <w:color w:val="000000"/>
          <w:sz w:val="28"/>
          <w:szCs w:val="28"/>
          <w:lang w:val="en-US" w:eastAsia="uk-UA"/>
        </w:rPr>
        <w:t xml:space="preserve"> a compulsory accumulative component, which will include general </w:t>
      </w:r>
      <w:r w:rsidR="00926322" w:rsidRPr="0078696C">
        <w:rPr>
          <w:rFonts w:ascii="Times New Roman" w:hAnsi="Times New Roman"/>
          <w:bCs/>
          <w:color w:val="000000"/>
          <w:sz w:val="28"/>
          <w:szCs w:val="28"/>
          <w:lang w:val="en-US" w:eastAsia="uk-UA"/>
        </w:rPr>
        <w:t>ac</w:t>
      </w:r>
      <w:r w:rsidRPr="0078696C">
        <w:rPr>
          <w:rFonts w:ascii="Times New Roman" w:hAnsi="Times New Roman"/>
          <w:bCs/>
          <w:color w:val="000000"/>
          <w:sz w:val="28"/>
          <w:szCs w:val="28"/>
          <w:lang w:val="en-US" w:eastAsia="uk-UA"/>
        </w:rPr>
        <w:t>cumulative and occupational accumulative, are substantiated. It is proved that by reducing the tax pressure on employers and establishing benefits and compensations for them, provided they participate in the pension planning, a real mechanism of functioning of the three-tier pension system will be introduced.</w:t>
      </w:r>
    </w:p>
    <w:p w:rsidR="00DA68FF" w:rsidRPr="0078696C" w:rsidRDefault="00DA68FF"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r w:rsidRPr="0078696C">
        <w:rPr>
          <w:rFonts w:ascii="Times New Roman" w:hAnsi="Times New Roman"/>
          <w:bCs/>
          <w:color w:val="000000"/>
          <w:sz w:val="28"/>
          <w:szCs w:val="28"/>
          <w:lang w:val="en-US" w:eastAsia="uk-UA"/>
        </w:rPr>
        <w:t>The author proposed amendments to the pension legislation by adopting the Pension and Insurance Code on the basis of the current Laws of Ukraine «About compulsory state pension insurance», «About pension provision», «About non-state pension provision» and special laws.</w:t>
      </w:r>
    </w:p>
    <w:p w:rsidR="00280E67" w:rsidRPr="0078696C" w:rsidRDefault="00280E67" w:rsidP="00DA68FF">
      <w:pPr>
        <w:tabs>
          <w:tab w:val="left" w:pos="1276"/>
        </w:tabs>
        <w:spacing w:after="0" w:line="360" w:lineRule="auto"/>
        <w:ind w:firstLine="709"/>
        <w:contextualSpacing/>
        <w:jc w:val="both"/>
        <w:rPr>
          <w:rFonts w:ascii="Times New Roman" w:hAnsi="Times New Roman"/>
          <w:bCs/>
          <w:color w:val="000000"/>
          <w:sz w:val="28"/>
          <w:szCs w:val="28"/>
          <w:lang w:val="en-US" w:eastAsia="uk-UA"/>
        </w:rPr>
      </w:pPr>
    </w:p>
    <w:p w:rsidR="00DA68FF" w:rsidRPr="0078696C" w:rsidRDefault="00DA68FF" w:rsidP="00DA68FF">
      <w:pPr>
        <w:spacing w:after="0" w:line="360" w:lineRule="auto"/>
        <w:ind w:firstLine="709"/>
        <w:jc w:val="both"/>
        <w:rPr>
          <w:rFonts w:ascii="Times New Roman" w:hAnsi="Times New Roman"/>
          <w:i/>
          <w:color w:val="000000"/>
          <w:sz w:val="28"/>
          <w:szCs w:val="28"/>
          <w:lang w:val="en-US"/>
        </w:rPr>
      </w:pPr>
      <w:r w:rsidRPr="0078696C">
        <w:rPr>
          <w:rFonts w:ascii="Times New Roman" w:hAnsi="Times New Roman"/>
          <w:b/>
          <w:i/>
          <w:color w:val="000000"/>
          <w:sz w:val="28"/>
          <w:szCs w:val="28"/>
          <w:lang w:val="en-US"/>
        </w:rPr>
        <w:t>Key words:</w:t>
      </w:r>
      <w:r w:rsidRPr="0078696C">
        <w:rPr>
          <w:rFonts w:ascii="Times New Roman" w:hAnsi="Times New Roman"/>
          <w:i/>
          <w:color w:val="000000"/>
          <w:sz w:val="28"/>
          <w:szCs w:val="28"/>
          <w:lang w:val="en-US"/>
        </w:rPr>
        <w:t xml:space="preserve"> pension, pension</w:t>
      </w:r>
      <w:r w:rsidR="00280E67" w:rsidRPr="0078696C">
        <w:rPr>
          <w:rFonts w:ascii="Times New Roman" w:hAnsi="Times New Roman"/>
          <w:i/>
          <w:color w:val="000000"/>
          <w:sz w:val="28"/>
          <w:szCs w:val="28"/>
          <w:lang w:val="en-US"/>
        </w:rPr>
        <w:t xml:space="preserve"> provision</w:t>
      </w:r>
      <w:r w:rsidRPr="0078696C">
        <w:rPr>
          <w:rFonts w:ascii="Times New Roman" w:hAnsi="Times New Roman"/>
          <w:i/>
          <w:color w:val="000000"/>
          <w:sz w:val="28"/>
          <w:szCs w:val="28"/>
          <w:lang w:val="en-US"/>
        </w:rPr>
        <w:t>, pension insurance, pension system, compulsory st</w:t>
      </w:r>
      <w:r w:rsidR="00280E67" w:rsidRPr="0078696C">
        <w:rPr>
          <w:rFonts w:ascii="Times New Roman" w:hAnsi="Times New Roman"/>
          <w:i/>
          <w:color w:val="000000"/>
          <w:sz w:val="28"/>
          <w:szCs w:val="28"/>
          <w:lang w:val="en-US"/>
        </w:rPr>
        <w:t>ate pension insurance, solidar</w:t>
      </w:r>
      <w:r w:rsidRPr="0078696C">
        <w:rPr>
          <w:rFonts w:ascii="Times New Roman" w:hAnsi="Times New Roman"/>
          <w:i/>
          <w:color w:val="000000"/>
          <w:sz w:val="28"/>
          <w:szCs w:val="28"/>
          <w:lang w:val="en-US"/>
        </w:rPr>
        <w:t>y and accumulative systems, non-state pension provision, reform, pension fund, European Union.</w:t>
      </w:r>
    </w:p>
    <w:p w:rsidR="00DA68FF" w:rsidRDefault="00DA68FF" w:rsidP="00DA68FF">
      <w:pPr>
        <w:pStyle w:val="Default"/>
        <w:spacing w:line="360" w:lineRule="auto"/>
        <w:ind w:firstLine="709"/>
        <w:contextualSpacing/>
        <w:jc w:val="center"/>
        <w:rPr>
          <w:b/>
          <w:bCs/>
          <w:sz w:val="28"/>
          <w:szCs w:val="28"/>
        </w:rPr>
      </w:pPr>
    </w:p>
    <w:p w:rsidR="006A167B" w:rsidRPr="0078696C" w:rsidRDefault="006A167B" w:rsidP="00DA68FF">
      <w:pPr>
        <w:pStyle w:val="Default"/>
        <w:spacing w:line="360" w:lineRule="auto"/>
        <w:ind w:firstLine="709"/>
        <w:contextualSpacing/>
        <w:jc w:val="center"/>
        <w:rPr>
          <w:b/>
          <w:bCs/>
          <w:sz w:val="28"/>
          <w:szCs w:val="28"/>
        </w:rPr>
      </w:pPr>
    </w:p>
    <w:p w:rsidR="00AB2337" w:rsidRPr="0078696C" w:rsidRDefault="00AB2337" w:rsidP="00B3650A">
      <w:pPr>
        <w:pStyle w:val="Default"/>
        <w:spacing w:line="360" w:lineRule="auto"/>
        <w:contextualSpacing/>
        <w:jc w:val="center"/>
        <w:rPr>
          <w:b/>
          <w:bCs/>
          <w:sz w:val="28"/>
          <w:szCs w:val="28"/>
        </w:rPr>
      </w:pPr>
      <w:r w:rsidRPr="0078696C">
        <w:rPr>
          <w:b/>
          <w:bCs/>
          <w:sz w:val="28"/>
          <w:szCs w:val="28"/>
        </w:rPr>
        <w:t>Список публікацій здобувача за темою дисертації</w:t>
      </w:r>
    </w:p>
    <w:p w:rsidR="00AB2337" w:rsidRPr="0078696C" w:rsidRDefault="00AB2337" w:rsidP="00B3650A">
      <w:pPr>
        <w:pStyle w:val="a3"/>
        <w:tabs>
          <w:tab w:val="left" w:pos="1276"/>
        </w:tabs>
        <w:spacing w:after="0" w:line="360" w:lineRule="auto"/>
        <w:ind w:left="0"/>
        <w:jc w:val="center"/>
        <w:rPr>
          <w:rFonts w:ascii="Times New Roman" w:hAnsi="Times New Roman"/>
          <w:i/>
          <w:iCs/>
          <w:color w:val="000000"/>
          <w:sz w:val="28"/>
          <w:szCs w:val="28"/>
          <w:lang w:val="uk-UA"/>
        </w:rPr>
      </w:pPr>
      <w:r w:rsidRPr="0078696C">
        <w:rPr>
          <w:rFonts w:ascii="Times New Roman" w:hAnsi="Times New Roman"/>
          <w:i/>
          <w:iCs/>
          <w:color w:val="000000"/>
          <w:sz w:val="28"/>
          <w:szCs w:val="28"/>
          <w:lang w:val="uk-UA"/>
        </w:rPr>
        <w:t>Праці, в яких опубліковані основні наукові результати дисертації</w:t>
      </w:r>
    </w:p>
    <w:p w:rsidR="00AB2337" w:rsidRPr="0078696C" w:rsidRDefault="00B1755F" w:rsidP="00AB2337">
      <w:pPr>
        <w:numPr>
          <w:ilvl w:val="0"/>
          <w:numId w:val="1"/>
        </w:numPr>
        <w:spacing w:after="0" w:line="360" w:lineRule="auto"/>
        <w:ind w:left="0" w:firstLine="709"/>
        <w:contextualSpacing/>
        <w:jc w:val="both"/>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Шевченко Н.</w:t>
      </w:r>
      <w:r w:rsidR="00AB2337" w:rsidRPr="0078696C">
        <w:rPr>
          <w:rFonts w:ascii="Times New Roman" w:eastAsia="Times New Roman" w:hAnsi="Times New Roman"/>
          <w:color w:val="000000"/>
          <w:sz w:val="28"/>
          <w:szCs w:val="28"/>
          <w:lang w:eastAsia="ru-RU"/>
        </w:rPr>
        <w:t xml:space="preserve">П. Правове регулювання питання перерахунку пенсій колишніх працівників органів внутрішніх справ. </w:t>
      </w:r>
      <w:r w:rsidR="00AB2337" w:rsidRPr="0078696C">
        <w:rPr>
          <w:rFonts w:ascii="Times New Roman" w:eastAsia="Times New Roman" w:hAnsi="Times New Roman"/>
          <w:i/>
          <w:color w:val="000000"/>
          <w:sz w:val="28"/>
          <w:szCs w:val="28"/>
          <w:lang w:eastAsia="ru-RU"/>
        </w:rPr>
        <w:t>Держава та регіони. Сері</w:t>
      </w:r>
      <w:r w:rsidR="00E81C1F" w:rsidRPr="0078696C">
        <w:rPr>
          <w:rFonts w:ascii="Times New Roman" w:eastAsia="Times New Roman" w:hAnsi="Times New Roman"/>
          <w:i/>
          <w:color w:val="000000"/>
          <w:sz w:val="28"/>
          <w:szCs w:val="28"/>
          <w:lang w:eastAsia="ru-RU"/>
        </w:rPr>
        <w:t>я: Державне управління</w:t>
      </w:r>
      <w:r w:rsidRPr="0078696C">
        <w:rPr>
          <w:rFonts w:ascii="Times New Roman" w:eastAsia="Times New Roman" w:hAnsi="Times New Roman"/>
          <w:i/>
          <w:color w:val="000000"/>
          <w:sz w:val="28"/>
          <w:szCs w:val="28"/>
          <w:lang w:eastAsia="ru-RU"/>
        </w:rPr>
        <w:t>.</w:t>
      </w:r>
      <w:r w:rsidRPr="0078696C">
        <w:rPr>
          <w:rFonts w:ascii="Times New Roman" w:eastAsia="Times New Roman" w:hAnsi="Times New Roman"/>
          <w:color w:val="000000"/>
          <w:sz w:val="28"/>
          <w:szCs w:val="28"/>
          <w:lang w:eastAsia="ru-RU"/>
        </w:rPr>
        <w:t xml:space="preserve"> 2017.</w:t>
      </w:r>
      <w:r w:rsidR="00AB2337" w:rsidRPr="0078696C">
        <w:rPr>
          <w:rFonts w:ascii="Times New Roman" w:eastAsia="Times New Roman" w:hAnsi="Times New Roman"/>
          <w:color w:val="000000"/>
          <w:sz w:val="28"/>
          <w:szCs w:val="28"/>
          <w:lang w:eastAsia="ru-RU"/>
        </w:rPr>
        <w:t xml:space="preserve"> № 2 (58). С. 148</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151[наукове фахове видання з державного управління; журнал індексується в міжнародній наукометричній базі даних Google Scholar; включено до міжнародної наукометричної бази Index Copernicus International].</w:t>
      </w:r>
    </w:p>
    <w:p w:rsidR="00AB2337" w:rsidRPr="0078696C" w:rsidRDefault="00B1755F" w:rsidP="00AB2337">
      <w:pPr>
        <w:numPr>
          <w:ilvl w:val="0"/>
          <w:numId w:val="1"/>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Напрями побудови сучасної системи пенсійного забезпечення в Україні. </w:t>
      </w:r>
      <w:r w:rsidR="00E81C1F" w:rsidRPr="0078696C">
        <w:rPr>
          <w:rFonts w:ascii="Times New Roman" w:hAnsi="Times New Roman"/>
          <w:i/>
          <w:color w:val="000000"/>
          <w:sz w:val="28"/>
          <w:szCs w:val="28"/>
        </w:rPr>
        <w:t>Право та державне управління</w:t>
      </w:r>
      <w:r w:rsidR="00AB2337" w:rsidRPr="0078696C">
        <w:rPr>
          <w:rFonts w:ascii="Times New Roman" w:hAnsi="Times New Roman"/>
          <w:color w:val="000000"/>
          <w:sz w:val="28"/>
          <w:szCs w:val="28"/>
        </w:rPr>
        <w:t>. 2017. № 2. С. 212</w:t>
      </w:r>
      <w:r w:rsidRPr="0078696C">
        <w:rPr>
          <w:rFonts w:ascii="Times New Roman" w:hAnsi="Times New Roman"/>
          <w:color w:val="000000"/>
          <w:sz w:val="28"/>
          <w:szCs w:val="28"/>
        </w:rPr>
        <w:t>–</w:t>
      </w:r>
      <w:r w:rsidR="00AB2337" w:rsidRPr="0078696C">
        <w:rPr>
          <w:rFonts w:ascii="Times New Roman" w:hAnsi="Times New Roman"/>
          <w:color w:val="000000"/>
          <w:sz w:val="28"/>
          <w:szCs w:val="28"/>
        </w:rPr>
        <w:t xml:space="preserve">217 </w:t>
      </w:r>
      <w:r w:rsidR="00AB2337" w:rsidRPr="0078696C">
        <w:rPr>
          <w:rFonts w:ascii="Times New Roman" w:eastAsia="Times New Roman" w:hAnsi="Times New Roman"/>
          <w:color w:val="000000"/>
          <w:sz w:val="28"/>
          <w:szCs w:val="28"/>
          <w:lang w:eastAsia="ru-RU"/>
        </w:rPr>
        <w:t>[наукове фахове видання з державного управління; журнал індексується в міжнародній наукометричній базі даних Google Scholar; включено до міжнародної наукометричної бази Index Copernicus International].</w:t>
      </w:r>
    </w:p>
    <w:p w:rsidR="00AB2337" w:rsidRPr="0078696C" w:rsidRDefault="00AB2337" w:rsidP="00AB2337">
      <w:pPr>
        <w:pStyle w:val="a3"/>
        <w:numPr>
          <w:ilvl w:val="0"/>
          <w:numId w:val="1"/>
        </w:numPr>
        <w:spacing w:after="0" w:line="360" w:lineRule="auto"/>
        <w:ind w:left="0" w:firstLine="709"/>
        <w:jc w:val="both"/>
        <w:rPr>
          <w:rFonts w:ascii="Times New Roman" w:hAnsi="Times New Roman"/>
          <w:color w:val="000000"/>
          <w:sz w:val="28"/>
          <w:szCs w:val="28"/>
          <w:lang w:val="uk-UA"/>
        </w:rPr>
      </w:pPr>
      <w:r w:rsidRPr="0078696C">
        <w:rPr>
          <w:rFonts w:ascii="Times New Roman" w:hAnsi="Times New Roman"/>
          <w:color w:val="000000"/>
          <w:sz w:val="28"/>
          <w:szCs w:val="28"/>
          <w:lang w:val="uk-UA"/>
        </w:rPr>
        <w:lastRenderedPageBreak/>
        <w:t xml:space="preserve">Шевченко Н.П. Окремі питання щодо ролі страхового стажу при призначенні пенсії. </w:t>
      </w:r>
      <w:r w:rsidR="00E81C1F" w:rsidRPr="0078696C">
        <w:rPr>
          <w:rFonts w:ascii="Times New Roman" w:hAnsi="Times New Roman"/>
          <w:i/>
          <w:color w:val="000000"/>
          <w:sz w:val="28"/>
          <w:szCs w:val="28"/>
          <w:lang w:val="uk-UA"/>
        </w:rPr>
        <w:t>Право та державне управління</w:t>
      </w:r>
      <w:r w:rsidRPr="0078696C">
        <w:rPr>
          <w:rFonts w:ascii="Times New Roman" w:hAnsi="Times New Roman"/>
          <w:color w:val="000000"/>
          <w:sz w:val="28"/>
          <w:szCs w:val="28"/>
          <w:lang w:val="uk-UA"/>
        </w:rPr>
        <w:t>. 2017. № 3. С. 265</w:t>
      </w:r>
      <w:r w:rsidR="00B1755F" w:rsidRPr="0078696C">
        <w:rPr>
          <w:rFonts w:ascii="Times New Roman" w:hAnsi="Times New Roman"/>
          <w:color w:val="000000"/>
          <w:sz w:val="28"/>
          <w:szCs w:val="28"/>
          <w:lang w:val="uk-UA"/>
        </w:rPr>
        <w:t>–</w:t>
      </w:r>
      <w:r w:rsidRPr="0078696C">
        <w:rPr>
          <w:rFonts w:ascii="Times New Roman" w:hAnsi="Times New Roman"/>
          <w:color w:val="000000"/>
          <w:sz w:val="28"/>
          <w:szCs w:val="28"/>
          <w:lang w:val="uk-UA"/>
        </w:rPr>
        <w:t>270</w:t>
      </w:r>
      <w:r w:rsidRPr="0078696C">
        <w:rPr>
          <w:rFonts w:ascii="Times New Roman" w:eastAsia="Times New Roman" w:hAnsi="Times New Roman"/>
          <w:color w:val="000000"/>
          <w:sz w:val="28"/>
          <w:szCs w:val="28"/>
          <w:lang w:val="uk-UA" w:eastAsia="ru-RU"/>
        </w:rPr>
        <w:t>[наукове фахове видання з державного управління; журнал індексується в міжнародній наукометричній базі даних Google Scholar; включено до міжнародної наукометричної бази Index Copernicus International].</w:t>
      </w:r>
    </w:p>
    <w:p w:rsidR="00AB2337" w:rsidRPr="0078696C" w:rsidRDefault="00B1755F" w:rsidP="00AB2337">
      <w:pPr>
        <w:numPr>
          <w:ilvl w:val="0"/>
          <w:numId w:val="1"/>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Новації пенсійного законодавства: огляд основних змін. </w:t>
      </w:r>
      <w:r w:rsidR="00AB2337" w:rsidRPr="0078696C">
        <w:rPr>
          <w:rFonts w:ascii="Times New Roman" w:hAnsi="Times New Roman"/>
          <w:i/>
          <w:color w:val="000000"/>
          <w:sz w:val="28"/>
          <w:szCs w:val="28"/>
        </w:rPr>
        <w:t>Держава та регі</w:t>
      </w:r>
      <w:r w:rsidR="00E81C1F" w:rsidRPr="0078696C">
        <w:rPr>
          <w:rFonts w:ascii="Times New Roman" w:hAnsi="Times New Roman"/>
          <w:i/>
          <w:color w:val="000000"/>
          <w:sz w:val="28"/>
          <w:szCs w:val="28"/>
        </w:rPr>
        <w:t>они. Серія: Державне управління</w:t>
      </w:r>
      <w:r w:rsidR="00AB2337" w:rsidRPr="0078696C">
        <w:rPr>
          <w:rFonts w:ascii="Times New Roman" w:hAnsi="Times New Roman"/>
          <w:i/>
          <w:color w:val="000000"/>
          <w:sz w:val="28"/>
          <w:szCs w:val="28"/>
        </w:rPr>
        <w:t>.</w:t>
      </w:r>
      <w:r w:rsidR="00AB2337" w:rsidRPr="0078696C">
        <w:rPr>
          <w:rFonts w:ascii="Times New Roman" w:hAnsi="Times New Roman"/>
          <w:color w:val="000000"/>
          <w:sz w:val="28"/>
          <w:szCs w:val="28"/>
        </w:rPr>
        <w:t xml:space="preserve"> 2017. № 3. С. 124</w:t>
      </w:r>
      <w:r w:rsidRPr="0078696C">
        <w:rPr>
          <w:rFonts w:ascii="Times New Roman" w:hAnsi="Times New Roman"/>
          <w:color w:val="000000"/>
          <w:sz w:val="28"/>
          <w:szCs w:val="28"/>
        </w:rPr>
        <w:t>–</w:t>
      </w:r>
      <w:r w:rsidR="00AB2337" w:rsidRPr="0078696C">
        <w:rPr>
          <w:rFonts w:ascii="Times New Roman" w:hAnsi="Times New Roman"/>
          <w:color w:val="000000"/>
          <w:sz w:val="28"/>
          <w:szCs w:val="28"/>
        </w:rPr>
        <w:t xml:space="preserve">129 </w:t>
      </w:r>
      <w:r w:rsidR="00AB2337" w:rsidRPr="0078696C">
        <w:rPr>
          <w:rFonts w:ascii="Times New Roman" w:eastAsia="Times New Roman" w:hAnsi="Times New Roman"/>
          <w:color w:val="000000"/>
          <w:sz w:val="28"/>
          <w:szCs w:val="28"/>
          <w:lang w:eastAsia="ru-RU"/>
        </w:rPr>
        <w:t>[наукове фахове видання з державного управління; журнал індексується в міжнародній наукометричній базі даних Google Scholar; включено до міжнародної наукометричної бази Index Copernicus International].</w:t>
      </w:r>
    </w:p>
    <w:p w:rsidR="00AB2337" w:rsidRPr="0078696C" w:rsidRDefault="00B1755F" w:rsidP="00AB2337">
      <w:pPr>
        <w:numPr>
          <w:ilvl w:val="0"/>
          <w:numId w:val="1"/>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Впровадження світових стандартів у систему пенсійного забезпечення України. </w:t>
      </w:r>
      <w:r w:rsidR="00E81C1F" w:rsidRPr="0078696C">
        <w:rPr>
          <w:rFonts w:ascii="Times New Roman" w:hAnsi="Times New Roman"/>
          <w:i/>
          <w:color w:val="000000"/>
          <w:sz w:val="28"/>
          <w:szCs w:val="28"/>
        </w:rPr>
        <w:t>Право та державне управління</w:t>
      </w:r>
      <w:r w:rsidR="00AB2337" w:rsidRPr="0078696C">
        <w:rPr>
          <w:rFonts w:ascii="Times New Roman" w:hAnsi="Times New Roman"/>
          <w:color w:val="000000"/>
          <w:sz w:val="28"/>
          <w:szCs w:val="28"/>
        </w:rPr>
        <w:t>. 2017. № 4. Т.2. С. 179</w:t>
      </w:r>
      <w:r w:rsidRPr="0078696C">
        <w:rPr>
          <w:rFonts w:ascii="Times New Roman" w:hAnsi="Times New Roman"/>
          <w:color w:val="000000"/>
          <w:sz w:val="28"/>
          <w:szCs w:val="28"/>
        </w:rPr>
        <w:t>–</w:t>
      </w:r>
      <w:r w:rsidR="00AB2337" w:rsidRPr="0078696C">
        <w:rPr>
          <w:rFonts w:ascii="Times New Roman" w:hAnsi="Times New Roman"/>
          <w:color w:val="000000"/>
          <w:sz w:val="28"/>
          <w:szCs w:val="28"/>
        </w:rPr>
        <w:t xml:space="preserve">184 </w:t>
      </w:r>
      <w:r w:rsidR="00AB2337" w:rsidRPr="0078696C">
        <w:rPr>
          <w:rFonts w:ascii="Times New Roman" w:eastAsia="Times New Roman" w:hAnsi="Times New Roman"/>
          <w:color w:val="000000"/>
          <w:sz w:val="28"/>
          <w:szCs w:val="28"/>
          <w:lang w:eastAsia="ru-RU"/>
        </w:rPr>
        <w:t>[наукове фахове видання з державного управління; журнал індексується в міжнародній наукометричній базі даних Google Scholar; включено до міжнародної наукометричної бази Index Copernicus International].</w:t>
      </w:r>
    </w:p>
    <w:p w:rsidR="008C02C6" w:rsidRPr="0078696C" w:rsidRDefault="009668B6" w:rsidP="00E81C1F">
      <w:pPr>
        <w:numPr>
          <w:ilvl w:val="0"/>
          <w:numId w:val="1"/>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Сучасний стан та перспективи розвитку пенсійної системи України. </w:t>
      </w:r>
      <w:r w:rsidR="00E81C1F" w:rsidRPr="0078696C">
        <w:rPr>
          <w:rFonts w:ascii="Times New Roman" w:hAnsi="Times New Roman"/>
          <w:i/>
          <w:color w:val="000000"/>
          <w:sz w:val="28"/>
          <w:szCs w:val="28"/>
        </w:rPr>
        <w:t>Молодий вчений</w:t>
      </w:r>
      <w:r w:rsidR="00AB2337" w:rsidRPr="0078696C">
        <w:rPr>
          <w:rFonts w:ascii="Times New Roman" w:hAnsi="Times New Roman"/>
          <w:color w:val="000000"/>
          <w:sz w:val="28"/>
          <w:szCs w:val="28"/>
        </w:rPr>
        <w:t>. 2019. №4 (68). С.98</w:t>
      </w:r>
      <w:r w:rsidR="00B1755F" w:rsidRPr="0078696C">
        <w:rPr>
          <w:rFonts w:ascii="Times New Roman" w:hAnsi="Times New Roman"/>
          <w:color w:val="000000"/>
          <w:sz w:val="28"/>
          <w:szCs w:val="28"/>
        </w:rPr>
        <w:t>–</w:t>
      </w:r>
      <w:r w:rsidR="00AB2337" w:rsidRPr="0078696C">
        <w:rPr>
          <w:rFonts w:ascii="Times New Roman" w:hAnsi="Times New Roman"/>
          <w:color w:val="000000"/>
          <w:sz w:val="28"/>
          <w:szCs w:val="28"/>
        </w:rPr>
        <w:t>102 [журнал включено до міжнародних каталогів наукових видань і наукометричних баз: GoogleScholar, CiteFactor, Research Bible, Index Copernicus].</w:t>
      </w:r>
    </w:p>
    <w:p w:rsidR="006C1DC4" w:rsidRPr="0078696C" w:rsidRDefault="006C1DC4" w:rsidP="006C1DC4">
      <w:pPr>
        <w:spacing w:after="0" w:line="360" w:lineRule="auto"/>
        <w:ind w:left="709"/>
        <w:contextualSpacing/>
        <w:jc w:val="both"/>
        <w:rPr>
          <w:rFonts w:ascii="Times New Roman" w:hAnsi="Times New Roman"/>
          <w:i/>
          <w:color w:val="000000"/>
          <w:sz w:val="28"/>
          <w:szCs w:val="28"/>
        </w:rPr>
      </w:pPr>
    </w:p>
    <w:p w:rsidR="00AB2337" w:rsidRPr="0078696C" w:rsidRDefault="00AB2337" w:rsidP="00B3650A">
      <w:pPr>
        <w:pStyle w:val="a3"/>
        <w:tabs>
          <w:tab w:val="left" w:pos="1276"/>
        </w:tabs>
        <w:spacing w:after="0" w:line="360" w:lineRule="auto"/>
        <w:ind w:left="0"/>
        <w:jc w:val="center"/>
        <w:rPr>
          <w:rFonts w:ascii="Times New Roman" w:hAnsi="Times New Roman"/>
          <w:i/>
          <w:iCs/>
          <w:color w:val="000000"/>
          <w:sz w:val="28"/>
          <w:szCs w:val="28"/>
          <w:lang w:val="uk-UA"/>
        </w:rPr>
      </w:pPr>
      <w:r w:rsidRPr="0078696C">
        <w:rPr>
          <w:rFonts w:ascii="Times New Roman" w:hAnsi="Times New Roman"/>
          <w:i/>
          <w:iCs/>
          <w:color w:val="000000"/>
          <w:sz w:val="28"/>
          <w:szCs w:val="28"/>
          <w:lang w:val="uk-UA"/>
        </w:rPr>
        <w:t>Опубліковані праці апробаційного характеру</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П. Особливості покращення управління та підвищення його ефективності в діяльності органів Пенсійного</w:t>
      </w:r>
      <w:r w:rsidRPr="0078696C">
        <w:rPr>
          <w:rFonts w:ascii="Times New Roman" w:hAnsi="Times New Roman"/>
          <w:color w:val="000000"/>
          <w:sz w:val="28"/>
          <w:szCs w:val="28"/>
        </w:rPr>
        <w:t xml:space="preserve"> фонду України. </w:t>
      </w:r>
      <w:r w:rsidRPr="0078696C">
        <w:rPr>
          <w:rFonts w:ascii="Times New Roman" w:hAnsi="Times New Roman"/>
          <w:i/>
          <w:color w:val="000000"/>
          <w:sz w:val="28"/>
          <w:szCs w:val="28"/>
        </w:rPr>
        <w:t>Правова держава</w:t>
      </w:r>
      <w:r w:rsidR="00AB2337" w:rsidRPr="0078696C">
        <w:rPr>
          <w:rFonts w:ascii="Times New Roman" w:hAnsi="Times New Roman"/>
          <w:i/>
          <w:color w:val="000000"/>
          <w:sz w:val="28"/>
          <w:szCs w:val="28"/>
        </w:rPr>
        <w:t>: історія, сучасність та п</w:t>
      </w:r>
      <w:r w:rsidRPr="0078696C">
        <w:rPr>
          <w:rFonts w:ascii="Times New Roman" w:hAnsi="Times New Roman"/>
          <w:i/>
          <w:color w:val="000000"/>
          <w:sz w:val="28"/>
          <w:szCs w:val="28"/>
        </w:rPr>
        <w:t>ерспективи формування в Україні</w:t>
      </w:r>
      <w:r w:rsidR="00AB2337" w:rsidRPr="0078696C">
        <w:rPr>
          <w:rFonts w:ascii="Times New Roman" w:hAnsi="Times New Roman"/>
          <w:color w:val="000000"/>
          <w:sz w:val="28"/>
          <w:szCs w:val="28"/>
        </w:rPr>
        <w:t>: матер. міжнар. науково-практ</w:t>
      </w:r>
      <w:r w:rsidRPr="0078696C">
        <w:rPr>
          <w:rFonts w:ascii="Times New Roman" w:hAnsi="Times New Roman"/>
          <w:color w:val="000000"/>
          <w:sz w:val="28"/>
          <w:szCs w:val="28"/>
        </w:rPr>
        <w:t>.</w:t>
      </w:r>
      <w:r w:rsidR="00E81C1F" w:rsidRPr="0078696C">
        <w:rPr>
          <w:rFonts w:ascii="Times New Roman" w:hAnsi="Times New Roman"/>
          <w:color w:val="000000"/>
          <w:sz w:val="28"/>
          <w:szCs w:val="28"/>
        </w:rPr>
        <w:t xml:space="preserve"> конфер., 27–28 лютого 2015 р. </w:t>
      </w:r>
      <w:r w:rsidRPr="0078696C">
        <w:rPr>
          <w:rFonts w:ascii="Times New Roman" w:hAnsi="Times New Roman"/>
          <w:color w:val="000000"/>
          <w:sz w:val="28"/>
          <w:szCs w:val="28"/>
        </w:rPr>
        <w:t>Ужгород</w:t>
      </w:r>
      <w:r w:rsidR="00AB2337" w:rsidRPr="0078696C">
        <w:rPr>
          <w:rFonts w:ascii="Times New Roman" w:hAnsi="Times New Roman"/>
          <w:color w:val="000000"/>
          <w:sz w:val="28"/>
          <w:szCs w:val="28"/>
        </w:rPr>
        <w:t>: Ужгородський національний університет, 2015. С. 94</w:t>
      </w:r>
      <w:r w:rsidRPr="0078696C">
        <w:rPr>
          <w:rFonts w:ascii="Times New Roman" w:hAnsi="Times New Roman"/>
          <w:color w:val="000000"/>
          <w:sz w:val="28"/>
          <w:szCs w:val="28"/>
        </w:rPr>
        <w:t>–</w:t>
      </w:r>
      <w:r w:rsidR="00AB2337" w:rsidRPr="0078696C">
        <w:rPr>
          <w:rFonts w:ascii="Times New Roman" w:hAnsi="Times New Roman"/>
          <w:color w:val="000000"/>
          <w:sz w:val="28"/>
          <w:szCs w:val="28"/>
        </w:rPr>
        <w:t>97.</w:t>
      </w:r>
    </w:p>
    <w:p w:rsidR="00AB2337" w:rsidRPr="0078696C" w:rsidRDefault="00AB2337"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eastAsia="Times New Roman" w:hAnsi="Times New Roman"/>
          <w:color w:val="000000"/>
          <w:spacing w:val="2"/>
          <w:sz w:val="28"/>
          <w:szCs w:val="28"/>
          <w:lang w:eastAsia="ru-RU"/>
        </w:rPr>
        <w:t>Ш</w:t>
      </w:r>
      <w:r w:rsidR="00B1755F" w:rsidRPr="0078696C">
        <w:rPr>
          <w:rFonts w:ascii="Times New Roman" w:eastAsia="Times New Roman" w:hAnsi="Times New Roman"/>
          <w:color w:val="000000"/>
          <w:spacing w:val="2"/>
          <w:sz w:val="28"/>
          <w:szCs w:val="28"/>
          <w:lang w:eastAsia="ru-RU"/>
        </w:rPr>
        <w:t>евченко Н.</w:t>
      </w:r>
      <w:r w:rsidRPr="0078696C">
        <w:rPr>
          <w:rFonts w:ascii="Times New Roman" w:eastAsia="Times New Roman" w:hAnsi="Times New Roman"/>
          <w:color w:val="000000"/>
          <w:spacing w:val="2"/>
          <w:sz w:val="28"/>
          <w:szCs w:val="28"/>
          <w:lang w:eastAsia="ru-RU"/>
        </w:rPr>
        <w:t xml:space="preserve">П. Актуальні проблеми призначення пенсій в зв’язку з втратою годувальника. </w:t>
      </w:r>
      <w:r w:rsidRPr="0078696C">
        <w:rPr>
          <w:rFonts w:ascii="Times New Roman" w:eastAsia="Times New Roman" w:hAnsi="Times New Roman"/>
          <w:i/>
          <w:color w:val="000000"/>
          <w:spacing w:val="2"/>
          <w:sz w:val="28"/>
          <w:szCs w:val="28"/>
          <w:lang w:eastAsia="ru-RU"/>
        </w:rPr>
        <w:t xml:space="preserve">Актуальні проблеми прав людини, держави </w:t>
      </w:r>
      <w:r w:rsidR="00B1755F" w:rsidRPr="0078696C">
        <w:rPr>
          <w:rFonts w:ascii="Times New Roman" w:eastAsia="Times New Roman" w:hAnsi="Times New Roman"/>
          <w:i/>
          <w:color w:val="000000"/>
          <w:spacing w:val="2"/>
          <w:sz w:val="28"/>
          <w:szCs w:val="28"/>
          <w:lang w:eastAsia="ru-RU"/>
        </w:rPr>
        <w:t>та вітчизняної правової системи</w:t>
      </w:r>
      <w:r w:rsidRPr="0078696C">
        <w:rPr>
          <w:rFonts w:ascii="Times New Roman" w:eastAsia="Times New Roman" w:hAnsi="Times New Roman"/>
          <w:color w:val="000000"/>
          <w:spacing w:val="2"/>
          <w:sz w:val="28"/>
          <w:szCs w:val="28"/>
          <w:lang w:eastAsia="ru-RU"/>
        </w:rPr>
        <w:t>: матер. міжнар. науково-практ. конфер., 3</w:t>
      </w:r>
      <w:r w:rsidR="00B1755F" w:rsidRPr="0078696C">
        <w:rPr>
          <w:rFonts w:ascii="Times New Roman" w:hAnsi="Times New Roman"/>
          <w:color w:val="000000"/>
          <w:sz w:val="28"/>
          <w:szCs w:val="28"/>
        </w:rPr>
        <w:t>–</w:t>
      </w:r>
      <w:r w:rsidR="00E81C1F" w:rsidRPr="0078696C">
        <w:rPr>
          <w:rFonts w:ascii="Times New Roman" w:eastAsia="Times New Roman" w:hAnsi="Times New Roman"/>
          <w:color w:val="000000"/>
          <w:spacing w:val="2"/>
          <w:sz w:val="28"/>
          <w:szCs w:val="28"/>
          <w:lang w:eastAsia="ru-RU"/>
        </w:rPr>
        <w:t>4 квітня 2015 р</w:t>
      </w:r>
      <w:r w:rsidR="00B1755F" w:rsidRPr="0078696C">
        <w:rPr>
          <w:rFonts w:ascii="Times New Roman" w:eastAsia="Times New Roman" w:hAnsi="Times New Roman"/>
          <w:color w:val="000000"/>
          <w:spacing w:val="2"/>
          <w:sz w:val="28"/>
          <w:szCs w:val="28"/>
          <w:lang w:eastAsia="ru-RU"/>
        </w:rPr>
        <w:t>. Дніпропетровськ</w:t>
      </w:r>
      <w:r w:rsidRPr="0078696C">
        <w:rPr>
          <w:rFonts w:ascii="Times New Roman" w:eastAsia="Times New Roman" w:hAnsi="Times New Roman"/>
          <w:color w:val="000000"/>
          <w:spacing w:val="2"/>
          <w:sz w:val="28"/>
          <w:szCs w:val="28"/>
          <w:lang w:eastAsia="ru-RU"/>
        </w:rPr>
        <w:t>: ГО «Правовий світ», 2015. С. 64</w:t>
      </w:r>
      <w:r w:rsidR="00B1755F" w:rsidRPr="0078696C">
        <w:rPr>
          <w:rFonts w:ascii="Times New Roman" w:hAnsi="Times New Roman"/>
          <w:color w:val="000000"/>
          <w:sz w:val="28"/>
          <w:szCs w:val="28"/>
        </w:rPr>
        <w:t>–</w:t>
      </w:r>
      <w:r w:rsidRPr="0078696C">
        <w:rPr>
          <w:rFonts w:ascii="Times New Roman" w:eastAsia="Times New Roman" w:hAnsi="Times New Roman"/>
          <w:color w:val="000000"/>
          <w:spacing w:val="2"/>
          <w:sz w:val="28"/>
          <w:szCs w:val="28"/>
          <w:lang w:eastAsia="ru-RU"/>
        </w:rPr>
        <w:t>66.</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lastRenderedPageBreak/>
        <w:t>Шевченко Н.</w:t>
      </w:r>
      <w:r w:rsidR="00AB2337" w:rsidRPr="0078696C">
        <w:rPr>
          <w:rFonts w:ascii="Times New Roman" w:hAnsi="Times New Roman"/>
          <w:color w:val="000000"/>
          <w:sz w:val="28"/>
          <w:szCs w:val="28"/>
        </w:rPr>
        <w:t xml:space="preserve">П. Основні аспекти соціальної політики держави у сфері пенсійного забезпечення населення на шляху здійснення реформ. </w:t>
      </w:r>
      <w:r w:rsidR="00AB2337" w:rsidRPr="0078696C">
        <w:rPr>
          <w:rFonts w:ascii="Times New Roman" w:hAnsi="Times New Roman"/>
          <w:i/>
          <w:color w:val="000000"/>
          <w:sz w:val="28"/>
          <w:szCs w:val="28"/>
        </w:rPr>
        <w:t xml:space="preserve">Організаційно-правові аспекти </w:t>
      </w:r>
      <w:r w:rsidRPr="0078696C">
        <w:rPr>
          <w:rFonts w:ascii="Times New Roman" w:hAnsi="Times New Roman"/>
          <w:i/>
          <w:color w:val="000000"/>
          <w:sz w:val="28"/>
          <w:szCs w:val="28"/>
        </w:rPr>
        <w:t>публічного управління в Україні</w:t>
      </w:r>
      <w:r w:rsidR="00AB2337" w:rsidRPr="0078696C">
        <w:rPr>
          <w:rFonts w:ascii="Times New Roman" w:hAnsi="Times New Roman"/>
          <w:color w:val="000000"/>
          <w:sz w:val="28"/>
          <w:szCs w:val="28"/>
        </w:rPr>
        <w:t xml:space="preserve">: </w:t>
      </w:r>
      <w:r w:rsidR="00E81C1F" w:rsidRPr="0078696C">
        <w:rPr>
          <w:rFonts w:ascii="Times New Roman" w:hAnsi="Times New Roman"/>
          <w:color w:val="000000"/>
          <w:sz w:val="28"/>
          <w:szCs w:val="28"/>
        </w:rPr>
        <w:t>матер.</w:t>
      </w:r>
      <w:r w:rsidR="00E81C1F" w:rsidRPr="0078696C">
        <w:rPr>
          <w:rFonts w:ascii="Times New Roman" w:hAnsi="Times New Roman"/>
          <w:color w:val="000000"/>
          <w:sz w:val="28"/>
          <w:szCs w:val="28"/>
        </w:rPr>
        <w:br/>
      </w:r>
      <w:r w:rsidR="00AB2337" w:rsidRPr="0078696C">
        <w:rPr>
          <w:rFonts w:ascii="Times New Roman" w:hAnsi="Times New Roman"/>
          <w:color w:val="000000"/>
          <w:sz w:val="28"/>
          <w:szCs w:val="28"/>
        </w:rPr>
        <w:t>II Всеукраїнської науково-практичної Інтернет-конфер., 22</w:t>
      </w:r>
      <w:r w:rsidRPr="0078696C">
        <w:rPr>
          <w:rFonts w:ascii="Times New Roman" w:hAnsi="Times New Roman"/>
          <w:color w:val="000000"/>
          <w:sz w:val="28"/>
          <w:szCs w:val="28"/>
        </w:rPr>
        <w:t>–</w:t>
      </w:r>
      <w:r w:rsidR="00AB2337" w:rsidRPr="0078696C">
        <w:rPr>
          <w:rFonts w:ascii="Times New Roman" w:hAnsi="Times New Roman"/>
          <w:color w:val="000000"/>
          <w:sz w:val="28"/>
          <w:szCs w:val="28"/>
        </w:rPr>
        <w:t>23 квітн</w:t>
      </w:r>
      <w:r w:rsidRPr="0078696C">
        <w:rPr>
          <w:rFonts w:ascii="Times New Roman" w:hAnsi="Times New Roman"/>
          <w:color w:val="000000"/>
          <w:sz w:val="28"/>
          <w:szCs w:val="28"/>
        </w:rPr>
        <w:t>я 2015 року. Полтава</w:t>
      </w:r>
      <w:r w:rsidR="00AB2337" w:rsidRPr="0078696C">
        <w:rPr>
          <w:rFonts w:ascii="Times New Roman" w:hAnsi="Times New Roman"/>
          <w:color w:val="000000"/>
          <w:sz w:val="28"/>
          <w:szCs w:val="28"/>
        </w:rPr>
        <w:t>: ПолтНТУ, 2015. С. 104</w:t>
      </w:r>
      <w:r w:rsidRPr="0078696C">
        <w:rPr>
          <w:rFonts w:ascii="Times New Roman" w:hAnsi="Times New Roman"/>
          <w:color w:val="000000"/>
          <w:sz w:val="28"/>
          <w:szCs w:val="28"/>
        </w:rPr>
        <w:t>–</w:t>
      </w:r>
      <w:r w:rsidR="00AB2337" w:rsidRPr="0078696C">
        <w:rPr>
          <w:rFonts w:ascii="Times New Roman" w:hAnsi="Times New Roman"/>
          <w:color w:val="000000"/>
          <w:sz w:val="28"/>
          <w:szCs w:val="28"/>
        </w:rPr>
        <w:t>106.</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Актуальні питання застосування норм міжнародного права при призначенні пенсій особам, які працювали в районах Крайньої Півночі. </w:t>
      </w:r>
      <w:r w:rsidR="00AB2337" w:rsidRPr="0078696C">
        <w:rPr>
          <w:rFonts w:ascii="Times New Roman" w:eastAsia="Times New Roman" w:hAnsi="Times New Roman"/>
          <w:i/>
          <w:color w:val="000000"/>
          <w:sz w:val="28"/>
          <w:szCs w:val="28"/>
          <w:lang w:eastAsia="ru-RU"/>
        </w:rPr>
        <w:t>Актуальні питання теорії та практики застосування сучасного віт</w:t>
      </w:r>
      <w:r w:rsidRPr="0078696C">
        <w:rPr>
          <w:rFonts w:ascii="Times New Roman" w:eastAsia="Times New Roman" w:hAnsi="Times New Roman"/>
          <w:i/>
          <w:color w:val="000000"/>
          <w:sz w:val="28"/>
          <w:szCs w:val="28"/>
          <w:lang w:eastAsia="ru-RU"/>
        </w:rPr>
        <w:t>чизняного та міжнародного права</w:t>
      </w:r>
      <w:r w:rsidR="00AB2337" w:rsidRPr="0078696C">
        <w:rPr>
          <w:rFonts w:ascii="Times New Roman" w:eastAsia="Times New Roman" w:hAnsi="Times New Roman"/>
          <w:color w:val="000000"/>
          <w:sz w:val="28"/>
          <w:szCs w:val="28"/>
          <w:lang w:eastAsia="ru-RU"/>
        </w:rPr>
        <w:t>: матер. міжнар. науково-практ. конфер., 10</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1</w:t>
      </w:r>
      <w:r w:rsidRPr="0078696C">
        <w:rPr>
          <w:rFonts w:ascii="Times New Roman" w:eastAsia="Times New Roman" w:hAnsi="Times New Roman"/>
          <w:color w:val="000000"/>
          <w:sz w:val="28"/>
          <w:szCs w:val="28"/>
          <w:lang w:eastAsia="ru-RU"/>
        </w:rPr>
        <w:t>1 червня 2016 р.К.</w:t>
      </w:r>
      <w:r w:rsidR="00AB2337" w:rsidRPr="0078696C">
        <w:rPr>
          <w:rFonts w:ascii="Times New Roman" w:eastAsia="Times New Roman" w:hAnsi="Times New Roman"/>
          <w:color w:val="000000"/>
          <w:sz w:val="28"/>
          <w:szCs w:val="28"/>
          <w:lang w:eastAsia="ru-RU"/>
        </w:rPr>
        <w:t>: Центр правових наукових досліджень, 2016. С. 100</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103.</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Шевченко Н.</w:t>
      </w:r>
      <w:r w:rsidR="00AB2337" w:rsidRPr="0078696C">
        <w:rPr>
          <w:rFonts w:ascii="Times New Roman" w:eastAsia="Times New Roman" w:hAnsi="Times New Roman"/>
          <w:color w:val="000000"/>
          <w:sz w:val="28"/>
          <w:szCs w:val="28"/>
          <w:lang w:eastAsia="ru-RU"/>
        </w:rPr>
        <w:t>П. Пріоритетність норм міжнародного права при розрахунку заробітної плати для призначення пенсії</w:t>
      </w:r>
      <w:r w:rsidR="00AB2337" w:rsidRPr="0078696C">
        <w:rPr>
          <w:rFonts w:ascii="Times New Roman" w:eastAsia="Times New Roman" w:hAnsi="Times New Roman"/>
          <w:i/>
          <w:color w:val="000000"/>
          <w:sz w:val="28"/>
          <w:szCs w:val="28"/>
          <w:lang w:eastAsia="ru-RU"/>
        </w:rPr>
        <w:t>. Актуальні питання розвитку правової держави в умовах сучасного становлення грома</w:t>
      </w:r>
      <w:r w:rsidRPr="0078696C">
        <w:rPr>
          <w:rFonts w:ascii="Times New Roman" w:eastAsia="Times New Roman" w:hAnsi="Times New Roman"/>
          <w:i/>
          <w:color w:val="000000"/>
          <w:sz w:val="28"/>
          <w:szCs w:val="28"/>
          <w:lang w:eastAsia="ru-RU"/>
        </w:rPr>
        <w:t>дянського суспільства в Україні</w:t>
      </w:r>
      <w:r w:rsidR="00AB2337" w:rsidRPr="0078696C">
        <w:rPr>
          <w:rFonts w:ascii="Times New Roman" w:eastAsia="Times New Roman" w:hAnsi="Times New Roman"/>
          <w:color w:val="000000"/>
          <w:sz w:val="28"/>
          <w:szCs w:val="28"/>
          <w:lang w:eastAsia="ru-RU"/>
        </w:rPr>
        <w:t>: матер. Міжнародної науково-практичної конферен</w:t>
      </w:r>
      <w:r w:rsidRPr="0078696C">
        <w:rPr>
          <w:rFonts w:ascii="Times New Roman" w:eastAsia="Times New Roman" w:hAnsi="Times New Roman"/>
          <w:color w:val="000000"/>
          <w:sz w:val="28"/>
          <w:szCs w:val="28"/>
          <w:lang w:eastAsia="ru-RU"/>
        </w:rPr>
        <w:t>ції, 17</w:t>
      </w:r>
      <w:r w:rsidRPr="0078696C">
        <w:rPr>
          <w:rFonts w:ascii="Times New Roman" w:hAnsi="Times New Roman"/>
          <w:color w:val="000000"/>
          <w:sz w:val="28"/>
          <w:szCs w:val="28"/>
        </w:rPr>
        <w:t>–</w:t>
      </w:r>
      <w:r w:rsidR="00E81C1F" w:rsidRPr="0078696C">
        <w:rPr>
          <w:rFonts w:ascii="Times New Roman" w:eastAsia="Times New Roman" w:hAnsi="Times New Roman"/>
          <w:color w:val="000000"/>
          <w:sz w:val="28"/>
          <w:szCs w:val="28"/>
          <w:lang w:eastAsia="ru-RU"/>
        </w:rPr>
        <w:t>18 червня 2016 р</w:t>
      </w:r>
      <w:r w:rsidRPr="0078696C">
        <w:rPr>
          <w:rFonts w:ascii="Times New Roman" w:eastAsia="Times New Roman" w:hAnsi="Times New Roman"/>
          <w:color w:val="000000"/>
          <w:sz w:val="28"/>
          <w:szCs w:val="28"/>
          <w:lang w:eastAsia="ru-RU"/>
        </w:rPr>
        <w:t>. Харків</w:t>
      </w:r>
      <w:r w:rsidR="00AB2337" w:rsidRPr="0078696C">
        <w:rPr>
          <w:rFonts w:ascii="Times New Roman" w:eastAsia="Times New Roman" w:hAnsi="Times New Roman"/>
          <w:color w:val="000000"/>
          <w:sz w:val="28"/>
          <w:szCs w:val="28"/>
          <w:lang w:eastAsia="ru-RU"/>
        </w:rPr>
        <w:t xml:space="preserve">: ГО «Асоціація аспірантів-юристів», 2016. </w:t>
      </w:r>
      <w:r w:rsidR="00E81C1F" w:rsidRPr="0078696C">
        <w:rPr>
          <w:rFonts w:ascii="Times New Roman" w:eastAsia="Times New Roman" w:hAnsi="Times New Roman"/>
          <w:color w:val="000000"/>
          <w:sz w:val="28"/>
          <w:szCs w:val="28"/>
          <w:lang w:eastAsia="ru-RU"/>
        </w:rPr>
        <w:br/>
      </w:r>
      <w:r w:rsidR="00AB2337" w:rsidRPr="0078696C">
        <w:rPr>
          <w:rFonts w:ascii="Times New Roman" w:eastAsia="Times New Roman" w:hAnsi="Times New Roman"/>
          <w:color w:val="000000"/>
          <w:sz w:val="28"/>
          <w:szCs w:val="28"/>
          <w:lang w:eastAsia="ru-RU"/>
        </w:rPr>
        <w:t>С. 117</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120.</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Шевченко Н.</w:t>
      </w:r>
      <w:r w:rsidR="00AB2337" w:rsidRPr="0078696C">
        <w:rPr>
          <w:rFonts w:ascii="Times New Roman" w:eastAsia="Times New Roman" w:hAnsi="Times New Roman"/>
          <w:color w:val="000000"/>
          <w:sz w:val="28"/>
          <w:szCs w:val="28"/>
          <w:lang w:eastAsia="ru-RU"/>
        </w:rPr>
        <w:t xml:space="preserve">П. Механізми державного регулювання системою пенсійного забезпечення в Україні. </w:t>
      </w:r>
      <w:r w:rsidR="00AB2337" w:rsidRPr="0078696C">
        <w:rPr>
          <w:rFonts w:ascii="Times New Roman" w:eastAsia="Times New Roman" w:hAnsi="Times New Roman"/>
          <w:i/>
          <w:color w:val="000000"/>
          <w:sz w:val="28"/>
          <w:szCs w:val="28"/>
          <w:lang w:eastAsia="ru-RU"/>
        </w:rPr>
        <w:t>Державне регулювання суспільних відносин: розвиток законодавства</w:t>
      </w:r>
      <w:r w:rsidRPr="0078696C">
        <w:rPr>
          <w:rFonts w:ascii="Times New Roman" w:eastAsia="Times New Roman" w:hAnsi="Times New Roman"/>
          <w:i/>
          <w:color w:val="000000"/>
          <w:sz w:val="28"/>
          <w:szCs w:val="28"/>
          <w:lang w:eastAsia="ru-RU"/>
        </w:rPr>
        <w:t xml:space="preserve"> та проблеми правозастосування</w:t>
      </w:r>
      <w:r w:rsidR="00AB2337" w:rsidRPr="0078696C">
        <w:rPr>
          <w:rFonts w:ascii="Times New Roman" w:eastAsia="Times New Roman" w:hAnsi="Times New Roman"/>
          <w:color w:val="000000"/>
          <w:sz w:val="28"/>
          <w:szCs w:val="28"/>
          <w:lang w:eastAsia="ru-RU"/>
        </w:rPr>
        <w:t>: матер. Міжнародної науково-практичної</w:t>
      </w:r>
      <w:r w:rsidRPr="0078696C">
        <w:rPr>
          <w:rFonts w:ascii="Times New Roman" w:eastAsia="Times New Roman" w:hAnsi="Times New Roman"/>
          <w:color w:val="000000"/>
          <w:sz w:val="28"/>
          <w:szCs w:val="28"/>
          <w:lang w:eastAsia="ru-RU"/>
        </w:rPr>
        <w:t xml:space="preserve"> конференції, 8</w:t>
      </w:r>
      <w:r w:rsidRPr="0078696C">
        <w:rPr>
          <w:rFonts w:ascii="Times New Roman" w:hAnsi="Times New Roman"/>
          <w:color w:val="000000"/>
          <w:sz w:val="28"/>
          <w:szCs w:val="28"/>
        </w:rPr>
        <w:t>–</w:t>
      </w:r>
      <w:r w:rsidR="00E81C1F" w:rsidRPr="0078696C">
        <w:rPr>
          <w:rFonts w:ascii="Times New Roman" w:eastAsia="Times New Roman" w:hAnsi="Times New Roman"/>
          <w:color w:val="000000"/>
          <w:sz w:val="28"/>
          <w:szCs w:val="28"/>
          <w:lang w:eastAsia="ru-RU"/>
        </w:rPr>
        <w:t xml:space="preserve">9 липня 2016 р. </w:t>
      </w:r>
      <w:r w:rsidRPr="0078696C">
        <w:rPr>
          <w:rFonts w:ascii="Times New Roman" w:eastAsia="Times New Roman" w:hAnsi="Times New Roman"/>
          <w:color w:val="000000"/>
          <w:sz w:val="28"/>
          <w:szCs w:val="28"/>
          <w:lang w:eastAsia="ru-RU"/>
        </w:rPr>
        <w:t>К.</w:t>
      </w:r>
      <w:r w:rsidR="00AB2337" w:rsidRPr="0078696C">
        <w:rPr>
          <w:rFonts w:ascii="Times New Roman" w:eastAsia="Times New Roman" w:hAnsi="Times New Roman"/>
          <w:color w:val="000000"/>
          <w:sz w:val="28"/>
          <w:szCs w:val="28"/>
          <w:lang w:eastAsia="ru-RU"/>
        </w:rPr>
        <w:t>: Центр правових наукових досліджень, 2016. С. 60</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63.</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Шевченко Н.</w:t>
      </w:r>
      <w:r w:rsidR="00AB2337" w:rsidRPr="0078696C">
        <w:rPr>
          <w:rFonts w:ascii="Times New Roman" w:eastAsia="Times New Roman" w:hAnsi="Times New Roman"/>
          <w:color w:val="000000"/>
          <w:sz w:val="28"/>
          <w:szCs w:val="28"/>
          <w:lang w:eastAsia="ru-RU"/>
        </w:rPr>
        <w:t xml:space="preserve">П. Правила обліку страхових внесків для врахування в розрахунковий пенсійний капітал (на прикладі Російської Федерації). </w:t>
      </w:r>
      <w:r w:rsidR="00AB2337" w:rsidRPr="0078696C">
        <w:rPr>
          <w:rFonts w:ascii="Times New Roman" w:eastAsia="Times New Roman" w:hAnsi="Times New Roman"/>
          <w:i/>
          <w:color w:val="000000"/>
          <w:sz w:val="28"/>
          <w:szCs w:val="28"/>
          <w:lang w:eastAsia="ru-RU"/>
        </w:rPr>
        <w:t xml:space="preserve">Напрями вдосконалення механізмів державного управління в умовах </w:t>
      </w:r>
      <w:r w:rsidRPr="0078696C">
        <w:rPr>
          <w:rFonts w:ascii="Times New Roman" w:eastAsia="Times New Roman" w:hAnsi="Times New Roman"/>
          <w:i/>
          <w:color w:val="000000"/>
          <w:sz w:val="28"/>
          <w:szCs w:val="28"/>
          <w:lang w:eastAsia="ru-RU"/>
        </w:rPr>
        <w:t>сучасних реформаційних процесів</w:t>
      </w:r>
      <w:r w:rsidR="00AB2337" w:rsidRPr="0078696C">
        <w:rPr>
          <w:rFonts w:ascii="Times New Roman" w:eastAsia="Times New Roman" w:hAnsi="Times New Roman"/>
          <w:color w:val="000000"/>
          <w:sz w:val="28"/>
          <w:szCs w:val="28"/>
          <w:lang w:eastAsia="ru-RU"/>
        </w:rPr>
        <w:t>: матеріали всеукраїнської науково-практичної ко</w:t>
      </w:r>
      <w:r w:rsidRPr="0078696C">
        <w:rPr>
          <w:rFonts w:ascii="Times New Roman" w:eastAsia="Times New Roman" w:hAnsi="Times New Roman"/>
          <w:color w:val="000000"/>
          <w:sz w:val="28"/>
          <w:szCs w:val="28"/>
          <w:lang w:eastAsia="ru-RU"/>
        </w:rPr>
        <w:t>нференції, 23</w:t>
      </w:r>
      <w:r w:rsidRPr="0078696C">
        <w:rPr>
          <w:rFonts w:ascii="Times New Roman" w:hAnsi="Times New Roman"/>
          <w:color w:val="000000"/>
          <w:sz w:val="28"/>
          <w:szCs w:val="28"/>
        </w:rPr>
        <w:t>–</w:t>
      </w:r>
      <w:r w:rsidRPr="0078696C">
        <w:rPr>
          <w:rFonts w:ascii="Times New Roman" w:eastAsia="Times New Roman" w:hAnsi="Times New Roman"/>
          <w:color w:val="000000"/>
          <w:sz w:val="28"/>
          <w:szCs w:val="28"/>
          <w:lang w:eastAsia="ru-RU"/>
        </w:rPr>
        <w:t>24 грудня 2016 р. Запоріжжя</w:t>
      </w:r>
      <w:r w:rsidR="00AB2337" w:rsidRPr="0078696C">
        <w:rPr>
          <w:rFonts w:ascii="Times New Roman" w:eastAsia="Times New Roman" w:hAnsi="Times New Roman"/>
          <w:color w:val="000000"/>
          <w:sz w:val="28"/>
          <w:szCs w:val="28"/>
          <w:lang w:eastAsia="ru-RU"/>
        </w:rPr>
        <w:t>: Класичний приватний університет, 2016. С. 75</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78.</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Шевченко Н.</w:t>
      </w:r>
      <w:r w:rsidR="00AB2337" w:rsidRPr="0078696C">
        <w:rPr>
          <w:rFonts w:ascii="Times New Roman" w:eastAsia="Times New Roman" w:hAnsi="Times New Roman"/>
          <w:color w:val="000000"/>
          <w:sz w:val="28"/>
          <w:szCs w:val="28"/>
          <w:lang w:eastAsia="ru-RU"/>
        </w:rPr>
        <w:t xml:space="preserve">П. Проблемні питання пенсійного забезпечення осіб, які постраждали внаслідок Чорнобильської катастрофи. </w:t>
      </w:r>
      <w:r w:rsidR="00AB2337" w:rsidRPr="0078696C">
        <w:rPr>
          <w:rFonts w:ascii="Times New Roman" w:eastAsia="Times New Roman" w:hAnsi="Times New Roman"/>
          <w:i/>
          <w:color w:val="000000"/>
          <w:sz w:val="28"/>
          <w:szCs w:val="28"/>
          <w:lang w:eastAsia="ru-RU"/>
        </w:rPr>
        <w:t xml:space="preserve">Становлення </w:t>
      </w:r>
      <w:r w:rsidR="00AB2337" w:rsidRPr="0078696C">
        <w:rPr>
          <w:rFonts w:ascii="Times New Roman" w:eastAsia="Times New Roman" w:hAnsi="Times New Roman"/>
          <w:i/>
          <w:color w:val="000000"/>
          <w:sz w:val="28"/>
          <w:szCs w:val="28"/>
          <w:lang w:eastAsia="ru-RU"/>
        </w:rPr>
        <w:lastRenderedPageBreak/>
        <w:t>публі</w:t>
      </w:r>
      <w:r w:rsidRPr="0078696C">
        <w:rPr>
          <w:rFonts w:ascii="Times New Roman" w:eastAsia="Times New Roman" w:hAnsi="Times New Roman"/>
          <w:i/>
          <w:color w:val="000000"/>
          <w:sz w:val="28"/>
          <w:szCs w:val="28"/>
          <w:lang w:eastAsia="ru-RU"/>
        </w:rPr>
        <w:t>чного адміністрування в Україні</w:t>
      </w:r>
      <w:r w:rsidR="00AB2337" w:rsidRPr="0078696C">
        <w:rPr>
          <w:rFonts w:ascii="Times New Roman" w:eastAsia="Times New Roman" w:hAnsi="Times New Roman"/>
          <w:color w:val="000000"/>
          <w:sz w:val="28"/>
          <w:szCs w:val="28"/>
          <w:lang w:eastAsia="ru-RU"/>
        </w:rPr>
        <w:t>: матеріали VІІІ Всеукраїнської міжвузівської конференції студентів та молодих учених, 21 к</w:t>
      </w:r>
      <w:r w:rsidRPr="0078696C">
        <w:rPr>
          <w:rFonts w:ascii="Times New Roman" w:eastAsia="Times New Roman" w:hAnsi="Times New Roman"/>
          <w:color w:val="000000"/>
          <w:sz w:val="28"/>
          <w:szCs w:val="28"/>
          <w:lang w:eastAsia="ru-RU"/>
        </w:rPr>
        <w:t xml:space="preserve">вітня 2017 р. / </w:t>
      </w:r>
      <w:r w:rsidR="00565D24" w:rsidRPr="0078696C">
        <w:rPr>
          <w:rFonts w:ascii="Times New Roman" w:eastAsia="Times New Roman" w:hAnsi="Times New Roman"/>
          <w:color w:val="000000"/>
          <w:sz w:val="28"/>
          <w:szCs w:val="28"/>
          <w:lang w:eastAsia="ru-RU"/>
        </w:rPr>
        <w:br/>
      </w:r>
      <w:r w:rsidRPr="0078696C">
        <w:rPr>
          <w:rFonts w:ascii="Times New Roman" w:eastAsia="Times New Roman" w:hAnsi="Times New Roman"/>
          <w:color w:val="000000"/>
          <w:sz w:val="28"/>
          <w:szCs w:val="28"/>
          <w:lang w:eastAsia="ru-RU"/>
        </w:rPr>
        <w:t>за заг. ред. С.О. Шевченка</w:t>
      </w:r>
      <w:r w:rsidR="00E81C1F"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Д.</w:t>
      </w:r>
      <w:r w:rsidR="00AB2337" w:rsidRPr="0078696C">
        <w:rPr>
          <w:rFonts w:ascii="Times New Roman" w:eastAsia="Times New Roman" w:hAnsi="Times New Roman"/>
          <w:color w:val="000000"/>
          <w:sz w:val="28"/>
          <w:szCs w:val="28"/>
          <w:lang w:eastAsia="ru-RU"/>
        </w:rPr>
        <w:t>: ДРІДУ НАДУ, 2017. С. 73</w:t>
      </w:r>
      <w:r w:rsidRPr="0078696C">
        <w:rPr>
          <w:rFonts w:ascii="Times New Roman" w:hAnsi="Times New Roman"/>
          <w:color w:val="000000"/>
          <w:sz w:val="28"/>
          <w:szCs w:val="28"/>
        </w:rPr>
        <w:t>–</w:t>
      </w:r>
      <w:r w:rsidR="00AB2337" w:rsidRPr="0078696C">
        <w:rPr>
          <w:rFonts w:ascii="Times New Roman" w:eastAsia="Times New Roman" w:hAnsi="Times New Roman"/>
          <w:color w:val="000000"/>
          <w:sz w:val="28"/>
          <w:szCs w:val="28"/>
          <w:lang w:eastAsia="ru-RU"/>
        </w:rPr>
        <w:t>75.</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П. Актуальні проблеми переведення на пенсію у зв’язку з втратою годувальника згідно Закону України «Про державну службу». Зах</w:t>
      </w:r>
      <w:r w:rsidRPr="0078696C">
        <w:rPr>
          <w:rFonts w:ascii="Times New Roman" w:hAnsi="Times New Roman"/>
          <w:color w:val="000000"/>
          <w:sz w:val="28"/>
          <w:szCs w:val="28"/>
        </w:rPr>
        <w:t>ідноукраїнський науковий вісник</w:t>
      </w:r>
      <w:r w:rsidR="00AB2337" w:rsidRPr="0078696C">
        <w:rPr>
          <w:rFonts w:ascii="Times New Roman" w:hAnsi="Times New Roman"/>
          <w:color w:val="000000"/>
          <w:sz w:val="28"/>
          <w:szCs w:val="28"/>
        </w:rPr>
        <w:t xml:space="preserve">: матеріали за підсумками роботи </w:t>
      </w:r>
      <w:r w:rsidR="00565D24" w:rsidRPr="0078696C">
        <w:rPr>
          <w:rFonts w:ascii="Times New Roman" w:hAnsi="Times New Roman"/>
          <w:color w:val="000000"/>
          <w:sz w:val="28"/>
          <w:szCs w:val="28"/>
        </w:rPr>
        <w:br/>
      </w:r>
      <w:r w:rsidR="00AB2337" w:rsidRPr="0078696C">
        <w:rPr>
          <w:rFonts w:ascii="Times New Roman" w:hAnsi="Times New Roman"/>
          <w:color w:val="000000"/>
          <w:sz w:val="28"/>
          <w:szCs w:val="28"/>
        </w:rPr>
        <w:t>науково-практичних конференцій: VІ Всеукраїнської науково-практичної конференції «</w:t>
      </w:r>
      <w:r w:rsidR="00AB2337" w:rsidRPr="0078696C">
        <w:rPr>
          <w:rFonts w:ascii="Times New Roman" w:hAnsi="Times New Roman"/>
          <w:i/>
          <w:color w:val="000000"/>
          <w:sz w:val="28"/>
          <w:szCs w:val="28"/>
        </w:rPr>
        <w:t>Актуальні проблеми державного управління</w:t>
      </w:r>
      <w:r w:rsidR="00AB2337" w:rsidRPr="0078696C">
        <w:rPr>
          <w:rFonts w:ascii="Times New Roman" w:hAnsi="Times New Roman"/>
          <w:color w:val="000000"/>
          <w:sz w:val="28"/>
          <w:szCs w:val="28"/>
        </w:rPr>
        <w:t xml:space="preserve">» (18 травня 2017 – </w:t>
      </w:r>
      <w:r w:rsidRPr="0078696C">
        <w:rPr>
          <w:rFonts w:ascii="Times New Roman" w:hAnsi="Times New Roman"/>
          <w:color w:val="000000"/>
          <w:sz w:val="28"/>
          <w:szCs w:val="28"/>
        </w:rPr>
        <w:br/>
      </w:r>
      <w:r w:rsidR="00AB2337" w:rsidRPr="0078696C">
        <w:rPr>
          <w:rFonts w:ascii="Times New Roman" w:hAnsi="Times New Roman"/>
          <w:color w:val="000000"/>
          <w:sz w:val="28"/>
          <w:szCs w:val="28"/>
        </w:rPr>
        <w:t>м. Івано-Франківськ) та VІ Міжрегіональної науково-практичної конферен</w:t>
      </w:r>
      <w:r w:rsidRPr="0078696C">
        <w:rPr>
          <w:rFonts w:ascii="Times New Roman" w:hAnsi="Times New Roman"/>
          <w:color w:val="000000"/>
          <w:sz w:val="28"/>
          <w:szCs w:val="28"/>
        </w:rPr>
        <w:t>ції «</w:t>
      </w:r>
      <w:r w:rsidRPr="0078696C">
        <w:rPr>
          <w:rFonts w:ascii="Times New Roman" w:hAnsi="Times New Roman"/>
          <w:i/>
          <w:color w:val="000000"/>
          <w:sz w:val="28"/>
          <w:szCs w:val="28"/>
        </w:rPr>
        <w:t>Україна на шляху до реформ</w:t>
      </w:r>
      <w:r w:rsidR="00AB2337" w:rsidRPr="0078696C">
        <w:rPr>
          <w:rFonts w:ascii="Times New Roman" w:hAnsi="Times New Roman"/>
          <w:i/>
          <w:color w:val="000000"/>
          <w:sz w:val="28"/>
          <w:szCs w:val="28"/>
        </w:rPr>
        <w:t>: політико-правові проблеми сучасності</w:t>
      </w:r>
      <w:r w:rsidR="00AB2337" w:rsidRPr="0078696C">
        <w:rPr>
          <w:rFonts w:ascii="Times New Roman" w:hAnsi="Times New Roman"/>
          <w:color w:val="000000"/>
          <w:sz w:val="28"/>
          <w:szCs w:val="28"/>
        </w:rPr>
        <w:t xml:space="preserve">» </w:t>
      </w:r>
      <w:r w:rsidR="00565D24" w:rsidRPr="0078696C">
        <w:rPr>
          <w:rFonts w:ascii="Times New Roman" w:hAnsi="Times New Roman"/>
          <w:color w:val="000000"/>
          <w:sz w:val="28"/>
          <w:szCs w:val="28"/>
        </w:rPr>
        <w:br/>
      </w:r>
      <w:r w:rsidR="00AB2337" w:rsidRPr="0078696C">
        <w:rPr>
          <w:rFonts w:ascii="Times New Roman" w:hAnsi="Times New Roman"/>
          <w:color w:val="000000"/>
          <w:sz w:val="28"/>
          <w:szCs w:val="28"/>
        </w:rPr>
        <w:t>(22 тра</w:t>
      </w:r>
      <w:r w:rsidRPr="0078696C">
        <w:rPr>
          <w:rFonts w:ascii="Times New Roman" w:hAnsi="Times New Roman"/>
          <w:color w:val="000000"/>
          <w:sz w:val="28"/>
          <w:szCs w:val="28"/>
        </w:rPr>
        <w:t>вня 2017 – м. Івано-Франківськ). Івано-Франківськ: ГО ЗУНТ, 2017. Вип.1.</w:t>
      </w:r>
      <w:r w:rsidR="00AB2337" w:rsidRPr="0078696C">
        <w:rPr>
          <w:rFonts w:ascii="Times New Roman" w:hAnsi="Times New Roman"/>
          <w:color w:val="000000"/>
          <w:sz w:val="28"/>
          <w:szCs w:val="28"/>
        </w:rPr>
        <w:t xml:space="preserve"> С. 22</w:t>
      </w:r>
      <w:r w:rsidRPr="0078696C">
        <w:rPr>
          <w:rFonts w:ascii="Times New Roman" w:hAnsi="Times New Roman"/>
          <w:color w:val="000000"/>
          <w:sz w:val="28"/>
          <w:szCs w:val="28"/>
        </w:rPr>
        <w:t>–</w:t>
      </w:r>
      <w:r w:rsidR="00AB2337" w:rsidRPr="0078696C">
        <w:rPr>
          <w:rFonts w:ascii="Times New Roman" w:hAnsi="Times New Roman"/>
          <w:color w:val="000000"/>
          <w:sz w:val="28"/>
          <w:szCs w:val="28"/>
        </w:rPr>
        <w:t>25.</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Пенсійне забезпечення державних службовців: умови призначення та перерахунку. </w:t>
      </w:r>
      <w:r w:rsidR="00AB2337" w:rsidRPr="0078696C">
        <w:rPr>
          <w:rFonts w:ascii="Times New Roman" w:hAnsi="Times New Roman"/>
          <w:i/>
          <w:color w:val="000000"/>
          <w:sz w:val="28"/>
          <w:szCs w:val="28"/>
        </w:rPr>
        <w:t>Традиції та новації юридичної наук</w:t>
      </w:r>
      <w:r w:rsidRPr="0078696C">
        <w:rPr>
          <w:rFonts w:ascii="Times New Roman" w:hAnsi="Times New Roman"/>
          <w:i/>
          <w:color w:val="000000"/>
          <w:sz w:val="28"/>
          <w:szCs w:val="28"/>
        </w:rPr>
        <w:t>и: минуле, сучасність, майбутнє</w:t>
      </w:r>
      <w:r w:rsidR="00AB2337" w:rsidRPr="0078696C">
        <w:rPr>
          <w:rFonts w:ascii="Times New Roman" w:hAnsi="Times New Roman"/>
          <w:color w:val="000000"/>
          <w:sz w:val="28"/>
          <w:szCs w:val="28"/>
        </w:rPr>
        <w:t>: матеріали Міжнародної науково-практичної конференції (м. Одеса, 19 травня 2017 р.) У 2-х т. Т</w:t>
      </w:r>
      <w:r w:rsidR="00E81C1F" w:rsidRPr="0078696C">
        <w:rPr>
          <w:rFonts w:ascii="Times New Roman" w:hAnsi="Times New Roman"/>
          <w:color w:val="000000"/>
          <w:sz w:val="28"/>
          <w:szCs w:val="28"/>
        </w:rPr>
        <w:t>. 1 / відп. ред. Г.О. Ульянова</w:t>
      </w:r>
      <w:r w:rsidR="00565D24" w:rsidRPr="0078696C">
        <w:rPr>
          <w:rFonts w:ascii="Times New Roman" w:hAnsi="Times New Roman"/>
          <w:color w:val="000000"/>
          <w:sz w:val="28"/>
          <w:szCs w:val="28"/>
        </w:rPr>
        <w:t>. Одеса</w:t>
      </w:r>
      <w:r w:rsidR="00AB2337" w:rsidRPr="0078696C">
        <w:rPr>
          <w:rFonts w:ascii="Times New Roman" w:hAnsi="Times New Roman"/>
          <w:color w:val="000000"/>
          <w:sz w:val="28"/>
          <w:szCs w:val="28"/>
        </w:rPr>
        <w:t>: Видавничий дім «Гельветика», 2017. С. 607</w:t>
      </w:r>
      <w:r w:rsidRPr="0078696C">
        <w:rPr>
          <w:rFonts w:ascii="Times New Roman" w:hAnsi="Times New Roman"/>
          <w:color w:val="000000"/>
          <w:sz w:val="28"/>
          <w:szCs w:val="28"/>
        </w:rPr>
        <w:t>–</w:t>
      </w:r>
      <w:r w:rsidR="00AB2337" w:rsidRPr="0078696C">
        <w:rPr>
          <w:rFonts w:ascii="Times New Roman" w:hAnsi="Times New Roman"/>
          <w:color w:val="000000"/>
          <w:sz w:val="28"/>
          <w:szCs w:val="28"/>
        </w:rPr>
        <w:t>610.</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Трансформація пенсійної системи України в контексті процесів глобалізації та євроінтеграції. </w:t>
      </w:r>
      <w:r w:rsidR="00AB2337" w:rsidRPr="0078696C">
        <w:rPr>
          <w:rFonts w:ascii="Times New Roman" w:hAnsi="Times New Roman"/>
          <w:i/>
          <w:color w:val="000000"/>
          <w:sz w:val="28"/>
          <w:szCs w:val="28"/>
        </w:rPr>
        <w:t xml:space="preserve">Взаємозв’язок політики і управління: </w:t>
      </w:r>
      <w:r w:rsidRPr="0078696C">
        <w:rPr>
          <w:rFonts w:ascii="Times New Roman" w:hAnsi="Times New Roman"/>
          <w:i/>
          <w:color w:val="000000"/>
          <w:sz w:val="28"/>
          <w:szCs w:val="28"/>
        </w:rPr>
        <w:t>теоретичний і прикладний аспект</w:t>
      </w:r>
      <w:r w:rsidR="00AB2337" w:rsidRPr="0078696C">
        <w:rPr>
          <w:rFonts w:ascii="Times New Roman" w:hAnsi="Times New Roman"/>
          <w:color w:val="000000"/>
          <w:sz w:val="28"/>
          <w:szCs w:val="28"/>
        </w:rPr>
        <w:t>: матеріали круглого сто</w:t>
      </w:r>
      <w:r w:rsidRPr="0078696C">
        <w:rPr>
          <w:rFonts w:ascii="Times New Roman" w:hAnsi="Times New Roman"/>
          <w:color w:val="000000"/>
          <w:sz w:val="28"/>
          <w:szCs w:val="28"/>
        </w:rPr>
        <w:t>лу / за заг</w:t>
      </w:r>
      <w:r w:rsidR="00E81C1F" w:rsidRPr="0078696C">
        <w:rPr>
          <w:rFonts w:ascii="Times New Roman" w:hAnsi="Times New Roman"/>
          <w:color w:val="000000"/>
          <w:sz w:val="28"/>
          <w:szCs w:val="28"/>
        </w:rPr>
        <w:t xml:space="preserve">. ред. С.О. Шевченка. </w:t>
      </w:r>
      <w:r w:rsidRPr="0078696C">
        <w:rPr>
          <w:rFonts w:ascii="Times New Roman" w:hAnsi="Times New Roman"/>
          <w:color w:val="000000"/>
          <w:sz w:val="28"/>
          <w:szCs w:val="28"/>
        </w:rPr>
        <w:t>Д.</w:t>
      </w:r>
      <w:r w:rsidR="00AB2337" w:rsidRPr="0078696C">
        <w:rPr>
          <w:rFonts w:ascii="Times New Roman" w:hAnsi="Times New Roman"/>
          <w:color w:val="000000"/>
          <w:sz w:val="28"/>
          <w:szCs w:val="28"/>
        </w:rPr>
        <w:t>: ДРІДУ НАДУ, 2017. С. 174</w:t>
      </w:r>
      <w:r w:rsidRPr="0078696C">
        <w:rPr>
          <w:rFonts w:ascii="Times New Roman" w:hAnsi="Times New Roman"/>
          <w:color w:val="000000"/>
          <w:sz w:val="28"/>
          <w:szCs w:val="28"/>
        </w:rPr>
        <w:t>–</w:t>
      </w:r>
      <w:r w:rsidR="00AB2337" w:rsidRPr="0078696C">
        <w:rPr>
          <w:rFonts w:ascii="Times New Roman" w:hAnsi="Times New Roman"/>
          <w:color w:val="000000"/>
          <w:sz w:val="28"/>
          <w:szCs w:val="28"/>
        </w:rPr>
        <w:t>176.</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Основні проблеми адаптації вітчизняного пенсійного законодавства до стандартів Європейського Союзу. </w:t>
      </w:r>
      <w:r w:rsidR="00AB2337" w:rsidRPr="0078696C">
        <w:rPr>
          <w:rFonts w:ascii="Times New Roman" w:hAnsi="Times New Roman"/>
          <w:i/>
          <w:color w:val="000000"/>
          <w:sz w:val="28"/>
          <w:szCs w:val="28"/>
        </w:rPr>
        <w:t xml:space="preserve">Адаптація правової системи України до права Європейського Союзу: </w:t>
      </w:r>
      <w:r w:rsidRPr="0078696C">
        <w:rPr>
          <w:rFonts w:ascii="Times New Roman" w:hAnsi="Times New Roman"/>
          <w:i/>
          <w:color w:val="000000"/>
          <w:sz w:val="28"/>
          <w:szCs w:val="28"/>
        </w:rPr>
        <w:t>теоретичні та практичні аспекти</w:t>
      </w:r>
      <w:r w:rsidR="00AB2337" w:rsidRPr="0078696C">
        <w:rPr>
          <w:rFonts w:ascii="Times New Roman" w:hAnsi="Times New Roman"/>
          <w:color w:val="000000"/>
          <w:sz w:val="28"/>
          <w:szCs w:val="28"/>
        </w:rPr>
        <w:t>: матеріали ІI Всеукраїнської науково-практичної ко</w:t>
      </w:r>
      <w:r w:rsidRPr="0078696C">
        <w:rPr>
          <w:rFonts w:ascii="Times New Roman" w:hAnsi="Times New Roman"/>
          <w:color w:val="000000"/>
          <w:sz w:val="28"/>
          <w:szCs w:val="28"/>
        </w:rPr>
        <w:t>нференції, 23 листопада 2017 р.</w:t>
      </w:r>
      <w:r w:rsidR="00AB2337" w:rsidRPr="0078696C">
        <w:rPr>
          <w:rFonts w:ascii="Times New Roman" w:hAnsi="Times New Roman"/>
          <w:color w:val="000000"/>
          <w:sz w:val="28"/>
          <w:szCs w:val="28"/>
        </w:rPr>
        <w:t xml:space="preserve">: </w:t>
      </w:r>
      <w:r w:rsidRPr="0078696C">
        <w:rPr>
          <w:rFonts w:ascii="Times New Roman" w:hAnsi="Times New Roman"/>
          <w:color w:val="000000"/>
          <w:sz w:val="28"/>
          <w:szCs w:val="28"/>
        </w:rPr>
        <w:t>у 2 ч. Полтава: Россава, 2017.</w:t>
      </w:r>
      <w:r w:rsidR="00AB2337" w:rsidRPr="0078696C">
        <w:rPr>
          <w:rFonts w:ascii="Times New Roman" w:hAnsi="Times New Roman"/>
          <w:color w:val="000000"/>
          <w:sz w:val="28"/>
          <w:szCs w:val="28"/>
        </w:rPr>
        <w:t xml:space="preserve"> Ч. 2. </w:t>
      </w:r>
      <w:r w:rsidRPr="0078696C">
        <w:rPr>
          <w:rFonts w:ascii="Times New Roman" w:hAnsi="Times New Roman"/>
          <w:color w:val="000000"/>
          <w:sz w:val="28"/>
          <w:szCs w:val="28"/>
        </w:rPr>
        <w:br/>
      </w:r>
      <w:r w:rsidR="00AB2337" w:rsidRPr="0078696C">
        <w:rPr>
          <w:rFonts w:ascii="Times New Roman" w:hAnsi="Times New Roman"/>
          <w:color w:val="000000"/>
          <w:sz w:val="28"/>
          <w:szCs w:val="28"/>
        </w:rPr>
        <w:t>С.188</w:t>
      </w:r>
      <w:r w:rsidRPr="0078696C">
        <w:rPr>
          <w:rFonts w:ascii="Times New Roman" w:hAnsi="Times New Roman"/>
          <w:color w:val="000000"/>
          <w:sz w:val="28"/>
          <w:szCs w:val="28"/>
        </w:rPr>
        <w:t>–</w:t>
      </w:r>
      <w:r w:rsidR="00AB2337" w:rsidRPr="0078696C">
        <w:rPr>
          <w:rFonts w:ascii="Times New Roman" w:hAnsi="Times New Roman"/>
          <w:color w:val="000000"/>
          <w:sz w:val="28"/>
          <w:szCs w:val="28"/>
        </w:rPr>
        <w:t>191.</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Вплив атестації робочих місць на виникнення права на призначення пільгової пенсії (огляд судової практики). </w:t>
      </w:r>
      <w:r w:rsidR="00AB2337" w:rsidRPr="0078696C">
        <w:rPr>
          <w:rFonts w:ascii="Times New Roman" w:hAnsi="Times New Roman"/>
          <w:i/>
          <w:color w:val="000000"/>
          <w:sz w:val="28"/>
          <w:szCs w:val="28"/>
        </w:rPr>
        <w:t>Проблеми управління соці</w:t>
      </w:r>
      <w:r w:rsidRPr="0078696C">
        <w:rPr>
          <w:rFonts w:ascii="Times New Roman" w:hAnsi="Times New Roman"/>
          <w:i/>
          <w:color w:val="000000"/>
          <w:sz w:val="28"/>
          <w:szCs w:val="28"/>
        </w:rPr>
        <w:t>альним і гуманітарним розвитком</w:t>
      </w:r>
      <w:r w:rsidR="00AB2337" w:rsidRPr="0078696C">
        <w:rPr>
          <w:rFonts w:ascii="Times New Roman" w:hAnsi="Times New Roman"/>
          <w:color w:val="000000"/>
          <w:sz w:val="28"/>
          <w:szCs w:val="28"/>
        </w:rPr>
        <w:t xml:space="preserve">: матеріали 11-ої науково-практичної </w:t>
      </w:r>
      <w:r w:rsidR="00AB2337" w:rsidRPr="0078696C">
        <w:rPr>
          <w:rFonts w:ascii="Times New Roman" w:hAnsi="Times New Roman"/>
          <w:color w:val="000000"/>
          <w:sz w:val="28"/>
          <w:szCs w:val="28"/>
        </w:rPr>
        <w:lastRenderedPageBreak/>
        <w:t>конференції за міжна</w:t>
      </w:r>
      <w:r w:rsidRPr="0078696C">
        <w:rPr>
          <w:rFonts w:ascii="Times New Roman" w:hAnsi="Times New Roman"/>
          <w:color w:val="000000"/>
          <w:sz w:val="28"/>
          <w:szCs w:val="28"/>
        </w:rPr>
        <w:t>родною участю / за заг. ред. О.Б. Кірєєвої. Д.</w:t>
      </w:r>
      <w:r w:rsidR="00AB2337" w:rsidRPr="0078696C">
        <w:rPr>
          <w:rFonts w:ascii="Times New Roman" w:hAnsi="Times New Roman"/>
          <w:color w:val="000000"/>
          <w:sz w:val="28"/>
          <w:szCs w:val="28"/>
        </w:rPr>
        <w:t>: ДРІДУ НАДУ, 2017. С. 419</w:t>
      </w:r>
      <w:r w:rsidRPr="0078696C">
        <w:rPr>
          <w:rFonts w:ascii="Times New Roman" w:hAnsi="Times New Roman"/>
          <w:color w:val="000000"/>
          <w:sz w:val="28"/>
          <w:szCs w:val="28"/>
        </w:rPr>
        <w:t>–</w:t>
      </w:r>
      <w:r w:rsidR="00AB2337" w:rsidRPr="0078696C">
        <w:rPr>
          <w:rFonts w:ascii="Times New Roman" w:hAnsi="Times New Roman"/>
          <w:color w:val="000000"/>
          <w:sz w:val="28"/>
          <w:szCs w:val="28"/>
        </w:rPr>
        <w:t>422.</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pacing w:val="2"/>
          <w:sz w:val="28"/>
          <w:szCs w:val="28"/>
        </w:rPr>
        <w:t>Шевченко Н.</w:t>
      </w:r>
      <w:r w:rsidR="00AB2337" w:rsidRPr="0078696C">
        <w:rPr>
          <w:rFonts w:ascii="Times New Roman" w:hAnsi="Times New Roman"/>
          <w:color w:val="000000"/>
          <w:spacing w:val="2"/>
          <w:sz w:val="28"/>
          <w:szCs w:val="28"/>
        </w:rPr>
        <w:t xml:space="preserve">П. Особливості підтвердження пільгового стажу роботи для призначення пенсії згідно раніше діючого законодавства. </w:t>
      </w:r>
      <w:r w:rsidR="00AB2337" w:rsidRPr="0078696C">
        <w:rPr>
          <w:rFonts w:ascii="Times New Roman" w:hAnsi="Times New Roman"/>
          <w:i/>
          <w:color w:val="000000"/>
          <w:spacing w:val="2"/>
          <w:sz w:val="28"/>
          <w:szCs w:val="28"/>
        </w:rPr>
        <w:t>Становлення публі</w:t>
      </w:r>
      <w:r w:rsidRPr="0078696C">
        <w:rPr>
          <w:rFonts w:ascii="Times New Roman" w:hAnsi="Times New Roman"/>
          <w:i/>
          <w:color w:val="000000"/>
          <w:spacing w:val="2"/>
          <w:sz w:val="28"/>
          <w:szCs w:val="28"/>
        </w:rPr>
        <w:t>чного адміністрування в Україні</w:t>
      </w:r>
      <w:r w:rsidR="00AB2337" w:rsidRPr="0078696C">
        <w:rPr>
          <w:rFonts w:ascii="Times New Roman" w:hAnsi="Times New Roman"/>
          <w:color w:val="000000"/>
          <w:spacing w:val="2"/>
          <w:sz w:val="28"/>
          <w:szCs w:val="28"/>
        </w:rPr>
        <w:t xml:space="preserve">: матеріали </w:t>
      </w:r>
      <w:r w:rsidR="00565D24" w:rsidRPr="0078696C">
        <w:rPr>
          <w:rFonts w:ascii="Times New Roman" w:hAnsi="Times New Roman"/>
          <w:color w:val="000000"/>
          <w:spacing w:val="2"/>
          <w:sz w:val="28"/>
          <w:szCs w:val="28"/>
        </w:rPr>
        <w:br/>
      </w:r>
      <w:r w:rsidR="00AB2337" w:rsidRPr="0078696C">
        <w:rPr>
          <w:rFonts w:ascii="Times New Roman" w:hAnsi="Times New Roman"/>
          <w:color w:val="000000"/>
          <w:spacing w:val="2"/>
          <w:sz w:val="28"/>
          <w:szCs w:val="28"/>
        </w:rPr>
        <w:t xml:space="preserve">ІХ Всеукраїнської міжвузівської конференції студентів та молодих вчених / </w:t>
      </w:r>
      <w:r w:rsidR="00565D24" w:rsidRPr="0078696C">
        <w:rPr>
          <w:rFonts w:ascii="Times New Roman" w:hAnsi="Times New Roman"/>
          <w:color w:val="000000"/>
          <w:spacing w:val="2"/>
          <w:sz w:val="28"/>
          <w:szCs w:val="28"/>
        </w:rPr>
        <w:br/>
      </w:r>
      <w:r w:rsidR="00AB2337" w:rsidRPr="0078696C">
        <w:rPr>
          <w:rFonts w:ascii="Times New Roman" w:hAnsi="Times New Roman"/>
          <w:color w:val="000000"/>
          <w:spacing w:val="2"/>
          <w:sz w:val="28"/>
          <w:szCs w:val="28"/>
        </w:rPr>
        <w:t>за заг. ре</w:t>
      </w:r>
      <w:r w:rsidR="00E81C1F" w:rsidRPr="0078696C">
        <w:rPr>
          <w:rFonts w:ascii="Times New Roman" w:hAnsi="Times New Roman"/>
          <w:color w:val="000000"/>
          <w:spacing w:val="2"/>
          <w:sz w:val="28"/>
          <w:szCs w:val="28"/>
        </w:rPr>
        <w:t>д. О.Б. Кірєєвої</w:t>
      </w:r>
      <w:r w:rsidRPr="0078696C">
        <w:rPr>
          <w:rFonts w:ascii="Times New Roman" w:hAnsi="Times New Roman"/>
          <w:color w:val="000000"/>
          <w:spacing w:val="2"/>
          <w:sz w:val="28"/>
          <w:szCs w:val="28"/>
        </w:rPr>
        <w:t>. Д.</w:t>
      </w:r>
      <w:r w:rsidR="00AB2337" w:rsidRPr="0078696C">
        <w:rPr>
          <w:rFonts w:ascii="Times New Roman" w:hAnsi="Times New Roman"/>
          <w:color w:val="000000"/>
          <w:spacing w:val="2"/>
          <w:sz w:val="28"/>
          <w:szCs w:val="28"/>
        </w:rPr>
        <w:t>: ДРІДУ НАДУ, 2018. С. 202</w:t>
      </w:r>
      <w:r w:rsidRPr="0078696C">
        <w:rPr>
          <w:rFonts w:ascii="Times New Roman" w:hAnsi="Times New Roman"/>
          <w:color w:val="000000"/>
          <w:sz w:val="28"/>
          <w:szCs w:val="28"/>
        </w:rPr>
        <w:t>–</w:t>
      </w:r>
      <w:r w:rsidR="00AB2337" w:rsidRPr="0078696C">
        <w:rPr>
          <w:rFonts w:ascii="Times New Roman" w:hAnsi="Times New Roman"/>
          <w:color w:val="000000"/>
          <w:spacing w:val="2"/>
          <w:sz w:val="28"/>
          <w:szCs w:val="28"/>
        </w:rPr>
        <w:t>204.</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pacing w:val="2"/>
          <w:sz w:val="28"/>
          <w:szCs w:val="28"/>
        </w:rPr>
        <w:t>Шевченко Н.</w:t>
      </w:r>
      <w:r w:rsidR="00AB2337" w:rsidRPr="0078696C">
        <w:rPr>
          <w:rFonts w:ascii="Times New Roman" w:hAnsi="Times New Roman"/>
          <w:color w:val="000000"/>
          <w:spacing w:val="2"/>
          <w:sz w:val="28"/>
          <w:szCs w:val="28"/>
        </w:rPr>
        <w:t xml:space="preserve">П. Реформи пенсійного забезпечення Великої Британії 2015 року: досвід для України. </w:t>
      </w:r>
      <w:r w:rsidR="00AB2337" w:rsidRPr="0078696C">
        <w:rPr>
          <w:rFonts w:ascii="Times New Roman" w:hAnsi="Times New Roman"/>
          <w:i/>
          <w:color w:val="000000"/>
          <w:spacing w:val="2"/>
          <w:sz w:val="28"/>
          <w:szCs w:val="28"/>
        </w:rPr>
        <w:t>Актуальні проблеми європейської та євр</w:t>
      </w:r>
      <w:r w:rsidRPr="0078696C">
        <w:rPr>
          <w:rFonts w:ascii="Times New Roman" w:hAnsi="Times New Roman"/>
          <w:i/>
          <w:color w:val="000000"/>
          <w:spacing w:val="2"/>
          <w:sz w:val="28"/>
          <w:szCs w:val="28"/>
        </w:rPr>
        <w:t>оатлантичної інтеграції України</w:t>
      </w:r>
      <w:r w:rsidR="00AB2337" w:rsidRPr="0078696C">
        <w:rPr>
          <w:rFonts w:ascii="Times New Roman" w:hAnsi="Times New Roman"/>
          <w:color w:val="000000"/>
          <w:spacing w:val="2"/>
          <w:sz w:val="28"/>
          <w:szCs w:val="28"/>
        </w:rPr>
        <w:t xml:space="preserve">: матеріали ХV регіональної </w:t>
      </w:r>
      <w:r w:rsidR="00126F2F" w:rsidRPr="0078696C">
        <w:rPr>
          <w:rFonts w:ascii="Times New Roman" w:hAnsi="Times New Roman"/>
          <w:color w:val="000000"/>
          <w:spacing w:val="2"/>
          <w:sz w:val="28"/>
          <w:szCs w:val="28"/>
        </w:rPr>
        <w:br/>
      </w:r>
      <w:r w:rsidR="00AB2337" w:rsidRPr="0078696C">
        <w:rPr>
          <w:rFonts w:ascii="Times New Roman" w:hAnsi="Times New Roman"/>
          <w:color w:val="000000"/>
          <w:spacing w:val="2"/>
          <w:sz w:val="28"/>
          <w:szCs w:val="28"/>
        </w:rPr>
        <w:t>науково-практичної конференції, 17 травня 2018 р., м. Дніпро/ за заг. ред.</w:t>
      </w:r>
      <w:r w:rsidR="00E81C1F" w:rsidRPr="0078696C">
        <w:rPr>
          <w:rFonts w:ascii="Times New Roman" w:hAnsi="Times New Roman"/>
          <w:color w:val="000000"/>
          <w:spacing w:val="2"/>
          <w:sz w:val="28"/>
          <w:szCs w:val="28"/>
        </w:rPr>
        <w:t xml:space="preserve"> Л.Л. Прокопенка</w:t>
      </w:r>
      <w:r w:rsidRPr="0078696C">
        <w:rPr>
          <w:rFonts w:ascii="Times New Roman" w:hAnsi="Times New Roman"/>
          <w:color w:val="000000"/>
          <w:spacing w:val="2"/>
          <w:sz w:val="28"/>
          <w:szCs w:val="28"/>
        </w:rPr>
        <w:t>. Д.</w:t>
      </w:r>
      <w:r w:rsidR="00AB2337" w:rsidRPr="0078696C">
        <w:rPr>
          <w:rFonts w:ascii="Times New Roman" w:hAnsi="Times New Roman"/>
          <w:color w:val="000000"/>
          <w:spacing w:val="2"/>
          <w:sz w:val="28"/>
          <w:szCs w:val="28"/>
        </w:rPr>
        <w:t>: ДРІДУ НАДУ, 2018. С. 243</w:t>
      </w:r>
      <w:r w:rsidRPr="0078696C">
        <w:rPr>
          <w:rFonts w:ascii="Times New Roman" w:hAnsi="Times New Roman"/>
          <w:color w:val="000000"/>
          <w:sz w:val="28"/>
          <w:szCs w:val="28"/>
        </w:rPr>
        <w:t>–</w:t>
      </w:r>
      <w:r w:rsidR="00AB2337" w:rsidRPr="0078696C">
        <w:rPr>
          <w:rFonts w:ascii="Times New Roman" w:hAnsi="Times New Roman"/>
          <w:color w:val="000000"/>
          <w:spacing w:val="2"/>
          <w:sz w:val="28"/>
          <w:szCs w:val="28"/>
        </w:rPr>
        <w:t>244.</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pacing w:val="2"/>
          <w:sz w:val="28"/>
          <w:szCs w:val="28"/>
        </w:rPr>
        <w:t>Шевченко Н.</w:t>
      </w:r>
      <w:r w:rsidR="00AB2337" w:rsidRPr="0078696C">
        <w:rPr>
          <w:rFonts w:ascii="Times New Roman" w:hAnsi="Times New Roman"/>
          <w:color w:val="000000"/>
          <w:spacing w:val="2"/>
          <w:sz w:val="28"/>
          <w:szCs w:val="28"/>
        </w:rPr>
        <w:t xml:space="preserve">П. </w:t>
      </w:r>
      <w:r w:rsidR="00AB2337" w:rsidRPr="0078696C">
        <w:rPr>
          <w:rFonts w:ascii="Times New Roman" w:hAnsi="Times New Roman"/>
          <w:bCs/>
          <w:color w:val="000000"/>
          <w:spacing w:val="2"/>
          <w:sz w:val="28"/>
          <w:szCs w:val="28"/>
        </w:rPr>
        <w:t xml:space="preserve">Проблеми при призначенні пенсій за вислугу років медичним працівникам в контексті змін до законодавства. </w:t>
      </w:r>
      <w:r w:rsidR="00AB2337" w:rsidRPr="0078696C">
        <w:rPr>
          <w:rFonts w:ascii="Times New Roman" w:hAnsi="Times New Roman"/>
          <w:i/>
          <w:color w:val="000000"/>
          <w:sz w:val="28"/>
          <w:szCs w:val="28"/>
        </w:rPr>
        <w:t xml:space="preserve">Взаємозв’язок політики і управління: </w:t>
      </w:r>
      <w:r w:rsidRPr="0078696C">
        <w:rPr>
          <w:rFonts w:ascii="Times New Roman" w:hAnsi="Times New Roman"/>
          <w:i/>
          <w:color w:val="000000"/>
          <w:sz w:val="28"/>
          <w:szCs w:val="28"/>
        </w:rPr>
        <w:t>теоретичний і прикладний аспект</w:t>
      </w:r>
      <w:r w:rsidR="00AB2337" w:rsidRPr="0078696C">
        <w:rPr>
          <w:rFonts w:ascii="Times New Roman" w:hAnsi="Times New Roman"/>
          <w:color w:val="000000"/>
          <w:sz w:val="28"/>
          <w:szCs w:val="28"/>
        </w:rPr>
        <w:t>: матеріали к</w:t>
      </w:r>
      <w:r w:rsidRPr="0078696C">
        <w:rPr>
          <w:rFonts w:ascii="Times New Roman" w:hAnsi="Times New Roman"/>
          <w:color w:val="000000"/>
          <w:sz w:val="28"/>
          <w:szCs w:val="28"/>
        </w:rPr>
        <w:t>руглого столу /</w:t>
      </w:r>
      <w:r w:rsidR="00E81C1F" w:rsidRPr="0078696C">
        <w:rPr>
          <w:rFonts w:ascii="Times New Roman" w:hAnsi="Times New Roman"/>
          <w:color w:val="000000"/>
          <w:sz w:val="28"/>
          <w:szCs w:val="28"/>
        </w:rPr>
        <w:t xml:space="preserve"> за заг. ред. О.Б. Кірєєвої</w:t>
      </w:r>
      <w:r w:rsidRPr="0078696C">
        <w:rPr>
          <w:rFonts w:ascii="Times New Roman" w:hAnsi="Times New Roman"/>
          <w:color w:val="000000"/>
          <w:sz w:val="28"/>
          <w:szCs w:val="28"/>
        </w:rPr>
        <w:t>. Д.</w:t>
      </w:r>
      <w:r w:rsidR="00AB2337" w:rsidRPr="0078696C">
        <w:rPr>
          <w:rFonts w:ascii="Times New Roman" w:hAnsi="Times New Roman"/>
          <w:color w:val="000000"/>
          <w:sz w:val="28"/>
          <w:szCs w:val="28"/>
        </w:rPr>
        <w:t>: ДРІДУ НАДУ, 2018. С. 96</w:t>
      </w:r>
      <w:r w:rsidRPr="0078696C">
        <w:rPr>
          <w:rFonts w:ascii="Times New Roman" w:hAnsi="Times New Roman"/>
          <w:color w:val="000000"/>
          <w:sz w:val="28"/>
          <w:szCs w:val="28"/>
        </w:rPr>
        <w:t>–</w:t>
      </w:r>
      <w:r w:rsidR="00AB2337" w:rsidRPr="0078696C">
        <w:rPr>
          <w:rFonts w:ascii="Times New Roman" w:hAnsi="Times New Roman"/>
          <w:color w:val="000000"/>
          <w:sz w:val="28"/>
          <w:szCs w:val="28"/>
        </w:rPr>
        <w:t>98.</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 xml:space="preserve">П. Пенсійна система Данії: реформи чи компроміс? </w:t>
      </w:r>
      <w:r w:rsidR="00AB2337" w:rsidRPr="0078696C">
        <w:rPr>
          <w:rFonts w:ascii="Times New Roman" w:hAnsi="Times New Roman"/>
          <w:i/>
          <w:color w:val="000000"/>
          <w:sz w:val="28"/>
          <w:szCs w:val="28"/>
        </w:rPr>
        <w:t>Проблеми управління соці</w:t>
      </w:r>
      <w:r w:rsidRPr="0078696C">
        <w:rPr>
          <w:rFonts w:ascii="Times New Roman" w:hAnsi="Times New Roman"/>
          <w:i/>
          <w:color w:val="000000"/>
          <w:sz w:val="28"/>
          <w:szCs w:val="28"/>
        </w:rPr>
        <w:t>альним і гуманітарним розвитком</w:t>
      </w:r>
      <w:r w:rsidR="00AB2337" w:rsidRPr="0078696C">
        <w:rPr>
          <w:rFonts w:ascii="Times New Roman" w:hAnsi="Times New Roman"/>
          <w:color w:val="000000"/>
          <w:sz w:val="28"/>
          <w:szCs w:val="28"/>
        </w:rPr>
        <w:t>:матеріали ХІІ регіон. наук.-практ. конф. за міжнар. участю / за заг. ре</w:t>
      </w:r>
      <w:r w:rsidR="00E81C1F" w:rsidRPr="0078696C">
        <w:rPr>
          <w:rFonts w:ascii="Times New Roman" w:hAnsi="Times New Roman"/>
          <w:color w:val="000000"/>
          <w:sz w:val="28"/>
          <w:szCs w:val="28"/>
        </w:rPr>
        <w:t>д. О.Б. Кірєєвої</w:t>
      </w:r>
      <w:r w:rsidRPr="0078696C">
        <w:rPr>
          <w:rFonts w:ascii="Times New Roman" w:hAnsi="Times New Roman"/>
          <w:color w:val="000000"/>
          <w:sz w:val="28"/>
          <w:szCs w:val="28"/>
        </w:rPr>
        <w:t>. Д.</w:t>
      </w:r>
      <w:r w:rsidR="00AB2337" w:rsidRPr="0078696C">
        <w:rPr>
          <w:rFonts w:ascii="Times New Roman" w:hAnsi="Times New Roman"/>
          <w:color w:val="000000"/>
          <w:sz w:val="28"/>
          <w:szCs w:val="28"/>
        </w:rPr>
        <w:t>: ДРІДУ НАДУ, 2018. С. 302</w:t>
      </w:r>
      <w:r w:rsidRPr="0078696C">
        <w:rPr>
          <w:rFonts w:ascii="Times New Roman" w:hAnsi="Times New Roman"/>
          <w:color w:val="000000"/>
          <w:sz w:val="28"/>
          <w:szCs w:val="28"/>
        </w:rPr>
        <w:t>–</w:t>
      </w:r>
      <w:r w:rsidR="00AB2337" w:rsidRPr="0078696C">
        <w:rPr>
          <w:rFonts w:ascii="Times New Roman" w:hAnsi="Times New Roman"/>
          <w:color w:val="000000"/>
          <w:sz w:val="28"/>
          <w:szCs w:val="28"/>
        </w:rPr>
        <w:t>304.</w:t>
      </w:r>
    </w:p>
    <w:p w:rsidR="00AB2337" w:rsidRPr="0078696C" w:rsidRDefault="00B1755F" w:rsidP="00AB2337">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П. Переведення на пенсію за віком згідно нового Закону України «Про держав</w:t>
      </w:r>
      <w:r w:rsidRPr="0078696C">
        <w:rPr>
          <w:rFonts w:ascii="Times New Roman" w:hAnsi="Times New Roman"/>
          <w:color w:val="000000"/>
          <w:sz w:val="28"/>
          <w:szCs w:val="28"/>
        </w:rPr>
        <w:t>ну службу»</w:t>
      </w:r>
      <w:r w:rsidR="00AB2337" w:rsidRPr="0078696C">
        <w:rPr>
          <w:rFonts w:ascii="Times New Roman" w:hAnsi="Times New Roman"/>
          <w:color w:val="000000"/>
          <w:sz w:val="28"/>
          <w:szCs w:val="28"/>
        </w:rPr>
        <w:t xml:space="preserve">: основні вимоги. </w:t>
      </w:r>
      <w:r w:rsidR="00AB2337" w:rsidRPr="0078696C">
        <w:rPr>
          <w:rFonts w:ascii="Times New Roman" w:hAnsi="Times New Roman"/>
          <w:i/>
          <w:color w:val="000000"/>
          <w:sz w:val="28"/>
          <w:szCs w:val="28"/>
        </w:rPr>
        <w:t>Теор</w:t>
      </w:r>
      <w:r w:rsidRPr="0078696C">
        <w:rPr>
          <w:rFonts w:ascii="Times New Roman" w:hAnsi="Times New Roman"/>
          <w:i/>
          <w:color w:val="000000"/>
          <w:sz w:val="28"/>
          <w:szCs w:val="28"/>
        </w:rPr>
        <w:t>ія та практика публічної служби</w:t>
      </w:r>
      <w:r w:rsidR="00AB2337" w:rsidRPr="0078696C">
        <w:rPr>
          <w:rFonts w:ascii="Times New Roman" w:hAnsi="Times New Roman"/>
          <w:color w:val="000000"/>
          <w:sz w:val="28"/>
          <w:szCs w:val="28"/>
        </w:rPr>
        <w:t>: матеріали наук.-практ. конф., Дніпро, 21 грудня 2018 р. / з</w:t>
      </w:r>
      <w:r w:rsidRPr="0078696C">
        <w:rPr>
          <w:rFonts w:ascii="Times New Roman" w:hAnsi="Times New Roman"/>
          <w:color w:val="000000"/>
          <w:sz w:val="28"/>
          <w:szCs w:val="28"/>
        </w:rPr>
        <w:t>а заг. ред. С.М. Серьогіна. Д.</w:t>
      </w:r>
      <w:r w:rsidR="00AB2337" w:rsidRPr="0078696C">
        <w:rPr>
          <w:rFonts w:ascii="Times New Roman" w:hAnsi="Times New Roman"/>
          <w:color w:val="000000"/>
          <w:sz w:val="28"/>
          <w:szCs w:val="28"/>
        </w:rPr>
        <w:t>: ДРІДУ НАДУ, 2018. С. 129</w:t>
      </w:r>
      <w:r w:rsidRPr="0078696C">
        <w:rPr>
          <w:rFonts w:ascii="Times New Roman" w:hAnsi="Times New Roman"/>
          <w:color w:val="000000"/>
          <w:sz w:val="28"/>
          <w:szCs w:val="28"/>
        </w:rPr>
        <w:t>–</w:t>
      </w:r>
      <w:r w:rsidR="00AB2337" w:rsidRPr="0078696C">
        <w:rPr>
          <w:rFonts w:ascii="Times New Roman" w:hAnsi="Times New Roman"/>
          <w:color w:val="000000"/>
          <w:sz w:val="28"/>
          <w:szCs w:val="28"/>
        </w:rPr>
        <w:t>130.</w:t>
      </w:r>
    </w:p>
    <w:p w:rsidR="00AB2337" w:rsidRPr="0078696C" w:rsidRDefault="00B1755F" w:rsidP="00B1755F">
      <w:pPr>
        <w:numPr>
          <w:ilvl w:val="0"/>
          <w:numId w:val="1"/>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rPr>
      </w:pPr>
      <w:r w:rsidRPr="0078696C">
        <w:rPr>
          <w:rFonts w:ascii="Times New Roman" w:hAnsi="Times New Roman"/>
          <w:color w:val="000000"/>
          <w:sz w:val="28"/>
          <w:szCs w:val="28"/>
        </w:rPr>
        <w:t>Шевченко Н.</w:t>
      </w:r>
      <w:r w:rsidR="00AB2337" w:rsidRPr="0078696C">
        <w:rPr>
          <w:rFonts w:ascii="Times New Roman" w:hAnsi="Times New Roman"/>
          <w:color w:val="000000"/>
          <w:sz w:val="28"/>
          <w:szCs w:val="28"/>
        </w:rPr>
        <w:t>П. Огляд основних моделей пенсійних систем в контексті євроінтеграції України.</w:t>
      </w:r>
      <w:r w:rsidR="00AB2337" w:rsidRPr="0078696C">
        <w:rPr>
          <w:rFonts w:ascii="Times New Roman" w:hAnsi="Times New Roman"/>
          <w:i/>
          <w:color w:val="000000"/>
          <w:sz w:val="28"/>
          <w:szCs w:val="28"/>
        </w:rPr>
        <w:t xml:space="preserve">Становлення публічного адміністрування в </w:t>
      </w:r>
      <w:r w:rsidRPr="0078696C">
        <w:rPr>
          <w:rFonts w:ascii="Times New Roman" w:hAnsi="Times New Roman"/>
          <w:i/>
          <w:color w:val="000000"/>
          <w:sz w:val="28"/>
          <w:szCs w:val="28"/>
        </w:rPr>
        <w:t>Україні</w:t>
      </w:r>
      <w:r w:rsidR="00AB2337" w:rsidRPr="0078696C">
        <w:rPr>
          <w:rFonts w:ascii="Times New Roman" w:hAnsi="Times New Roman"/>
          <w:color w:val="000000"/>
          <w:sz w:val="28"/>
          <w:szCs w:val="28"/>
        </w:rPr>
        <w:t xml:space="preserve">:матеріали Х Конф. студентів та молодих учених за міжнар. участю / </w:t>
      </w:r>
      <w:r w:rsidR="00126F2F" w:rsidRPr="0078696C">
        <w:rPr>
          <w:rFonts w:ascii="Times New Roman" w:hAnsi="Times New Roman"/>
          <w:color w:val="000000"/>
          <w:sz w:val="28"/>
          <w:szCs w:val="28"/>
        </w:rPr>
        <w:br/>
      </w:r>
      <w:r w:rsidR="00AB2337" w:rsidRPr="0078696C">
        <w:rPr>
          <w:rFonts w:ascii="Times New Roman" w:hAnsi="Times New Roman"/>
          <w:color w:val="000000"/>
          <w:sz w:val="28"/>
          <w:szCs w:val="28"/>
        </w:rPr>
        <w:t>з</w:t>
      </w:r>
      <w:r w:rsidRPr="0078696C">
        <w:rPr>
          <w:rFonts w:ascii="Times New Roman" w:hAnsi="Times New Roman"/>
          <w:color w:val="000000"/>
          <w:sz w:val="28"/>
          <w:szCs w:val="28"/>
        </w:rPr>
        <w:t xml:space="preserve">а заг. </w:t>
      </w:r>
      <w:r w:rsidR="00B32D2E" w:rsidRPr="0078696C">
        <w:rPr>
          <w:rFonts w:ascii="Times New Roman" w:hAnsi="Times New Roman"/>
          <w:color w:val="000000"/>
          <w:sz w:val="28"/>
          <w:szCs w:val="28"/>
        </w:rPr>
        <w:t xml:space="preserve">ред. О.Б. Кірєєвої. </w:t>
      </w:r>
      <w:r w:rsidRPr="0078696C">
        <w:rPr>
          <w:rFonts w:ascii="Times New Roman" w:hAnsi="Times New Roman"/>
          <w:color w:val="000000"/>
          <w:sz w:val="28"/>
          <w:szCs w:val="28"/>
        </w:rPr>
        <w:t>Д.</w:t>
      </w:r>
      <w:r w:rsidR="00AB2337" w:rsidRPr="0078696C">
        <w:rPr>
          <w:rFonts w:ascii="Times New Roman" w:hAnsi="Times New Roman"/>
          <w:color w:val="000000"/>
          <w:sz w:val="28"/>
          <w:szCs w:val="28"/>
        </w:rPr>
        <w:t>: ДРІДУ НАДУ, 2019. С. 342</w:t>
      </w:r>
      <w:r w:rsidR="00565D24" w:rsidRPr="0078696C">
        <w:rPr>
          <w:rFonts w:ascii="Times New Roman" w:hAnsi="Times New Roman"/>
          <w:color w:val="000000"/>
          <w:sz w:val="28"/>
          <w:szCs w:val="28"/>
        </w:rPr>
        <w:t>–</w:t>
      </w:r>
      <w:r w:rsidR="00AB2337" w:rsidRPr="0078696C">
        <w:rPr>
          <w:rFonts w:ascii="Times New Roman" w:hAnsi="Times New Roman"/>
          <w:color w:val="000000"/>
          <w:sz w:val="28"/>
          <w:szCs w:val="28"/>
        </w:rPr>
        <w:t>345.</w:t>
      </w:r>
    </w:p>
    <w:p w:rsidR="00AB2337" w:rsidRPr="0078696C" w:rsidRDefault="00AB2337" w:rsidP="00AB2337">
      <w:pPr>
        <w:pStyle w:val="Default"/>
        <w:spacing w:line="360" w:lineRule="auto"/>
        <w:jc w:val="center"/>
        <w:rPr>
          <w:b/>
          <w:sz w:val="28"/>
          <w:szCs w:val="28"/>
        </w:rPr>
      </w:pPr>
      <w:r w:rsidRPr="0078696C">
        <w:rPr>
          <w:sz w:val="28"/>
          <w:szCs w:val="28"/>
        </w:rPr>
        <w:br w:type="page"/>
      </w:r>
      <w:r w:rsidRPr="0078696C">
        <w:rPr>
          <w:b/>
          <w:sz w:val="28"/>
          <w:szCs w:val="28"/>
        </w:rPr>
        <w:lastRenderedPageBreak/>
        <w:t>З</w:t>
      </w:r>
      <w:r w:rsidR="00777752">
        <w:rPr>
          <w:b/>
          <w:sz w:val="28"/>
          <w:szCs w:val="28"/>
        </w:rPr>
        <w:t xml:space="preserve"> </w:t>
      </w:r>
      <w:r w:rsidRPr="0078696C">
        <w:rPr>
          <w:b/>
          <w:sz w:val="28"/>
          <w:szCs w:val="28"/>
        </w:rPr>
        <w:t>М</w:t>
      </w:r>
      <w:r w:rsidR="00777752">
        <w:rPr>
          <w:b/>
          <w:sz w:val="28"/>
          <w:szCs w:val="28"/>
        </w:rPr>
        <w:t xml:space="preserve"> </w:t>
      </w:r>
      <w:r w:rsidRPr="0078696C">
        <w:rPr>
          <w:b/>
          <w:sz w:val="28"/>
          <w:szCs w:val="28"/>
        </w:rPr>
        <w:t>І</w:t>
      </w:r>
      <w:r w:rsidR="00777752">
        <w:rPr>
          <w:b/>
          <w:sz w:val="28"/>
          <w:szCs w:val="28"/>
        </w:rPr>
        <w:t xml:space="preserve"> </w:t>
      </w:r>
      <w:r w:rsidRPr="0078696C">
        <w:rPr>
          <w:b/>
          <w:sz w:val="28"/>
          <w:szCs w:val="28"/>
        </w:rPr>
        <w:t>С</w:t>
      </w:r>
      <w:r w:rsidR="00777752">
        <w:rPr>
          <w:b/>
          <w:sz w:val="28"/>
          <w:szCs w:val="28"/>
        </w:rPr>
        <w:t xml:space="preserve"> </w:t>
      </w:r>
      <w:r w:rsidRPr="0078696C">
        <w:rPr>
          <w:b/>
          <w:sz w:val="28"/>
          <w:szCs w:val="28"/>
        </w:rPr>
        <w:t>Т</w:t>
      </w:r>
    </w:p>
    <w:p w:rsidR="00B32D2E" w:rsidRPr="0078696C" w:rsidRDefault="00B32D2E" w:rsidP="00AB2337">
      <w:pPr>
        <w:pStyle w:val="Default"/>
        <w:spacing w:line="360" w:lineRule="auto"/>
        <w:jc w:val="center"/>
        <w:rPr>
          <w:b/>
          <w:sz w:val="28"/>
          <w:szCs w:val="28"/>
        </w:rPr>
      </w:pPr>
    </w:p>
    <w:p w:rsidR="00B51689" w:rsidRPr="0078696C" w:rsidRDefault="00AB2337" w:rsidP="00AB2337">
      <w:pPr>
        <w:pStyle w:val="Default"/>
        <w:spacing w:line="360" w:lineRule="auto"/>
        <w:jc w:val="both"/>
        <w:rPr>
          <w:sz w:val="28"/>
          <w:szCs w:val="28"/>
        </w:rPr>
      </w:pPr>
      <w:r w:rsidRPr="0078696C">
        <w:rPr>
          <w:b/>
          <w:sz w:val="28"/>
          <w:szCs w:val="28"/>
        </w:rPr>
        <w:t>ПЕРЕЛ</w:t>
      </w:r>
      <w:r w:rsidR="00B51689" w:rsidRPr="0078696C">
        <w:rPr>
          <w:b/>
          <w:sz w:val="28"/>
          <w:szCs w:val="28"/>
        </w:rPr>
        <w:t>ІК ПОЗНАЧЕНЬ І СКОРОЧЕНЬ</w:t>
      </w:r>
      <w:r w:rsidR="00777752">
        <w:rPr>
          <w:b/>
          <w:sz w:val="28"/>
          <w:szCs w:val="28"/>
        </w:rPr>
        <w:t xml:space="preserve"> </w:t>
      </w:r>
      <w:r w:rsidR="00777752" w:rsidRPr="00777752">
        <w:rPr>
          <w:sz w:val="28"/>
          <w:szCs w:val="28"/>
        </w:rPr>
        <w:t>……………………………………</w:t>
      </w:r>
      <w:r w:rsidR="000E28FB" w:rsidRPr="0078696C">
        <w:rPr>
          <w:sz w:val="28"/>
          <w:szCs w:val="28"/>
        </w:rPr>
        <w:t>16</w:t>
      </w:r>
    </w:p>
    <w:p w:rsidR="00AB2337" w:rsidRPr="0078696C" w:rsidRDefault="00AB2337" w:rsidP="00AB2337">
      <w:pPr>
        <w:pStyle w:val="Default"/>
        <w:spacing w:line="360" w:lineRule="auto"/>
        <w:jc w:val="both"/>
        <w:rPr>
          <w:sz w:val="28"/>
          <w:szCs w:val="28"/>
        </w:rPr>
      </w:pPr>
      <w:r w:rsidRPr="0078696C">
        <w:rPr>
          <w:b/>
          <w:sz w:val="28"/>
          <w:szCs w:val="28"/>
        </w:rPr>
        <w:t>ВСТУП</w:t>
      </w:r>
      <w:r w:rsidR="000E28FB" w:rsidRPr="0078696C">
        <w:rPr>
          <w:sz w:val="28"/>
          <w:szCs w:val="28"/>
        </w:rPr>
        <w:t xml:space="preserve"> </w:t>
      </w:r>
      <w:r w:rsidR="00777752">
        <w:rPr>
          <w:sz w:val="28"/>
          <w:szCs w:val="28"/>
        </w:rPr>
        <w:t>……………………………………………………………………………</w:t>
      </w:r>
      <w:r w:rsidR="000E28FB" w:rsidRPr="0078696C">
        <w:rPr>
          <w:sz w:val="28"/>
          <w:szCs w:val="28"/>
        </w:rPr>
        <w:t>17</w:t>
      </w:r>
    </w:p>
    <w:p w:rsidR="00AB2337" w:rsidRPr="0078696C" w:rsidRDefault="00AB2337" w:rsidP="00AB2337">
      <w:pPr>
        <w:pStyle w:val="Default"/>
        <w:spacing w:line="360" w:lineRule="auto"/>
        <w:jc w:val="both"/>
        <w:rPr>
          <w:b/>
          <w:sz w:val="28"/>
          <w:szCs w:val="28"/>
        </w:rPr>
      </w:pPr>
      <w:r w:rsidRPr="0078696C">
        <w:rPr>
          <w:b/>
          <w:sz w:val="28"/>
          <w:szCs w:val="28"/>
        </w:rPr>
        <w:t>РОЗДІЛ 1 ТЕОРЕТИЧНІ ЗАСАДИ ДОСЛІДЖЕННЯ ДЕРЖАВНОГО УПРАВЛІННЯ ПЕНСІЙНИМ ЗАБЕЗПЕЧЕННЯМ</w:t>
      </w:r>
      <w:r w:rsidR="00777752">
        <w:rPr>
          <w:b/>
          <w:sz w:val="28"/>
          <w:szCs w:val="28"/>
        </w:rPr>
        <w:t xml:space="preserve"> </w:t>
      </w:r>
      <w:r w:rsidR="00777752" w:rsidRPr="00777752">
        <w:rPr>
          <w:sz w:val="28"/>
          <w:szCs w:val="28"/>
        </w:rPr>
        <w:t>……</w:t>
      </w:r>
      <w:r w:rsidR="00777752">
        <w:rPr>
          <w:sz w:val="28"/>
          <w:szCs w:val="28"/>
        </w:rPr>
        <w:t>……</w:t>
      </w:r>
      <w:r w:rsidR="00777752" w:rsidRPr="00777752">
        <w:rPr>
          <w:sz w:val="28"/>
          <w:szCs w:val="28"/>
        </w:rPr>
        <w:t>…………….</w:t>
      </w:r>
      <w:r w:rsidR="00046F7D">
        <w:rPr>
          <w:sz w:val="28"/>
          <w:szCs w:val="28"/>
        </w:rPr>
        <w:t>27</w:t>
      </w:r>
    </w:p>
    <w:p w:rsidR="00AB2337" w:rsidRPr="0078696C" w:rsidRDefault="00AB2337" w:rsidP="00AB2337">
      <w:pPr>
        <w:pStyle w:val="Default"/>
        <w:spacing w:line="360" w:lineRule="auto"/>
        <w:jc w:val="both"/>
        <w:rPr>
          <w:sz w:val="28"/>
          <w:szCs w:val="28"/>
        </w:rPr>
      </w:pPr>
      <w:r w:rsidRPr="0078696C">
        <w:rPr>
          <w:sz w:val="28"/>
          <w:szCs w:val="28"/>
        </w:rPr>
        <w:t>1.1</w:t>
      </w:r>
      <w:r w:rsidR="00BF7D36">
        <w:rPr>
          <w:sz w:val="28"/>
          <w:szCs w:val="28"/>
        </w:rPr>
        <w:t> </w:t>
      </w:r>
      <w:r w:rsidRPr="0078696C">
        <w:rPr>
          <w:sz w:val="28"/>
          <w:szCs w:val="28"/>
        </w:rPr>
        <w:t>Сутність поняття «пенсійного забезпечення» в науковому дискурсі державного управління</w:t>
      </w:r>
      <w:r w:rsidR="00777752">
        <w:rPr>
          <w:sz w:val="28"/>
          <w:szCs w:val="28"/>
        </w:rPr>
        <w:t xml:space="preserve"> …………………………………………………………..</w:t>
      </w:r>
      <w:r w:rsidR="00046F7D">
        <w:rPr>
          <w:sz w:val="28"/>
          <w:szCs w:val="28"/>
        </w:rPr>
        <w:t>27</w:t>
      </w:r>
    </w:p>
    <w:p w:rsidR="00AB2337" w:rsidRPr="0078696C" w:rsidRDefault="00AB2337" w:rsidP="00AB2337">
      <w:pPr>
        <w:pStyle w:val="Default"/>
        <w:spacing w:line="360" w:lineRule="auto"/>
        <w:jc w:val="both"/>
        <w:rPr>
          <w:sz w:val="28"/>
          <w:szCs w:val="28"/>
        </w:rPr>
      </w:pPr>
      <w:r w:rsidRPr="0078696C">
        <w:rPr>
          <w:sz w:val="28"/>
          <w:szCs w:val="28"/>
        </w:rPr>
        <w:t>1.2</w:t>
      </w:r>
      <w:r w:rsidR="00BF7D36">
        <w:rPr>
          <w:sz w:val="28"/>
          <w:szCs w:val="28"/>
        </w:rPr>
        <w:t> </w:t>
      </w:r>
      <w:r w:rsidRPr="0078696C">
        <w:rPr>
          <w:sz w:val="28"/>
          <w:szCs w:val="28"/>
        </w:rPr>
        <w:t>Джерельна база системи пенсійного забезпечення</w:t>
      </w:r>
      <w:r w:rsidR="00BF7D36">
        <w:rPr>
          <w:sz w:val="28"/>
          <w:szCs w:val="28"/>
        </w:rPr>
        <w:t xml:space="preserve"> …………………………</w:t>
      </w:r>
      <w:r w:rsidR="00046F7D">
        <w:rPr>
          <w:sz w:val="28"/>
          <w:szCs w:val="28"/>
        </w:rPr>
        <w:t>39</w:t>
      </w:r>
    </w:p>
    <w:p w:rsidR="00B51689" w:rsidRPr="0078696C" w:rsidRDefault="00AB2337" w:rsidP="00F00873">
      <w:pPr>
        <w:tabs>
          <w:tab w:val="left" w:pos="1276"/>
        </w:tabs>
        <w:spacing w:after="0" w:line="36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1.3</w:t>
      </w:r>
      <w:r w:rsidR="00BF7D36">
        <w:rPr>
          <w:rFonts w:ascii="Times New Roman" w:hAnsi="Times New Roman"/>
          <w:color w:val="000000"/>
          <w:sz w:val="28"/>
          <w:szCs w:val="28"/>
        </w:rPr>
        <w:t> </w:t>
      </w:r>
      <w:r w:rsidR="00F00873" w:rsidRPr="0078696C">
        <w:rPr>
          <w:rFonts w:ascii="Times New Roman" w:hAnsi="Times New Roman"/>
          <w:color w:val="000000"/>
          <w:sz w:val="28"/>
          <w:szCs w:val="28"/>
        </w:rPr>
        <w:t>Історичні аспекти</w:t>
      </w:r>
      <w:r w:rsidR="00F00873" w:rsidRPr="0078696C">
        <w:rPr>
          <w:rFonts w:ascii="Times New Roman" w:hAnsi="Times New Roman"/>
          <w:sz w:val="28"/>
          <w:szCs w:val="28"/>
        </w:rPr>
        <w:t xml:space="preserve"> становлення та розвитку системи пенсійного забезпечення в Україні</w:t>
      </w:r>
      <w:r w:rsidR="00BF7D36">
        <w:rPr>
          <w:rFonts w:ascii="Times New Roman" w:hAnsi="Times New Roman"/>
          <w:sz w:val="28"/>
          <w:szCs w:val="28"/>
        </w:rPr>
        <w:t xml:space="preserve"> ……………………………………………………………</w:t>
      </w:r>
      <w:r w:rsidR="0026143C">
        <w:rPr>
          <w:rFonts w:ascii="Times New Roman" w:hAnsi="Times New Roman"/>
          <w:color w:val="000000"/>
          <w:sz w:val="28"/>
          <w:szCs w:val="28"/>
        </w:rPr>
        <w:t>5</w:t>
      </w:r>
      <w:r w:rsidR="00046F7D">
        <w:rPr>
          <w:rFonts w:ascii="Times New Roman" w:hAnsi="Times New Roman"/>
          <w:color w:val="000000"/>
          <w:sz w:val="28"/>
          <w:szCs w:val="28"/>
        </w:rPr>
        <w:t>8</w:t>
      </w:r>
    </w:p>
    <w:p w:rsidR="00AB2337" w:rsidRPr="0078696C" w:rsidRDefault="00FC1256" w:rsidP="00AB2337">
      <w:pPr>
        <w:pStyle w:val="Default"/>
        <w:spacing w:line="360" w:lineRule="auto"/>
        <w:jc w:val="both"/>
        <w:rPr>
          <w:sz w:val="28"/>
          <w:szCs w:val="28"/>
        </w:rPr>
      </w:pPr>
      <w:r w:rsidRPr="0078696C">
        <w:rPr>
          <w:sz w:val="28"/>
          <w:szCs w:val="28"/>
        </w:rPr>
        <w:t xml:space="preserve">Висновки до розділу 1 </w:t>
      </w:r>
      <w:r w:rsidR="00BF7D36">
        <w:rPr>
          <w:sz w:val="28"/>
          <w:szCs w:val="28"/>
        </w:rPr>
        <w:t>……………………………………………………………</w:t>
      </w:r>
      <w:r w:rsidR="00046F7D">
        <w:rPr>
          <w:sz w:val="28"/>
          <w:szCs w:val="28"/>
        </w:rPr>
        <w:t>70</w:t>
      </w:r>
    </w:p>
    <w:p w:rsidR="00AB2337" w:rsidRPr="0078696C" w:rsidRDefault="00AB2337" w:rsidP="00AB2337">
      <w:pPr>
        <w:pStyle w:val="Default"/>
        <w:spacing w:line="360" w:lineRule="auto"/>
        <w:jc w:val="both"/>
        <w:rPr>
          <w:b/>
          <w:sz w:val="28"/>
          <w:szCs w:val="28"/>
        </w:rPr>
      </w:pPr>
      <w:r w:rsidRPr="0078696C">
        <w:rPr>
          <w:b/>
          <w:sz w:val="28"/>
          <w:szCs w:val="28"/>
        </w:rPr>
        <w:t>РОЗДІЛ 2 СУЧАСНИЙ СТАН ДЕРЖАВНОГО УПРАВЛІННЯ СИСТЕМОЮ ПЕНСІЙНОГО ЗАБЕЗПЕЧЕННЯ УКРАЇНИ</w:t>
      </w:r>
      <w:r w:rsidR="00624DCD">
        <w:rPr>
          <w:b/>
          <w:sz w:val="28"/>
          <w:szCs w:val="28"/>
        </w:rPr>
        <w:t xml:space="preserve"> </w:t>
      </w:r>
      <w:r w:rsidR="00624DCD" w:rsidRPr="00624DCD">
        <w:rPr>
          <w:sz w:val="28"/>
          <w:szCs w:val="28"/>
        </w:rPr>
        <w:t>……</w:t>
      </w:r>
      <w:r w:rsidR="00624DCD">
        <w:rPr>
          <w:sz w:val="28"/>
          <w:szCs w:val="28"/>
        </w:rPr>
        <w:t>……</w:t>
      </w:r>
      <w:r w:rsidR="00624DCD" w:rsidRPr="00624DCD">
        <w:rPr>
          <w:sz w:val="28"/>
          <w:szCs w:val="28"/>
        </w:rPr>
        <w:t>…</w:t>
      </w:r>
      <w:r w:rsidR="000E28FB" w:rsidRPr="0078696C">
        <w:rPr>
          <w:sz w:val="28"/>
          <w:szCs w:val="28"/>
        </w:rPr>
        <w:t>7</w:t>
      </w:r>
      <w:r w:rsidR="00046F7D">
        <w:rPr>
          <w:sz w:val="28"/>
          <w:szCs w:val="28"/>
        </w:rPr>
        <w:t>4</w:t>
      </w:r>
    </w:p>
    <w:p w:rsidR="00AB2337" w:rsidRPr="0078696C" w:rsidRDefault="00AB2337" w:rsidP="00AB2337">
      <w:pPr>
        <w:pStyle w:val="Default"/>
        <w:spacing w:line="360" w:lineRule="auto"/>
        <w:jc w:val="both"/>
        <w:rPr>
          <w:sz w:val="28"/>
          <w:szCs w:val="28"/>
        </w:rPr>
      </w:pPr>
      <w:r w:rsidRPr="0078696C">
        <w:rPr>
          <w:sz w:val="28"/>
          <w:szCs w:val="28"/>
        </w:rPr>
        <w:t xml:space="preserve">2.1 </w:t>
      </w:r>
      <w:r w:rsidR="00D40699" w:rsidRPr="0078696C">
        <w:rPr>
          <w:sz w:val="28"/>
          <w:szCs w:val="28"/>
        </w:rPr>
        <w:t>Основні етапи р</w:t>
      </w:r>
      <w:r w:rsidR="00244DFF" w:rsidRPr="0078696C">
        <w:rPr>
          <w:sz w:val="28"/>
          <w:szCs w:val="28"/>
        </w:rPr>
        <w:t>еформування</w:t>
      </w:r>
      <w:r w:rsidR="00D40699" w:rsidRPr="0078696C">
        <w:rPr>
          <w:sz w:val="28"/>
          <w:szCs w:val="28"/>
        </w:rPr>
        <w:t xml:space="preserve"> системи пенсійного забезпечення Україн</w:t>
      </w:r>
      <w:r w:rsidR="00244DFF" w:rsidRPr="0078696C">
        <w:rPr>
          <w:sz w:val="28"/>
          <w:szCs w:val="28"/>
        </w:rPr>
        <w:t>и</w:t>
      </w:r>
      <w:r w:rsidR="00624DCD">
        <w:rPr>
          <w:sz w:val="28"/>
          <w:szCs w:val="28"/>
        </w:rPr>
        <w:t xml:space="preserve">   </w:t>
      </w:r>
      <w:r w:rsidR="00F00873" w:rsidRPr="0078696C">
        <w:rPr>
          <w:sz w:val="28"/>
          <w:szCs w:val="28"/>
        </w:rPr>
        <w:t>7</w:t>
      </w:r>
      <w:r w:rsidR="00046F7D">
        <w:rPr>
          <w:sz w:val="28"/>
          <w:szCs w:val="28"/>
        </w:rPr>
        <w:t>4</w:t>
      </w:r>
    </w:p>
    <w:p w:rsidR="00126F2F" w:rsidRPr="0078696C" w:rsidRDefault="00126F2F" w:rsidP="00AB2337">
      <w:pPr>
        <w:pStyle w:val="Default"/>
        <w:spacing w:line="360" w:lineRule="auto"/>
        <w:jc w:val="both"/>
        <w:rPr>
          <w:sz w:val="28"/>
          <w:szCs w:val="28"/>
        </w:rPr>
      </w:pPr>
      <w:r w:rsidRPr="0078696C">
        <w:rPr>
          <w:sz w:val="28"/>
          <w:szCs w:val="28"/>
        </w:rPr>
        <w:t xml:space="preserve">2.2 Реалізація прав </w:t>
      </w:r>
      <w:r w:rsidR="0052371B" w:rsidRPr="0078696C">
        <w:rPr>
          <w:sz w:val="28"/>
          <w:szCs w:val="28"/>
        </w:rPr>
        <w:t xml:space="preserve">громадян на призначення пенсії </w:t>
      </w:r>
      <w:r w:rsidR="00505941">
        <w:rPr>
          <w:sz w:val="28"/>
          <w:szCs w:val="28"/>
        </w:rPr>
        <w:t>…………………………..</w:t>
      </w:r>
      <w:r w:rsidR="00046F7D">
        <w:rPr>
          <w:sz w:val="28"/>
          <w:szCs w:val="28"/>
        </w:rPr>
        <w:t>91</w:t>
      </w:r>
    </w:p>
    <w:p w:rsidR="00AB2337" w:rsidRPr="0078696C" w:rsidRDefault="00126F2F" w:rsidP="00AB2337">
      <w:pPr>
        <w:pStyle w:val="Default"/>
        <w:spacing w:line="360" w:lineRule="auto"/>
        <w:jc w:val="both"/>
        <w:rPr>
          <w:sz w:val="28"/>
          <w:szCs w:val="28"/>
        </w:rPr>
      </w:pPr>
      <w:r w:rsidRPr="0078696C">
        <w:rPr>
          <w:sz w:val="28"/>
          <w:szCs w:val="28"/>
        </w:rPr>
        <w:t>2.3</w:t>
      </w:r>
      <w:r w:rsidR="0009280F" w:rsidRPr="0078696C">
        <w:rPr>
          <w:sz w:val="28"/>
          <w:szCs w:val="28"/>
        </w:rPr>
        <w:t xml:space="preserve"> Труднощі</w:t>
      </w:r>
      <w:r w:rsidR="005D146F" w:rsidRPr="0078696C">
        <w:rPr>
          <w:sz w:val="28"/>
          <w:szCs w:val="28"/>
        </w:rPr>
        <w:t xml:space="preserve"> впровадження пенсійної</w:t>
      </w:r>
      <w:r w:rsidR="00AB2337" w:rsidRPr="0078696C">
        <w:rPr>
          <w:sz w:val="28"/>
          <w:szCs w:val="28"/>
        </w:rPr>
        <w:t xml:space="preserve"> реформ</w:t>
      </w:r>
      <w:r w:rsidR="005D146F" w:rsidRPr="0078696C">
        <w:rPr>
          <w:sz w:val="28"/>
          <w:szCs w:val="28"/>
        </w:rPr>
        <w:t>и</w:t>
      </w:r>
      <w:r w:rsidR="00AB2337" w:rsidRPr="0078696C">
        <w:rPr>
          <w:sz w:val="28"/>
          <w:szCs w:val="28"/>
        </w:rPr>
        <w:t xml:space="preserve"> в Україні</w:t>
      </w:r>
      <w:r w:rsidR="00505941">
        <w:rPr>
          <w:sz w:val="28"/>
          <w:szCs w:val="28"/>
        </w:rPr>
        <w:t xml:space="preserve"> ………………….</w:t>
      </w:r>
      <w:r w:rsidR="00752B2B" w:rsidRPr="0078696C">
        <w:rPr>
          <w:sz w:val="28"/>
          <w:szCs w:val="28"/>
        </w:rPr>
        <w:t>1</w:t>
      </w:r>
      <w:r w:rsidR="0026143C">
        <w:rPr>
          <w:sz w:val="28"/>
          <w:szCs w:val="28"/>
        </w:rPr>
        <w:t>0</w:t>
      </w:r>
      <w:r w:rsidR="00046F7D">
        <w:rPr>
          <w:sz w:val="28"/>
          <w:szCs w:val="28"/>
        </w:rPr>
        <w:t>7</w:t>
      </w:r>
    </w:p>
    <w:p w:rsidR="00AB2337" w:rsidRPr="0078696C" w:rsidRDefault="004558CB" w:rsidP="00AB2337">
      <w:pPr>
        <w:pStyle w:val="Default"/>
        <w:spacing w:line="360" w:lineRule="auto"/>
        <w:jc w:val="both"/>
        <w:rPr>
          <w:sz w:val="28"/>
          <w:szCs w:val="28"/>
        </w:rPr>
      </w:pPr>
      <w:r w:rsidRPr="0078696C">
        <w:rPr>
          <w:sz w:val="28"/>
          <w:szCs w:val="28"/>
        </w:rPr>
        <w:t>Висновки до розділу 2</w:t>
      </w:r>
      <w:r w:rsidR="00505941">
        <w:rPr>
          <w:sz w:val="28"/>
          <w:szCs w:val="28"/>
        </w:rPr>
        <w:t xml:space="preserve"> </w:t>
      </w:r>
      <w:r w:rsidR="00112F78">
        <w:rPr>
          <w:sz w:val="28"/>
          <w:szCs w:val="28"/>
        </w:rPr>
        <w:t>…………………………………………………………..</w:t>
      </w:r>
      <w:r w:rsidR="0026143C">
        <w:rPr>
          <w:sz w:val="28"/>
          <w:szCs w:val="28"/>
        </w:rPr>
        <w:t>13</w:t>
      </w:r>
      <w:r w:rsidR="00046F7D">
        <w:rPr>
          <w:sz w:val="28"/>
          <w:szCs w:val="28"/>
        </w:rPr>
        <w:t>5</w:t>
      </w:r>
    </w:p>
    <w:p w:rsidR="00AB2337" w:rsidRPr="0078696C" w:rsidRDefault="00AB2337" w:rsidP="00AB2337">
      <w:pPr>
        <w:pStyle w:val="Default"/>
        <w:spacing w:line="360" w:lineRule="auto"/>
        <w:jc w:val="both"/>
        <w:rPr>
          <w:b/>
          <w:sz w:val="28"/>
          <w:szCs w:val="28"/>
        </w:rPr>
      </w:pPr>
      <w:r w:rsidRPr="0078696C">
        <w:rPr>
          <w:b/>
          <w:sz w:val="28"/>
          <w:szCs w:val="28"/>
        </w:rPr>
        <w:t>РОЗДІЛ 3 ЄВРОПЕЙСЬКИЙ ДОСВІД РЕФОРМУВАННЯ ПЕНСІЙНИХ</w:t>
      </w:r>
    </w:p>
    <w:p w:rsidR="00AB2337" w:rsidRPr="0078696C" w:rsidRDefault="00AB2337" w:rsidP="00AB2337">
      <w:pPr>
        <w:pStyle w:val="Default"/>
        <w:spacing w:line="360" w:lineRule="auto"/>
        <w:jc w:val="both"/>
        <w:rPr>
          <w:b/>
          <w:sz w:val="28"/>
          <w:szCs w:val="28"/>
        </w:rPr>
      </w:pPr>
      <w:r w:rsidRPr="007A13D1">
        <w:rPr>
          <w:rFonts w:ascii="Times New Roman Полужирный" w:hAnsi="Times New Roman Полужирный"/>
          <w:b/>
          <w:spacing w:val="-8"/>
          <w:sz w:val="28"/>
          <w:szCs w:val="28"/>
        </w:rPr>
        <w:t xml:space="preserve">СИСТЕМ ТА ПЕРСПЕКТИВИ ЙОГО </w:t>
      </w:r>
      <w:r w:rsidR="00B16D44" w:rsidRPr="007A13D1">
        <w:rPr>
          <w:rFonts w:ascii="Times New Roman Полужирный" w:hAnsi="Times New Roman Полужирный"/>
          <w:b/>
          <w:spacing w:val="-8"/>
          <w:sz w:val="28"/>
          <w:szCs w:val="28"/>
        </w:rPr>
        <w:t>ЗА</w:t>
      </w:r>
      <w:r w:rsidR="0052371B" w:rsidRPr="007A13D1">
        <w:rPr>
          <w:rFonts w:ascii="Times New Roman Полужирный" w:hAnsi="Times New Roman Полужирный"/>
          <w:b/>
          <w:spacing w:val="-8"/>
          <w:sz w:val="28"/>
          <w:szCs w:val="28"/>
        </w:rPr>
        <w:t>ПРОВАДЖЕННЯ</w:t>
      </w:r>
      <w:r w:rsidRPr="007A13D1">
        <w:rPr>
          <w:rFonts w:ascii="Times New Roman Полужирный" w:hAnsi="Times New Roman Полужирный"/>
          <w:b/>
          <w:spacing w:val="-8"/>
          <w:sz w:val="28"/>
          <w:szCs w:val="28"/>
        </w:rPr>
        <w:t xml:space="preserve"> В УКРАЇНІ</w:t>
      </w:r>
      <w:r w:rsidR="007A13D1">
        <w:rPr>
          <w:b/>
          <w:sz w:val="28"/>
          <w:szCs w:val="28"/>
        </w:rPr>
        <w:t xml:space="preserve"> </w:t>
      </w:r>
      <w:r w:rsidR="007A13D1">
        <w:rPr>
          <w:sz w:val="28"/>
          <w:szCs w:val="28"/>
        </w:rPr>
        <w:t>….</w:t>
      </w:r>
      <w:r w:rsidR="00B32D2E" w:rsidRPr="0078696C">
        <w:rPr>
          <w:sz w:val="28"/>
          <w:szCs w:val="28"/>
        </w:rPr>
        <w:t>1</w:t>
      </w:r>
      <w:r w:rsidR="0026143C">
        <w:rPr>
          <w:sz w:val="28"/>
          <w:szCs w:val="28"/>
        </w:rPr>
        <w:t>3</w:t>
      </w:r>
      <w:r w:rsidR="00046F7D">
        <w:rPr>
          <w:sz w:val="28"/>
          <w:szCs w:val="28"/>
        </w:rPr>
        <w:t>9</w:t>
      </w:r>
    </w:p>
    <w:p w:rsidR="00AB2337" w:rsidRPr="0078696C" w:rsidRDefault="00AB2337" w:rsidP="00565D24">
      <w:pPr>
        <w:pStyle w:val="Default"/>
        <w:spacing w:line="360" w:lineRule="auto"/>
        <w:jc w:val="both"/>
        <w:rPr>
          <w:sz w:val="28"/>
          <w:szCs w:val="28"/>
        </w:rPr>
      </w:pPr>
      <w:r w:rsidRPr="0078696C">
        <w:rPr>
          <w:sz w:val="28"/>
          <w:szCs w:val="28"/>
        </w:rPr>
        <w:t>3.1 Основні моделі пенсійних систем країн Європейського Союзу</w:t>
      </w:r>
      <w:r w:rsidR="000871CE">
        <w:rPr>
          <w:sz w:val="28"/>
          <w:szCs w:val="28"/>
        </w:rPr>
        <w:t xml:space="preserve"> ………...</w:t>
      </w:r>
      <w:r w:rsidR="0026143C">
        <w:rPr>
          <w:sz w:val="28"/>
          <w:szCs w:val="28"/>
        </w:rPr>
        <w:t>13</w:t>
      </w:r>
      <w:r w:rsidR="00046F7D">
        <w:rPr>
          <w:sz w:val="28"/>
          <w:szCs w:val="28"/>
        </w:rPr>
        <w:t>9</w:t>
      </w:r>
    </w:p>
    <w:p w:rsidR="00AB2337" w:rsidRPr="0078696C" w:rsidRDefault="00AB2337" w:rsidP="00565D24">
      <w:pPr>
        <w:pStyle w:val="Default"/>
        <w:spacing w:line="360" w:lineRule="auto"/>
        <w:jc w:val="both"/>
        <w:rPr>
          <w:sz w:val="28"/>
          <w:szCs w:val="28"/>
        </w:rPr>
      </w:pPr>
      <w:r w:rsidRPr="0078696C">
        <w:rPr>
          <w:sz w:val="28"/>
          <w:szCs w:val="28"/>
        </w:rPr>
        <w:t>3.2 Новітні тенденції реформування пенсійних систем окремих країн ЄС</w:t>
      </w:r>
      <w:r w:rsidR="000871CE">
        <w:rPr>
          <w:sz w:val="28"/>
          <w:szCs w:val="28"/>
        </w:rPr>
        <w:t xml:space="preserve"> …</w:t>
      </w:r>
      <w:r w:rsidR="0026143C">
        <w:rPr>
          <w:sz w:val="28"/>
          <w:szCs w:val="28"/>
        </w:rPr>
        <w:t>1</w:t>
      </w:r>
      <w:r w:rsidR="00046F7D">
        <w:rPr>
          <w:sz w:val="28"/>
          <w:szCs w:val="28"/>
        </w:rPr>
        <w:t>62</w:t>
      </w:r>
    </w:p>
    <w:p w:rsidR="00AB2337" w:rsidRPr="0078696C" w:rsidRDefault="00AB2337" w:rsidP="00CB7233">
      <w:pPr>
        <w:pStyle w:val="Default"/>
        <w:spacing w:line="360" w:lineRule="auto"/>
        <w:jc w:val="both"/>
        <w:rPr>
          <w:sz w:val="28"/>
          <w:szCs w:val="28"/>
        </w:rPr>
      </w:pPr>
      <w:r w:rsidRPr="0078696C">
        <w:rPr>
          <w:sz w:val="28"/>
          <w:szCs w:val="28"/>
        </w:rPr>
        <w:t>3</w:t>
      </w:r>
      <w:r w:rsidR="009668B6" w:rsidRPr="0078696C">
        <w:rPr>
          <w:sz w:val="28"/>
          <w:szCs w:val="28"/>
        </w:rPr>
        <w:t>.3</w:t>
      </w:r>
      <w:r w:rsidR="000871CE">
        <w:rPr>
          <w:sz w:val="28"/>
          <w:szCs w:val="28"/>
        </w:rPr>
        <w:t> </w:t>
      </w:r>
      <w:r w:rsidR="009668B6" w:rsidRPr="0078696C">
        <w:rPr>
          <w:sz w:val="28"/>
          <w:szCs w:val="28"/>
        </w:rPr>
        <w:t xml:space="preserve">Запровадження нових </w:t>
      </w:r>
      <w:r w:rsidR="00B32D2E" w:rsidRPr="0078696C">
        <w:rPr>
          <w:sz w:val="28"/>
          <w:szCs w:val="28"/>
        </w:rPr>
        <w:t xml:space="preserve">підходів </w:t>
      </w:r>
      <w:r w:rsidR="009668B6" w:rsidRPr="0078696C">
        <w:rPr>
          <w:sz w:val="28"/>
          <w:szCs w:val="28"/>
        </w:rPr>
        <w:t>до</w:t>
      </w:r>
      <w:r w:rsidRPr="0078696C">
        <w:rPr>
          <w:sz w:val="28"/>
          <w:szCs w:val="28"/>
        </w:rPr>
        <w:t xml:space="preserve"> державного управління системою</w:t>
      </w:r>
      <w:r w:rsidR="00CB7233">
        <w:rPr>
          <w:sz w:val="28"/>
          <w:szCs w:val="28"/>
        </w:rPr>
        <w:t xml:space="preserve"> </w:t>
      </w:r>
      <w:r w:rsidRPr="0078696C">
        <w:rPr>
          <w:sz w:val="28"/>
          <w:szCs w:val="28"/>
        </w:rPr>
        <w:t>пенсійного забезпечення в процесі реалізації євроінтеграційної політики</w:t>
      </w:r>
      <w:r w:rsidR="00CB7233">
        <w:rPr>
          <w:sz w:val="28"/>
          <w:szCs w:val="28"/>
        </w:rPr>
        <w:t xml:space="preserve"> </w:t>
      </w:r>
      <w:r w:rsidRPr="0078696C">
        <w:rPr>
          <w:sz w:val="28"/>
          <w:szCs w:val="28"/>
        </w:rPr>
        <w:t>України</w:t>
      </w:r>
      <w:r w:rsidR="000871CE">
        <w:rPr>
          <w:sz w:val="28"/>
          <w:szCs w:val="28"/>
        </w:rPr>
        <w:t xml:space="preserve">  </w:t>
      </w:r>
      <w:r w:rsidR="00C9262E">
        <w:rPr>
          <w:sz w:val="28"/>
          <w:szCs w:val="28"/>
        </w:rPr>
        <w:t>………………………………………………………………………….</w:t>
      </w:r>
      <w:r w:rsidR="009D5127" w:rsidRPr="0078696C">
        <w:rPr>
          <w:sz w:val="28"/>
          <w:szCs w:val="28"/>
        </w:rPr>
        <w:t>1</w:t>
      </w:r>
      <w:r w:rsidR="00046F7D">
        <w:rPr>
          <w:sz w:val="28"/>
          <w:szCs w:val="28"/>
        </w:rPr>
        <w:t>78</w:t>
      </w:r>
    </w:p>
    <w:p w:rsidR="00AB2337" w:rsidRPr="0078696C" w:rsidRDefault="004558CB" w:rsidP="00AB2337">
      <w:pPr>
        <w:pStyle w:val="Default"/>
        <w:spacing w:line="360" w:lineRule="auto"/>
        <w:jc w:val="both"/>
        <w:rPr>
          <w:sz w:val="28"/>
          <w:szCs w:val="28"/>
        </w:rPr>
      </w:pPr>
      <w:r w:rsidRPr="0078696C">
        <w:rPr>
          <w:sz w:val="28"/>
          <w:szCs w:val="28"/>
        </w:rPr>
        <w:t xml:space="preserve">Висновки до розділу </w:t>
      </w:r>
      <w:r w:rsidR="00AB2337" w:rsidRPr="0078696C">
        <w:rPr>
          <w:sz w:val="28"/>
          <w:szCs w:val="28"/>
        </w:rPr>
        <w:t>3</w:t>
      </w:r>
      <w:r w:rsidR="00C9262E">
        <w:rPr>
          <w:sz w:val="28"/>
          <w:szCs w:val="28"/>
        </w:rPr>
        <w:t xml:space="preserve"> </w:t>
      </w:r>
      <w:r w:rsidR="00962B8D">
        <w:rPr>
          <w:sz w:val="28"/>
          <w:szCs w:val="28"/>
        </w:rPr>
        <w:t>………………………………………………………….</w:t>
      </w:r>
      <w:r w:rsidR="0026143C">
        <w:rPr>
          <w:sz w:val="28"/>
          <w:szCs w:val="28"/>
        </w:rPr>
        <w:t>1</w:t>
      </w:r>
      <w:r w:rsidR="00046F7D">
        <w:rPr>
          <w:sz w:val="28"/>
          <w:szCs w:val="28"/>
        </w:rPr>
        <w:t>97</w:t>
      </w:r>
    </w:p>
    <w:p w:rsidR="00AB2337" w:rsidRPr="0078696C" w:rsidRDefault="00AB2337" w:rsidP="00AB2337">
      <w:pPr>
        <w:pStyle w:val="Default"/>
        <w:spacing w:line="360" w:lineRule="auto"/>
        <w:jc w:val="both"/>
        <w:rPr>
          <w:sz w:val="28"/>
          <w:szCs w:val="28"/>
        </w:rPr>
      </w:pPr>
      <w:r w:rsidRPr="0078696C">
        <w:rPr>
          <w:b/>
          <w:sz w:val="28"/>
          <w:szCs w:val="28"/>
        </w:rPr>
        <w:t>ВИСНОВКИ</w:t>
      </w:r>
      <w:r w:rsidR="00962B8D">
        <w:rPr>
          <w:b/>
          <w:sz w:val="28"/>
          <w:szCs w:val="28"/>
        </w:rPr>
        <w:t xml:space="preserve"> </w:t>
      </w:r>
      <w:r w:rsidR="00962B8D" w:rsidRPr="00962B8D">
        <w:rPr>
          <w:sz w:val="28"/>
          <w:szCs w:val="28"/>
        </w:rPr>
        <w:t>…</w:t>
      </w:r>
      <w:r w:rsidR="00962B8D">
        <w:rPr>
          <w:sz w:val="28"/>
          <w:szCs w:val="28"/>
        </w:rPr>
        <w:t>…………………………………………………………………</w:t>
      </w:r>
      <w:r w:rsidR="00046F7D">
        <w:rPr>
          <w:sz w:val="28"/>
          <w:szCs w:val="28"/>
        </w:rPr>
        <w:t>200</w:t>
      </w:r>
    </w:p>
    <w:p w:rsidR="00AB2337" w:rsidRPr="0078696C" w:rsidRDefault="00AB2337" w:rsidP="00AB2337">
      <w:pPr>
        <w:pStyle w:val="Default"/>
        <w:spacing w:line="360" w:lineRule="auto"/>
        <w:jc w:val="both"/>
        <w:rPr>
          <w:sz w:val="28"/>
          <w:szCs w:val="28"/>
        </w:rPr>
      </w:pPr>
      <w:r w:rsidRPr="0078696C">
        <w:rPr>
          <w:b/>
          <w:sz w:val="28"/>
          <w:szCs w:val="28"/>
        </w:rPr>
        <w:t>СПИСОК ВИКОРИСТАНИХ ДЖЕРЕЛ</w:t>
      </w:r>
      <w:r w:rsidR="00962B8D">
        <w:rPr>
          <w:b/>
          <w:sz w:val="28"/>
          <w:szCs w:val="28"/>
        </w:rPr>
        <w:t xml:space="preserve"> </w:t>
      </w:r>
      <w:r w:rsidR="00962B8D" w:rsidRPr="00962B8D">
        <w:rPr>
          <w:sz w:val="28"/>
          <w:szCs w:val="28"/>
        </w:rPr>
        <w:t>…</w:t>
      </w:r>
      <w:r w:rsidR="00962B8D">
        <w:rPr>
          <w:sz w:val="28"/>
          <w:szCs w:val="28"/>
        </w:rPr>
        <w:t>………………………………..</w:t>
      </w:r>
      <w:r w:rsidR="00962B8D" w:rsidRPr="00962B8D">
        <w:rPr>
          <w:sz w:val="28"/>
          <w:szCs w:val="28"/>
        </w:rPr>
        <w:t>.</w:t>
      </w:r>
      <w:r w:rsidR="00046F7D">
        <w:rPr>
          <w:sz w:val="28"/>
          <w:szCs w:val="28"/>
        </w:rPr>
        <w:t>205</w:t>
      </w:r>
    </w:p>
    <w:p w:rsidR="003D1826" w:rsidRPr="0078696C" w:rsidRDefault="003D1826" w:rsidP="00AB2337">
      <w:pPr>
        <w:pStyle w:val="Default"/>
        <w:spacing w:line="360" w:lineRule="auto"/>
        <w:jc w:val="both"/>
        <w:rPr>
          <w:b/>
          <w:sz w:val="28"/>
          <w:szCs w:val="28"/>
        </w:rPr>
      </w:pPr>
      <w:r w:rsidRPr="0078696C">
        <w:rPr>
          <w:b/>
          <w:sz w:val="28"/>
          <w:szCs w:val="28"/>
        </w:rPr>
        <w:t>ДОДАТКИ</w:t>
      </w:r>
      <w:r w:rsidR="00962B8D">
        <w:rPr>
          <w:b/>
          <w:sz w:val="28"/>
          <w:szCs w:val="28"/>
        </w:rPr>
        <w:t xml:space="preserve"> </w:t>
      </w:r>
      <w:r w:rsidR="00962B8D" w:rsidRPr="00962B8D">
        <w:rPr>
          <w:sz w:val="28"/>
          <w:szCs w:val="28"/>
        </w:rPr>
        <w:t>…</w:t>
      </w:r>
      <w:r w:rsidR="00704A2B">
        <w:rPr>
          <w:sz w:val="28"/>
          <w:szCs w:val="28"/>
        </w:rPr>
        <w:t>………………………………………………………………….</w:t>
      </w:r>
      <w:r w:rsidR="00962B8D" w:rsidRPr="00962B8D">
        <w:rPr>
          <w:sz w:val="28"/>
          <w:szCs w:val="28"/>
        </w:rPr>
        <w:t>.</w:t>
      </w:r>
      <w:r w:rsidR="00962B8D" w:rsidRPr="00DA740F">
        <w:rPr>
          <w:sz w:val="28"/>
          <w:szCs w:val="28"/>
        </w:rPr>
        <w:t>.</w:t>
      </w:r>
      <w:r w:rsidR="00704A2B" w:rsidRPr="00DA740F">
        <w:rPr>
          <w:sz w:val="28"/>
          <w:szCs w:val="28"/>
        </w:rPr>
        <w:t>.</w:t>
      </w:r>
      <w:r w:rsidR="006A458A" w:rsidRPr="0078696C">
        <w:rPr>
          <w:sz w:val="28"/>
          <w:szCs w:val="28"/>
        </w:rPr>
        <w:t>2</w:t>
      </w:r>
      <w:r w:rsidR="00046F7D">
        <w:rPr>
          <w:sz w:val="28"/>
          <w:szCs w:val="28"/>
        </w:rPr>
        <w:t>35</w:t>
      </w:r>
    </w:p>
    <w:p w:rsidR="00AB2337" w:rsidRDefault="00AB2337" w:rsidP="00B32D2E">
      <w:pPr>
        <w:pStyle w:val="Default"/>
        <w:spacing w:line="360" w:lineRule="auto"/>
        <w:jc w:val="center"/>
        <w:rPr>
          <w:b/>
          <w:sz w:val="28"/>
          <w:szCs w:val="28"/>
        </w:rPr>
      </w:pPr>
      <w:r w:rsidRPr="0078696C">
        <w:rPr>
          <w:b/>
          <w:sz w:val="28"/>
          <w:szCs w:val="28"/>
        </w:rPr>
        <w:br w:type="page"/>
      </w:r>
      <w:r w:rsidRPr="0078696C">
        <w:rPr>
          <w:b/>
          <w:sz w:val="28"/>
          <w:szCs w:val="28"/>
        </w:rPr>
        <w:lastRenderedPageBreak/>
        <w:t>ПЕРЕЛІК ПОЗНАЧЕНЬ І СКОРОЧЕНЬ</w:t>
      </w:r>
    </w:p>
    <w:p w:rsidR="00777752" w:rsidRPr="0078696C" w:rsidRDefault="00777752" w:rsidP="00B32D2E">
      <w:pPr>
        <w:pStyle w:val="Default"/>
        <w:spacing w:line="360" w:lineRule="auto"/>
        <w:jc w:val="center"/>
        <w:rPr>
          <w:b/>
          <w:sz w:val="28"/>
          <w:szCs w:val="28"/>
        </w:rPr>
      </w:pPr>
    </w:p>
    <w:tbl>
      <w:tblPr>
        <w:tblW w:w="0" w:type="auto"/>
        <w:tblLook w:val="04A0"/>
      </w:tblPr>
      <w:tblGrid>
        <w:gridCol w:w="1668"/>
        <w:gridCol w:w="8187"/>
      </w:tblGrid>
      <w:tr w:rsidR="00AB2337" w:rsidRPr="0078696C" w:rsidTr="00504E58">
        <w:tc>
          <w:tcPr>
            <w:tcW w:w="1668" w:type="dxa"/>
            <w:shd w:val="clear" w:color="auto" w:fill="auto"/>
          </w:tcPr>
          <w:p w:rsidR="00AB2337" w:rsidRPr="0078696C" w:rsidRDefault="00AB2337" w:rsidP="00504E58">
            <w:pPr>
              <w:autoSpaceDE w:val="0"/>
              <w:autoSpaceDN w:val="0"/>
              <w:adjustRightInd w:val="0"/>
              <w:spacing w:after="0" w:line="240" w:lineRule="auto"/>
              <w:rPr>
                <w:rFonts w:ascii="Times New Roman" w:hAnsi="Times New Roman"/>
                <w:color w:val="000000"/>
                <w:sz w:val="28"/>
                <w:szCs w:val="28"/>
                <w:lang w:eastAsia="uk-UA"/>
              </w:rPr>
            </w:pPr>
            <w:r w:rsidRPr="0078696C">
              <w:rPr>
                <w:rFonts w:ascii="Times New Roman" w:hAnsi="Times New Roman"/>
                <w:color w:val="000000"/>
                <w:sz w:val="28"/>
                <w:szCs w:val="28"/>
                <w:lang w:eastAsia="uk-UA"/>
              </w:rPr>
              <w:t>ВВП</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Валовий внутрішній продукт</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ВРУ</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Верховна Рада України</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ВСУ</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Верховний Суд України</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ДФС</w:t>
            </w:r>
          </w:p>
          <w:p w:rsidR="006568E0" w:rsidRPr="0078696C" w:rsidRDefault="006568E0" w:rsidP="00504E58">
            <w:pPr>
              <w:pStyle w:val="Default"/>
              <w:spacing w:line="360" w:lineRule="auto"/>
              <w:jc w:val="both"/>
              <w:rPr>
                <w:sz w:val="28"/>
                <w:szCs w:val="28"/>
              </w:rPr>
            </w:pPr>
            <w:r w:rsidRPr="0078696C">
              <w:rPr>
                <w:sz w:val="28"/>
                <w:szCs w:val="28"/>
              </w:rPr>
              <w:t>ЄК</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Державна фіскальна служба України</w:t>
            </w:r>
          </w:p>
          <w:p w:rsidR="006568E0" w:rsidRPr="0078696C" w:rsidRDefault="006568E0" w:rsidP="00504E58">
            <w:pPr>
              <w:pStyle w:val="Default"/>
              <w:spacing w:line="360" w:lineRule="auto"/>
              <w:jc w:val="both"/>
              <w:rPr>
                <w:sz w:val="28"/>
                <w:szCs w:val="28"/>
              </w:rPr>
            </w:pPr>
            <w:r w:rsidRPr="0078696C">
              <w:rPr>
                <w:sz w:val="28"/>
                <w:szCs w:val="28"/>
              </w:rPr>
              <w:t>Європейська Комісія</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ЄС</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Європейський Союз</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ЄСПЛ</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Європейський суд з прав людини</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ЗУ</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Закон України</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ЗДПС</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Загальнообов’язкове державне пенсійне страхування</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КМУ</w:t>
            </w:r>
          </w:p>
          <w:p w:rsidR="002F01DC" w:rsidRPr="0078696C" w:rsidRDefault="002F01DC" w:rsidP="00504E58">
            <w:pPr>
              <w:pStyle w:val="Default"/>
              <w:spacing w:line="360" w:lineRule="auto"/>
              <w:jc w:val="both"/>
              <w:rPr>
                <w:sz w:val="28"/>
                <w:szCs w:val="28"/>
              </w:rPr>
            </w:pPr>
            <w:r w:rsidRPr="0078696C">
              <w:rPr>
                <w:sz w:val="28"/>
                <w:szCs w:val="28"/>
              </w:rPr>
              <w:t>МВС</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Кабінет Міністрів України</w:t>
            </w:r>
          </w:p>
          <w:p w:rsidR="002F01DC" w:rsidRPr="0078696C" w:rsidRDefault="002F01DC" w:rsidP="00504E58">
            <w:pPr>
              <w:pStyle w:val="Default"/>
              <w:spacing w:line="360" w:lineRule="auto"/>
              <w:jc w:val="both"/>
              <w:rPr>
                <w:sz w:val="28"/>
                <w:szCs w:val="28"/>
              </w:rPr>
            </w:pPr>
            <w:r w:rsidRPr="0078696C">
              <w:rPr>
                <w:sz w:val="28"/>
                <w:szCs w:val="28"/>
              </w:rPr>
              <w:t>Міністерство внутрішніх справ</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МВФ</w:t>
            </w:r>
          </w:p>
          <w:p w:rsidR="006568E0" w:rsidRPr="0078696C" w:rsidRDefault="006568E0" w:rsidP="00504E58">
            <w:pPr>
              <w:pStyle w:val="Default"/>
              <w:spacing w:line="360" w:lineRule="auto"/>
              <w:jc w:val="both"/>
              <w:rPr>
                <w:sz w:val="28"/>
                <w:szCs w:val="28"/>
              </w:rPr>
            </w:pPr>
            <w:r w:rsidRPr="0078696C">
              <w:rPr>
                <w:sz w:val="28"/>
                <w:szCs w:val="28"/>
              </w:rPr>
              <w:t xml:space="preserve">МОП </w:t>
            </w:r>
          </w:p>
          <w:p w:rsidR="002F01DC" w:rsidRPr="0078696C" w:rsidRDefault="002F01DC" w:rsidP="00504E58">
            <w:pPr>
              <w:pStyle w:val="Default"/>
              <w:spacing w:line="360" w:lineRule="auto"/>
              <w:jc w:val="both"/>
              <w:rPr>
                <w:sz w:val="28"/>
                <w:szCs w:val="28"/>
              </w:rPr>
            </w:pPr>
            <w:r w:rsidRPr="0078696C">
              <w:rPr>
                <w:sz w:val="28"/>
                <w:szCs w:val="28"/>
              </w:rPr>
              <w:t>МСЕК</w:t>
            </w:r>
          </w:p>
          <w:p w:rsidR="004F5E3F" w:rsidRPr="0078696C" w:rsidRDefault="004F5E3F" w:rsidP="00504E58">
            <w:pPr>
              <w:pStyle w:val="Default"/>
              <w:spacing w:line="360" w:lineRule="auto"/>
              <w:jc w:val="both"/>
              <w:rPr>
                <w:sz w:val="28"/>
                <w:szCs w:val="28"/>
              </w:rPr>
            </w:pPr>
            <w:r w:rsidRPr="0078696C">
              <w:rPr>
                <w:sz w:val="28"/>
                <w:szCs w:val="28"/>
              </w:rPr>
              <w:t>НПА</w:t>
            </w:r>
          </w:p>
          <w:p w:rsidR="00AB2337" w:rsidRPr="0078696C" w:rsidRDefault="00AB2337" w:rsidP="00504E58">
            <w:pPr>
              <w:pStyle w:val="Default"/>
              <w:spacing w:line="360" w:lineRule="auto"/>
              <w:jc w:val="both"/>
              <w:rPr>
                <w:sz w:val="28"/>
                <w:szCs w:val="28"/>
              </w:rPr>
            </w:pPr>
            <w:r w:rsidRPr="0078696C">
              <w:rPr>
                <w:sz w:val="28"/>
                <w:szCs w:val="28"/>
              </w:rPr>
              <w:t>НПФ</w:t>
            </w:r>
          </w:p>
          <w:p w:rsidR="003A39AC" w:rsidRPr="0078696C" w:rsidRDefault="003A39AC" w:rsidP="00504E58">
            <w:pPr>
              <w:pStyle w:val="Default"/>
              <w:spacing w:line="360" w:lineRule="auto"/>
              <w:jc w:val="both"/>
              <w:rPr>
                <w:sz w:val="28"/>
                <w:szCs w:val="28"/>
              </w:rPr>
            </w:pPr>
            <w:r w:rsidRPr="0078696C">
              <w:rPr>
                <w:sz w:val="28"/>
                <w:szCs w:val="28"/>
              </w:rPr>
              <w:t>ПКМУ</w:t>
            </w:r>
          </w:p>
          <w:p w:rsidR="003A39AC" w:rsidRPr="0078696C" w:rsidRDefault="003A39AC" w:rsidP="00504E58">
            <w:pPr>
              <w:pStyle w:val="Default"/>
              <w:spacing w:line="360" w:lineRule="auto"/>
              <w:jc w:val="both"/>
              <w:rPr>
                <w:sz w:val="28"/>
                <w:szCs w:val="28"/>
              </w:rPr>
            </w:pPr>
            <w:r w:rsidRPr="0078696C">
              <w:rPr>
                <w:sz w:val="28"/>
                <w:szCs w:val="28"/>
              </w:rPr>
              <w:t>ПС</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Міжнародний валютний фонд</w:t>
            </w:r>
          </w:p>
          <w:p w:rsidR="006568E0" w:rsidRPr="0078696C" w:rsidRDefault="006568E0" w:rsidP="00504E58">
            <w:pPr>
              <w:pStyle w:val="Default"/>
              <w:spacing w:line="360" w:lineRule="auto"/>
              <w:jc w:val="both"/>
              <w:rPr>
                <w:sz w:val="28"/>
                <w:szCs w:val="28"/>
              </w:rPr>
            </w:pPr>
            <w:r w:rsidRPr="0078696C">
              <w:rPr>
                <w:sz w:val="28"/>
                <w:szCs w:val="28"/>
              </w:rPr>
              <w:t>Міжнародна організація праці</w:t>
            </w:r>
          </w:p>
          <w:p w:rsidR="002F01DC" w:rsidRPr="0078696C" w:rsidRDefault="002F01DC" w:rsidP="00504E58">
            <w:pPr>
              <w:pStyle w:val="Default"/>
              <w:spacing w:line="360" w:lineRule="auto"/>
              <w:jc w:val="both"/>
              <w:rPr>
                <w:sz w:val="28"/>
                <w:szCs w:val="28"/>
              </w:rPr>
            </w:pPr>
            <w:r w:rsidRPr="0078696C">
              <w:rPr>
                <w:sz w:val="28"/>
                <w:szCs w:val="28"/>
              </w:rPr>
              <w:t>Медико-соціальна експертна комісія</w:t>
            </w:r>
          </w:p>
          <w:p w:rsidR="004F5E3F" w:rsidRPr="0078696C" w:rsidRDefault="004F5E3F" w:rsidP="00504E58">
            <w:pPr>
              <w:pStyle w:val="Default"/>
              <w:spacing w:line="360" w:lineRule="auto"/>
              <w:jc w:val="both"/>
              <w:rPr>
                <w:sz w:val="28"/>
                <w:szCs w:val="28"/>
              </w:rPr>
            </w:pPr>
            <w:r w:rsidRPr="0078696C">
              <w:rPr>
                <w:sz w:val="28"/>
                <w:szCs w:val="28"/>
              </w:rPr>
              <w:t>Нормативно-правовий акт</w:t>
            </w:r>
          </w:p>
          <w:p w:rsidR="00AB2337" w:rsidRPr="0078696C" w:rsidRDefault="00AB2337" w:rsidP="00504E58">
            <w:pPr>
              <w:pStyle w:val="Default"/>
              <w:spacing w:line="360" w:lineRule="auto"/>
              <w:jc w:val="both"/>
              <w:rPr>
                <w:sz w:val="28"/>
                <w:szCs w:val="28"/>
              </w:rPr>
            </w:pPr>
            <w:r w:rsidRPr="0078696C">
              <w:rPr>
                <w:sz w:val="28"/>
                <w:szCs w:val="28"/>
              </w:rPr>
              <w:t>Недержавний пенсійний фонд</w:t>
            </w:r>
          </w:p>
          <w:p w:rsidR="003A39AC" w:rsidRPr="0078696C" w:rsidRDefault="003A39AC" w:rsidP="00504E58">
            <w:pPr>
              <w:pStyle w:val="Default"/>
              <w:spacing w:line="360" w:lineRule="auto"/>
              <w:jc w:val="both"/>
              <w:rPr>
                <w:sz w:val="28"/>
                <w:szCs w:val="28"/>
              </w:rPr>
            </w:pPr>
            <w:r w:rsidRPr="0078696C">
              <w:rPr>
                <w:sz w:val="28"/>
                <w:szCs w:val="28"/>
              </w:rPr>
              <w:t>Постанова Кабінету Міністрів України</w:t>
            </w:r>
          </w:p>
          <w:p w:rsidR="003A39AC" w:rsidRPr="0078696C" w:rsidRDefault="003A39AC" w:rsidP="00504E58">
            <w:pPr>
              <w:pStyle w:val="Default"/>
              <w:spacing w:line="360" w:lineRule="auto"/>
              <w:jc w:val="both"/>
              <w:rPr>
                <w:sz w:val="28"/>
                <w:szCs w:val="28"/>
              </w:rPr>
            </w:pPr>
            <w:r w:rsidRPr="0078696C">
              <w:rPr>
                <w:sz w:val="28"/>
                <w:szCs w:val="28"/>
              </w:rPr>
              <w:t>Пенсійна система</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ПФУ</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Пенсійний фонд України</w:t>
            </w:r>
          </w:p>
        </w:tc>
      </w:tr>
      <w:tr w:rsidR="00AB2337" w:rsidRPr="0078696C" w:rsidTr="00504E58">
        <w:tc>
          <w:tcPr>
            <w:tcW w:w="1668"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СРСР</w:t>
            </w:r>
          </w:p>
          <w:p w:rsidR="002F01DC" w:rsidRPr="0078696C" w:rsidRDefault="002F01DC" w:rsidP="00504E58">
            <w:pPr>
              <w:pStyle w:val="Default"/>
              <w:spacing w:line="360" w:lineRule="auto"/>
              <w:jc w:val="both"/>
              <w:rPr>
                <w:sz w:val="28"/>
                <w:szCs w:val="28"/>
              </w:rPr>
            </w:pPr>
            <w:r w:rsidRPr="0078696C">
              <w:rPr>
                <w:sz w:val="28"/>
                <w:szCs w:val="28"/>
              </w:rPr>
              <w:t>УРСР</w:t>
            </w:r>
          </w:p>
          <w:p w:rsidR="002F01DC" w:rsidRPr="0078696C" w:rsidRDefault="002F01DC" w:rsidP="00504E58">
            <w:pPr>
              <w:pStyle w:val="Default"/>
              <w:spacing w:line="360" w:lineRule="auto"/>
              <w:jc w:val="both"/>
              <w:rPr>
                <w:sz w:val="28"/>
                <w:szCs w:val="28"/>
              </w:rPr>
            </w:pPr>
            <w:r w:rsidRPr="0078696C">
              <w:rPr>
                <w:sz w:val="28"/>
                <w:szCs w:val="28"/>
              </w:rPr>
              <w:t>ЧАЕС</w:t>
            </w:r>
          </w:p>
          <w:p w:rsidR="002F01DC" w:rsidRPr="0078696C" w:rsidRDefault="002F01DC" w:rsidP="00504E58">
            <w:pPr>
              <w:pStyle w:val="Default"/>
              <w:spacing w:line="360" w:lineRule="auto"/>
              <w:jc w:val="both"/>
              <w:rPr>
                <w:sz w:val="28"/>
                <w:szCs w:val="28"/>
              </w:rPr>
            </w:pPr>
            <w:r w:rsidRPr="0078696C">
              <w:rPr>
                <w:sz w:val="28"/>
                <w:szCs w:val="28"/>
              </w:rPr>
              <w:t>ЧК</w:t>
            </w:r>
          </w:p>
          <w:p w:rsidR="005967D9" w:rsidRPr="0078696C" w:rsidRDefault="005967D9" w:rsidP="00504E58">
            <w:pPr>
              <w:pStyle w:val="Default"/>
              <w:spacing w:line="360" w:lineRule="auto"/>
              <w:jc w:val="both"/>
              <w:rPr>
                <w:sz w:val="28"/>
                <w:szCs w:val="28"/>
              </w:rPr>
            </w:pPr>
            <w:r w:rsidRPr="0078696C">
              <w:rPr>
                <w:sz w:val="28"/>
                <w:szCs w:val="28"/>
              </w:rPr>
              <w:t>PAYG</w:t>
            </w:r>
          </w:p>
        </w:tc>
        <w:tc>
          <w:tcPr>
            <w:tcW w:w="8187" w:type="dxa"/>
            <w:shd w:val="clear" w:color="auto" w:fill="auto"/>
          </w:tcPr>
          <w:p w:rsidR="00AB2337" w:rsidRPr="0078696C" w:rsidRDefault="00AB2337" w:rsidP="00504E58">
            <w:pPr>
              <w:pStyle w:val="Default"/>
              <w:spacing w:line="360" w:lineRule="auto"/>
              <w:jc w:val="both"/>
              <w:rPr>
                <w:sz w:val="28"/>
                <w:szCs w:val="28"/>
              </w:rPr>
            </w:pPr>
            <w:r w:rsidRPr="0078696C">
              <w:rPr>
                <w:sz w:val="28"/>
                <w:szCs w:val="28"/>
              </w:rPr>
              <w:t>Союз Радянських Соціалістичних Республік</w:t>
            </w:r>
          </w:p>
          <w:p w:rsidR="002F01DC" w:rsidRPr="0078696C" w:rsidRDefault="002F01DC" w:rsidP="00504E58">
            <w:pPr>
              <w:pStyle w:val="Default"/>
              <w:spacing w:line="360" w:lineRule="auto"/>
              <w:jc w:val="both"/>
              <w:rPr>
                <w:sz w:val="28"/>
                <w:szCs w:val="28"/>
              </w:rPr>
            </w:pPr>
            <w:r w:rsidRPr="0078696C">
              <w:rPr>
                <w:sz w:val="28"/>
                <w:szCs w:val="28"/>
              </w:rPr>
              <w:t>Українська Радянська Соціалістична Республіка</w:t>
            </w:r>
          </w:p>
          <w:p w:rsidR="002F01DC" w:rsidRPr="0078696C" w:rsidRDefault="002F01DC" w:rsidP="00504E58">
            <w:pPr>
              <w:pStyle w:val="Default"/>
              <w:spacing w:line="360" w:lineRule="auto"/>
              <w:jc w:val="both"/>
              <w:rPr>
                <w:sz w:val="28"/>
                <w:szCs w:val="28"/>
              </w:rPr>
            </w:pPr>
            <w:r w:rsidRPr="0078696C">
              <w:rPr>
                <w:sz w:val="28"/>
                <w:szCs w:val="28"/>
              </w:rPr>
              <w:t>Чорнобильська атомна електростанція</w:t>
            </w:r>
          </w:p>
          <w:p w:rsidR="002F01DC" w:rsidRPr="0078696C" w:rsidRDefault="002F01DC" w:rsidP="00504E58">
            <w:pPr>
              <w:pStyle w:val="Default"/>
              <w:spacing w:line="360" w:lineRule="auto"/>
              <w:jc w:val="both"/>
              <w:rPr>
                <w:sz w:val="28"/>
                <w:szCs w:val="28"/>
              </w:rPr>
            </w:pPr>
            <w:r w:rsidRPr="0078696C">
              <w:rPr>
                <w:sz w:val="28"/>
                <w:szCs w:val="28"/>
              </w:rPr>
              <w:t>Чорнобильська катастрофа</w:t>
            </w:r>
          </w:p>
          <w:p w:rsidR="005967D9" w:rsidRPr="0078696C" w:rsidRDefault="005967D9" w:rsidP="00504E58">
            <w:pPr>
              <w:pStyle w:val="Default"/>
              <w:spacing w:line="360" w:lineRule="auto"/>
              <w:jc w:val="both"/>
              <w:rPr>
                <w:sz w:val="28"/>
                <w:szCs w:val="28"/>
              </w:rPr>
            </w:pPr>
            <w:r w:rsidRPr="0078696C">
              <w:rPr>
                <w:sz w:val="28"/>
                <w:szCs w:val="28"/>
              </w:rPr>
              <w:t>Система поточних платежів</w:t>
            </w:r>
          </w:p>
        </w:tc>
      </w:tr>
    </w:tbl>
    <w:p w:rsidR="00AB2337" w:rsidRPr="0078696C" w:rsidRDefault="00AB2337" w:rsidP="00AB2337">
      <w:pPr>
        <w:pStyle w:val="Default"/>
        <w:spacing w:line="360" w:lineRule="auto"/>
        <w:jc w:val="center"/>
        <w:rPr>
          <w:b/>
          <w:sz w:val="28"/>
          <w:szCs w:val="28"/>
        </w:rPr>
      </w:pPr>
      <w:r w:rsidRPr="0078696C">
        <w:rPr>
          <w:b/>
          <w:sz w:val="28"/>
          <w:szCs w:val="28"/>
        </w:rPr>
        <w:br w:type="page"/>
      </w:r>
      <w:r w:rsidRPr="0078696C">
        <w:rPr>
          <w:b/>
          <w:sz w:val="28"/>
          <w:szCs w:val="28"/>
        </w:rPr>
        <w:lastRenderedPageBreak/>
        <w:t>В</w:t>
      </w:r>
      <w:r w:rsidR="00777752">
        <w:rPr>
          <w:b/>
          <w:sz w:val="28"/>
          <w:szCs w:val="28"/>
        </w:rPr>
        <w:t xml:space="preserve"> </w:t>
      </w:r>
      <w:r w:rsidRPr="0078696C">
        <w:rPr>
          <w:b/>
          <w:sz w:val="28"/>
          <w:szCs w:val="28"/>
        </w:rPr>
        <w:t>С</w:t>
      </w:r>
      <w:r w:rsidR="00777752">
        <w:rPr>
          <w:b/>
          <w:sz w:val="28"/>
          <w:szCs w:val="28"/>
        </w:rPr>
        <w:t xml:space="preserve"> </w:t>
      </w:r>
      <w:r w:rsidRPr="0078696C">
        <w:rPr>
          <w:b/>
          <w:sz w:val="28"/>
          <w:szCs w:val="28"/>
        </w:rPr>
        <w:t>Т</w:t>
      </w:r>
      <w:r w:rsidR="00777752">
        <w:rPr>
          <w:b/>
          <w:sz w:val="28"/>
          <w:szCs w:val="28"/>
        </w:rPr>
        <w:t xml:space="preserve"> </w:t>
      </w:r>
      <w:r w:rsidRPr="0078696C">
        <w:rPr>
          <w:b/>
          <w:sz w:val="28"/>
          <w:szCs w:val="28"/>
        </w:rPr>
        <w:t>У</w:t>
      </w:r>
      <w:r w:rsidR="00777752">
        <w:rPr>
          <w:b/>
          <w:sz w:val="28"/>
          <w:szCs w:val="28"/>
        </w:rPr>
        <w:t xml:space="preserve"> </w:t>
      </w:r>
      <w:r w:rsidRPr="0078696C">
        <w:rPr>
          <w:b/>
          <w:sz w:val="28"/>
          <w:szCs w:val="28"/>
        </w:rPr>
        <w:t>П</w:t>
      </w:r>
    </w:p>
    <w:p w:rsidR="00AB2337" w:rsidRPr="0078696C" w:rsidRDefault="00AB2337" w:rsidP="00AB2337">
      <w:pPr>
        <w:autoSpaceDE w:val="0"/>
        <w:autoSpaceDN w:val="0"/>
        <w:adjustRightInd w:val="0"/>
        <w:spacing w:after="0" w:line="360" w:lineRule="auto"/>
        <w:ind w:firstLine="709"/>
        <w:jc w:val="both"/>
        <w:rPr>
          <w:rFonts w:ascii="Times New Roman" w:hAnsi="Times New Roman"/>
          <w:b/>
          <w:bCs/>
          <w:color w:val="000000"/>
          <w:sz w:val="28"/>
          <w:szCs w:val="28"/>
          <w:lang w:eastAsia="uk-UA"/>
        </w:rPr>
      </w:pPr>
    </w:p>
    <w:p w:rsidR="00AB2337" w:rsidRPr="0078696C" w:rsidRDefault="00AB2337" w:rsidP="00AB2337">
      <w:pPr>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78696C">
        <w:rPr>
          <w:rFonts w:ascii="Times New Roman" w:hAnsi="Times New Roman"/>
          <w:b/>
          <w:bCs/>
          <w:color w:val="000000"/>
          <w:sz w:val="28"/>
          <w:szCs w:val="28"/>
          <w:lang w:eastAsia="uk-UA"/>
        </w:rPr>
        <w:t xml:space="preserve">Актуальність теми. </w:t>
      </w:r>
      <w:r w:rsidRPr="0078696C">
        <w:rPr>
          <w:rFonts w:ascii="Times New Roman" w:hAnsi="Times New Roman"/>
          <w:bCs/>
          <w:color w:val="000000"/>
          <w:sz w:val="28"/>
          <w:szCs w:val="28"/>
          <w:lang w:eastAsia="uk-UA"/>
        </w:rPr>
        <w:t>Наприкінці ХХ</w:t>
      </w:r>
      <w:r w:rsidR="00AA4F23">
        <w:rPr>
          <w:rFonts w:ascii="Times New Roman" w:hAnsi="Times New Roman"/>
          <w:bCs/>
          <w:color w:val="000000"/>
          <w:sz w:val="28"/>
          <w:szCs w:val="28"/>
          <w:lang w:eastAsia="uk-UA"/>
        </w:rPr>
        <w:t xml:space="preserve"> – </w:t>
      </w:r>
      <w:r w:rsidR="00CB5DBA" w:rsidRPr="0078696C">
        <w:rPr>
          <w:rFonts w:ascii="Times New Roman" w:hAnsi="Times New Roman"/>
          <w:bCs/>
          <w:color w:val="000000"/>
          <w:sz w:val="28"/>
          <w:szCs w:val="28"/>
          <w:lang w:eastAsia="uk-UA"/>
        </w:rPr>
        <w:t>на початку ХХІ</w:t>
      </w:r>
      <w:r w:rsidRPr="0078696C">
        <w:rPr>
          <w:rFonts w:ascii="Times New Roman" w:hAnsi="Times New Roman"/>
          <w:bCs/>
          <w:color w:val="000000"/>
          <w:sz w:val="28"/>
          <w:szCs w:val="28"/>
          <w:lang w:eastAsia="uk-UA"/>
        </w:rPr>
        <w:t xml:space="preserve"> століття пенсійне забезпечення населення стало основним атрибутом соціальної політики будь-якої цивілізованої держави. Завданням більшості пенсійних систем є створення умов для забезпечення гідного добробу</w:t>
      </w:r>
      <w:r w:rsidR="00504E58" w:rsidRPr="0078696C">
        <w:rPr>
          <w:rFonts w:ascii="Times New Roman" w:hAnsi="Times New Roman"/>
          <w:bCs/>
          <w:color w:val="000000"/>
          <w:sz w:val="28"/>
          <w:szCs w:val="28"/>
          <w:lang w:eastAsia="uk-UA"/>
        </w:rPr>
        <w:t>ту населення у пенсійному віці,</w:t>
      </w:r>
      <w:r w:rsidRPr="0078696C">
        <w:rPr>
          <w:rFonts w:ascii="Times New Roman" w:hAnsi="Times New Roman"/>
          <w:bCs/>
          <w:color w:val="000000"/>
          <w:sz w:val="28"/>
          <w:szCs w:val="28"/>
          <w:lang w:eastAsia="uk-UA"/>
        </w:rPr>
        <w:t xml:space="preserve"> скорочення бідності, зниження рівня споживання та формування інвестиційного ресурсу економіки, тобто забезпечення надійного соціального захисту населення. В країнах </w:t>
      </w:r>
      <w:r w:rsidR="0014734E" w:rsidRPr="0078696C">
        <w:rPr>
          <w:rFonts w:ascii="Times New Roman" w:hAnsi="Times New Roman"/>
          <w:bCs/>
          <w:color w:val="000000"/>
          <w:sz w:val="28"/>
          <w:szCs w:val="28"/>
          <w:lang w:eastAsia="uk-UA"/>
        </w:rPr>
        <w:t>Європейського Союзу</w:t>
      </w:r>
      <w:r w:rsidRPr="0078696C">
        <w:rPr>
          <w:rFonts w:ascii="Times New Roman" w:hAnsi="Times New Roman"/>
          <w:bCs/>
          <w:color w:val="000000"/>
          <w:sz w:val="28"/>
          <w:szCs w:val="28"/>
          <w:lang w:eastAsia="uk-UA"/>
        </w:rPr>
        <w:t xml:space="preserve"> пенсійне забезпечення є важливою складовою не тільки політики держави, а й її</w:t>
      </w:r>
      <w:r w:rsidR="00CB5DBA" w:rsidRPr="0078696C">
        <w:rPr>
          <w:rFonts w:ascii="Times New Roman" w:hAnsi="Times New Roman"/>
          <w:bCs/>
          <w:color w:val="000000"/>
          <w:sz w:val="28"/>
          <w:szCs w:val="28"/>
          <w:lang w:eastAsia="uk-UA"/>
        </w:rPr>
        <w:t xml:space="preserve"> економіки, витрати на яку безпосередньо</w:t>
      </w:r>
      <w:r w:rsidRPr="0078696C">
        <w:rPr>
          <w:rFonts w:ascii="Times New Roman" w:hAnsi="Times New Roman"/>
          <w:bCs/>
          <w:color w:val="000000"/>
          <w:sz w:val="28"/>
          <w:szCs w:val="28"/>
          <w:lang w:eastAsia="uk-UA"/>
        </w:rPr>
        <w:t xml:space="preserve"> залежать від </w:t>
      </w:r>
      <w:r w:rsidR="00565D24" w:rsidRPr="0078696C">
        <w:rPr>
          <w:rFonts w:ascii="Times New Roman" w:hAnsi="Times New Roman"/>
          <w:bCs/>
          <w:color w:val="000000"/>
          <w:sz w:val="28"/>
          <w:szCs w:val="28"/>
          <w:lang w:eastAsia="uk-UA"/>
        </w:rPr>
        <w:t>валового внутрішнього продукту.</w:t>
      </w:r>
    </w:p>
    <w:p w:rsidR="00AB2337" w:rsidRPr="0078696C" w:rsidRDefault="00AB2337" w:rsidP="00AB2337">
      <w:pPr>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78696C">
        <w:rPr>
          <w:rFonts w:ascii="Times New Roman" w:hAnsi="Times New Roman"/>
          <w:bCs/>
          <w:color w:val="000000"/>
          <w:sz w:val="28"/>
          <w:szCs w:val="28"/>
          <w:lang w:eastAsia="uk-UA"/>
        </w:rPr>
        <w:t>Найбільш розвинуті та адаптовані до викликів сучасності пенсійні систе</w:t>
      </w:r>
      <w:r w:rsidR="000367FE" w:rsidRPr="0078696C">
        <w:rPr>
          <w:rFonts w:ascii="Times New Roman" w:hAnsi="Times New Roman"/>
          <w:bCs/>
          <w:color w:val="000000"/>
          <w:sz w:val="28"/>
          <w:szCs w:val="28"/>
          <w:lang w:eastAsia="uk-UA"/>
        </w:rPr>
        <w:t xml:space="preserve">ми </w:t>
      </w:r>
      <w:r w:rsidR="0014734E" w:rsidRPr="0078696C">
        <w:rPr>
          <w:rFonts w:ascii="Times New Roman" w:hAnsi="Times New Roman"/>
          <w:bCs/>
          <w:color w:val="000000"/>
          <w:sz w:val="28"/>
          <w:szCs w:val="28"/>
          <w:lang w:eastAsia="uk-UA"/>
        </w:rPr>
        <w:t>мають країни ЄС</w:t>
      </w:r>
      <w:r w:rsidRPr="0078696C">
        <w:rPr>
          <w:rFonts w:ascii="Times New Roman" w:hAnsi="Times New Roman"/>
          <w:bCs/>
          <w:color w:val="000000"/>
          <w:sz w:val="28"/>
          <w:szCs w:val="28"/>
          <w:lang w:eastAsia="uk-UA"/>
        </w:rPr>
        <w:t>. У більшості цих країн процес трансформації пенсійних систем, адаптації її до нових соціально-економічних та демографічних реалій відбувається при усталеній системі цінност</w:t>
      </w:r>
      <w:r w:rsidR="000367FE" w:rsidRPr="0078696C">
        <w:rPr>
          <w:rFonts w:ascii="Times New Roman" w:hAnsi="Times New Roman"/>
          <w:bCs/>
          <w:color w:val="000000"/>
          <w:sz w:val="28"/>
          <w:szCs w:val="28"/>
          <w:lang w:eastAsia="uk-UA"/>
        </w:rPr>
        <w:t xml:space="preserve">ей </w:t>
      </w:r>
      <w:r w:rsidRPr="0078696C">
        <w:rPr>
          <w:rFonts w:ascii="Times New Roman" w:hAnsi="Times New Roman"/>
          <w:bCs/>
          <w:color w:val="000000"/>
          <w:sz w:val="28"/>
          <w:szCs w:val="28"/>
          <w:lang w:eastAsia="uk-UA"/>
        </w:rPr>
        <w:t>суспільства та індивіда, самодостатній матеріальній основі. В Україні соціально-економічні перетворювання відбуваються в кризових умовах, в умовах руйнування звичної розподільчої системи пенсійного забезпечення, зниження рівня доходів населення, недостатності бюджетних засобів на пенсійне забезпечення населення.</w:t>
      </w:r>
    </w:p>
    <w:p w:rsidR="00FC1256" w:rsidRPr="0078696C" w:rsidRDefault="00AB2337" w:rsidP="00FC1256">
      <w:pPr>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78696C">
        <w:rPr>
          <w:rFonts w:ascii="Times New Roman" w:hAnsi="Times New Roman"/>
          <w:bCs/>
          <w:color w:val="000000"/>
          <w:sz w:val="28"/>
          <w:szCs w:val="28"/>
          <w:lang w:eastAsia="uk-UA"/>
        </w:rPr>
        <w:t xml:space="preserve">Важливою умовою реформування системи пенсійного </w:t>
      </w:r>
      <w:r w:rsidR="00FB1210" w:rsidRPr="0078696C">
        <w:rPr>
          <w:rFonts w:ascii="Times New Roman" w:hAnsi="Times New Roman"/>
          <w:bCs/>
          <w:color w:val="000000"/>
          <w:sz w:val="28"/>
          <w:szCs w:val="28"/>
          <w:lang w:eastAsia="uk-UA"/>
        </w:rPr>
        <w:t>забезпечення</w:t>
      </w:r>
      <w:r w:rsidRPr="0078696C">
        <w:rPr>
          <w:rFonts w:ascii="Times New Roman" w:hAnsi="Times New Roman"/>
          <w:bCs/>
          <w:color w:val="000000"/>
          <w:sz w:val="28"/>
          <w:szCs w:val="28"/>
          <w:lang w:eastAsia="uk-UA"/>
        </w:rPr>
        <w:t xml:space="preserve"> в Україні зараз може стати саме зарубіжний досвід організації систем додаткового пенсійного забезпечення, коли формується декілька джерел отримання доходу після виходу на пенсію. Існування такого додаткового пенсійного доходу у різних формах в країнах ЄС свідчить про ефективність підходу, коли фінансовий тягар забезпечення соціального захисту в країні розподіляється між державою, працівником і роботодавцем. Додаткові системи пенсійного страхування використовують, в основному, накопичувальний принцип як основу фінансування і можуть бути реалізовані в різних видах: як у вигляді пенсійних програм державного пенсійного забезпечення, так і у вигляді </w:t>
      </w:r>
      <w:r w:rsidRPr="0078696C">
        <w:rPr>
          <w:rFonts w:ascii="Times New Roman" w:hAnsi="Times New Roman"/>
          <w:bCs/>
          <w:color w:val="000000"/>
          <w:sz w:val="28"/>
          <w:szCs w:val="28"/>
          <w:lang w:eastAsia="uk-UA"/>
        </w:rPr>
        <w:lastRenderedPageBreak/>
        <w:t xml:space="preserve">професійно-галузевих схем пенсійного страхування. Основною перевагою функціонування багатокомпонентної пенсійної системи є можливість чіткого співвідношення розмірів і термінів виплат внесків з розмірами майбутніх </w:t>
      </w:r>
      <w:r w:rsidR="000367FE" w:rsidRPr="0078696C">
        <w:rPr>
          <w:rFonts w:ascii="Times New Roman" w:hAnsi="Times New Roman"/>
          <w:bCs/>
          <w:color w:val="000000"/>
          <w:sz w:val="28"/>
          <w:szCs w:val="28"/>
          <w:lang w:eastAsia="uk-UA"/>
        </w:rPr>
        <w:t>пенсій</w:t>
      </w:r>
      <w:r w:rsidRPr="0078696C">
        <w:rPr>
          <w:rFonts w:ascii="Times New Roman" w:hAnsi="Times New Roman"/>
          <w:bCs/>
          <w:color w:val="000000"/>
          <w:sz w:val="28"/>
          <w:szCs w:val="28"/>
          <w:lang w:eastAsia="uk-UA"/>
        </w:rPr>
        <w:t>, а також можливістю застрахованої особи особисто здійснювати контроль за збереженням коштів на індивідуальних накопичувальних рахунках. Це дасть можливість оптимізувати фінансові потоки, пов'язані з соціальним захистом непрацездатного населення і, у перспективі, вирішити проблеми макроекономічного характеру.</w:t>
      </w:r>
    </w:p>
    <w:p w:rsidR="00FC1256" w:rsidRPr="0078696C" w:rsidRDefault="00FC1256" w:rsidP="00FC1256">
      <w:pPr>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78696C">
        <w:rPr>
          <w:rFonts w:ascii="Times New Roman" w:hAnsi="Times New Roman"/>
          <w:bCs/>
          <w:color w:val="000000"/>
          <w:sz w:val="28"/>
          <w:szCs w:val="28"/>
        </w:rPr>
        <w:t xml:space="preserve">Дисертаційне дослідження ґрунтується на теоретико-методологічних підходах провідних науковців у сфері державного управління: В. Бакуменка, </w:t>
      </w:r>
      <w:r w:rsidRPr="0078696C">
        <w:rPr>
          <w:rFonts w:ascii="Times New Roman" w:hAnsi="Times New Roman"/>
          <w:bCs/>
          <w:color w:val="000000"/>
          <w:sz w:val="28"/>
          <w:szCs w:val="28"/>
        </w:rPr>
        <w:br/>
        <w:t xml:space="preserve">Т. Безверхнюк, Т. Бутирської, К. Ващенка, Д. Дзвінчука, Ю. Ковбасюка, </w:t>
      </w:r>
      <w:r w:rsidRPr="0078696C">
        <w:rPr>
          <w:rFonts w:ascii="Times New Roman" w:hAnsi="Times New Roman"/>
          <w:bCs/>
          <w:color w:val="000000"/>
          <w:sz w:val="28"/>
          <w:szCs w:val="28"/>
        </w:rPr>
        <w:br/>
        <w:t xml:space="preserve">С. Кравченка, І. Лопушинського, В. Малімона, О. Молодцова, </w:t>
      </w:r>
      <w:r w:rsidRPr="0078696C">
        <w:rPr>
          <w:rFonts w:ascii="Times New Roman" w:hAnsi="Times New Roman"/>
          <w:bCs/>
          <w:color w:val="000000"/>
          <w:sz w:val="28"/>
          <w:szCs w:val="28"/>
        </w:rPr>
        <w:br/>
        <w:t>П. Надолішнього, О. Радченка, С. Серьогіна, О. Шаптали та ін.</w:t>
      </w:r>
    </w:p>
    <w:p w:rsidR="00FC1256" w:rsidRPr="0078696C" w:rsidRDefault="00FC1256" w:rsidP="00FC1256">
      <w:pPr>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78696C">
        <w:rPr>
          <w:rFonts w:ascii="Times New Roman" w:hAnsi="Times New Roman"/>
          <w:bCs/>
          <w:color w:val="000000"/>
          <w:sz w:val="28"/>
          <w:szCs w:val="28"/>
        </w:rPr>
        <w:t xml:space="preserve">Вагомий внесок у дослідження основних засад та механізмів державного управління сферою соціального захисту та пенсійного забезпечення здійснили такі українські науковці як: В. Бульба, О. Буряченко, В. Верещак, </w:t>
      </w:r>
      <w:r w:rsidRPr="0078696C">
        <w:rPr>
          <w:rFonts w:ascii="Times New Roman" w:hAnsi="Times New Roman"/>
          <w:bCs/>
          <w:color w:val="000000"/>
          <w:sz w:val="28"/>
          <w:szCs w:val="28"/>
        </w:rPr>
        <w:br/>
        <w:t xml:space="preserve">М. Кравченко, О. Линдюк, Н. Луговенко, О. Макаренко, Н. Мартиненко, </w:t>
      </w:r>
      <w:r w:rsidRPr="0078696C">
        <w:rPr>
          <w:rFonts w:ascii="Times New Roman" w:hAnsi="Times New Roman"/>
          <w:bCs/>
          <w:color w:val="000000"/>
          <w:sz w:val="28"/>
          <w:szCs w:val="28"/>
        </w:rPr>
        <w:br/>
        <w:t xml:space="preserve">Г. Нагорна, В. Скуратівський, В. Толуб’як та інші. Питанням становлення, розвитку, реформування та функціонування вітчизняної пенсійної системи присвячені наукові праці таких учених, як: Б. Зайчук, Т. Дідковська, </w:t>
      </w:r>
      <w:r w:rsidRPr="0078696C">
        <w:rPr>
          <w:rFonts w:ascii="Times New Roman" w:hAnsi="Times New Roman"/>
          <w:bCs/>
          <w:color w:val="000000"/>
          <w:sz w:val="28"/>
          <w:szCs w:val="28"/>
        </w:rPr>
        <w:br/>
        <w:t xml:space="preserve">О. Зарудний, Є. Калюга, О. Коваль, Т. Кравчук, Е. Лібанова, М. Мальований, </w:t>
      </w:r>
      <w:r w:rsidR="00C46BBA" w:rsidRPr="0078696C">
        <w:rPr>
          <w:rFonts w:ascii="Times New Roman" w:hAnsi="Times New Roman"/>
          <w:bCs/>
          <w:color w:val="000000"/>
          <w:sz w:val="28"/>
          <w:szCs w:val="28"/>
        </w:rPr>
        <w:br/>
        <w:t xml:space="preserve">С. Мельніков, </w:t>
      </w:r>
      <w:r w:rsidRPr="0078696C">
        <w:rPr>
          <w:rFonts w:ascii="Times New Roman" w:hAnsi="Times New Roman"/>
          <w:bCs/>
          <w:color w:val="000000"/>
          <w:sz w:val="28"/>
          <w:szCs w:val="28"/>
        </w:rPr>
        <w:t>О. Міндова, Б. Надточій, В. Оверчук, О. Пе</w:t>
      </w:r>
      <w:r w:rsidR="00C46BBA" w:rsidRPr="0078696C">
        <w:rPr>
          <w:rFonts w:ascii="Times New Roman" w:hAnsi="Times New Roman"/>
          <w:bCs/>
          <w:color w:val="000000"/>
          <w:sz w:val="28"/>
          <w:szCs w:val="28"/>
        </w:rPr>
        <w:t xml:space="preserve">трушка, С. Прилипко, М. Ріппа, </w:t>
      </w:r>
      <w:r w:rsidRPr="0078696C">
        <w:rPr>
          <w:rFonts w:ascii="Times New Roman" w:hAnsi="Times New Roman"/>
          <w:bCs/>
          <w:color w:val="000000"/>
          <w:sz w:val="28"/>
          <w:szCs w:val="28"/>
        </w:rPr>
        <w:t xml:space="preserve">О. Руденок, </w:t>
      </w:r>
      <w:r w:rsidR="00495113" w:rsidRPr="0078696C">
        <w:rPr>
          <w:rFonts w:ascii="Times New Roman" w:hAnsi="Times New Roman"/>
          <w:bCs/>
          <w:color w:val="000000"/>
          <w:sz w:val="28"/>
          <w:szCs w:val="28"/>
        </w:rPr>
        <w:t xml:space="preserve">Ю. Сокоринський, </w:t>
      </w:r>
      <w:r w:rsidRPr="0078696C">
        <w:rPr>
          <w:rFonts w:ascii="Times New Roman" w:hAnsi="Times New Roman"/>
          <w:bCs/>
          <w:color w:val="000000"/>
          <w:sz w:val="28"/>
          <w:szCs w:val="28"/>
        </w:rPr>
        <w:t>О. Соломка, Б. Сташків, Л. С</w:t>
      </w:r>
      <w:r w:rsidR="00C46BBA" w:rsidRPr="0078696C">
        <w:rPr>
          <w:rFonts w:ascii="Times New Roman" w:hAnsi="Times New Roman"/>
          <w:bCs/>
          <w:color w:val="000000"/>
          <w:sz w:val="28"/>
          <w:szCs w:val="28"/>
        </w:rPr>
        <w:t xml:space="preserve">тожок, </w:t>
      </w:r>
      <w:r w:rsidR="00495113" w:rsidRPr="0078696C">
        <w:rPr>
          <w:rFonts w:ascii="Times New Roman" w:hAnsi="Times New Roman"/>
          <w:bCs/>
          <w:color w:val="000000"/>
          <w:sz w:val="28"/>
          <w:szCs w:val="28"/>
        </w:rPr>
        <w:br/>
        <w:t xml:space="preserve">С. Теслюк, </w:t>
      </w:r>
      <w:r w:rsidR="00C46BBA" w:rsidRPr="0078696C">
        <w:rPr>
          <w:rFonts w:ascii="Times New Roman" w:hAnsi="Times New Roman"/>
          <w:bCs/>
          <w:color w:val="000000"/>
          <w:sz w:val="28"/>
          <w:szCs w:val="28"/>
        </w:rPr>
        <w:t xml:space="preserve">К. Черненок, </w:t>
      </w:r>
      <w:r w:rsidRPr="0078696C">
        <w:rPr>
          <w:rFonts w:ascii="Times New Roman" w:hAnsi="Times New Roman"/>
          <w:bCs/>
          <w:color w:val="000000"/>
          <w:sz w:val="28"/>
          <w:szCs w:val="28"/>
        </w:rPr>
        <w:t>О. Чернявська, М. Шумило та інші.</w:t>
      </w:r>
    </w:p>
    <w:p w:rsidR="00AB2337" w:rsidRPr="0078696C" w:rsidRDefault="00214CD0"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Проте, не</w:t>
      </w:r>
      <w:r w:rsidR="00AB2337" w:rsidRPr="0078696C">
        <w:rPr>
          <w:rFonts w:ascii="Times New Roman" w:hAnsi="Times New Roman"/>
          <w:color w:val="000000"/>
          <w:sz w:val="28"/>
          <w:szCs w:val="28"/>
          <w:lang w:eastAsia="uk-UA"/>
        </w:rPr>
        <w:t>зважаючи на велику кількість наукових праць, слід зауважити, що проблеми розвитку пенсійної системи на сьогодні до кінця не вирішені, потребують поглибленого усестороннього вивчення та обґрунтування концептуальних підходів до реформування саме в контексті здійснюваних інституціональних трансформацій, з урахуванням досвіду європейських країн та національних особливостей.</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lastRenderedPageBreak/>
        <w:t>Зв’язок роботи з науковими програмами, планами, темами</w:t>
      </w:r>
      <w:r w:rsidRPr="0078696C">
        <w:rPr>
          <w:rFonts w:ascii="Times New Roman" w:hAnsi="Times New Roman"/>
          <w:color w:val="000000"/>
          <w:sz w:val="28"/>
          <w:szCs w:val="28"/>
          <w:lang w:eastAsia="uk-UA"/>
        </w:rPr>
        <w:t xml:space="preserve">. Дисертаційне дослідження виконане в рамках науково-дослідної роботи кафедри публічного управління та адміністрування Івано-Франківського національного технічного університету нафти і газу «Публічне врядування в Україні в умовах європейської інтеграції» (номер державної реєстрації 0118U005403), де автором проаналізовано особливості державного управління процесами </w:t>
      </w:r>
      <w:r w:rsidR="00BD031D" w:rsidRPr="0078696C">
        <w:rPr>
          <w:rFonts w:ascii="Times New Roman" w:hAnsi="Times New Roman"/>
          <w:color w:val="000000"/>
          <w:sz w:val="28"/>
          <w:szCs w:val="28"/>
          <w:lang w:eastAsia="uk-UA"/>
        </w:rPr>
        <w:t>реформування</w:t>
      </w:r>
      <w:r w:rsidRPr="0078696C">
        <w:rPr>
          <w:rFonts w:ascii="Times New Roman" w:hAnsi="Times New Roman"/>
          <w:color w:val="000000"/>
          <w:sz w:val="28"/>
          <w:szCs w:val="28"/>
          <w:lang w:eastAsia="uk-UA"/>
        </w:rPr>
        <w:t xml:space="preserve"> системи пенсійного забезпечення України </w:t>
      </w:r>
      <w:r w:rsidR="00BD031D" w:rsidRPr="0078696C">
        <w:rPr>
          <w:rFonts w:ascii="Times New Roman" w:hAnsi="Times New Roman"/>
          <w:color w:val="000000"/>
          <w:sz w:val="28"/>
          <w:szCs w:val="28"/>
          <w:lang w:eastAsia="uk-UA"/>
        </w:rPr>
        <w:t>в контексті євроінтеграції</w:t>
      </w:r>
      <w:r w:rsidRPr="0078696C">
        <w:rPr>
          <w:rFonts w:ascii="Times New Roman" w:hAnsi="Times New Roman"/>
          <w:color w:val="000000"/>
          <w:sz w:val="28"/>
          <w:szCs w:val="28"/>
          <w:lang w:eastAsia="uk-UA"/>
        </w:rPr>
        <w:t>.</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Мета і завдання дослідження. </w:t>
      </w:r>
      <w:r w:rsidRPr="0078696C">
        <w:rPr>
          <w:rFonts w:ascii="Times New Roman" w:hAnsi="Times New Roman"/>
          <w:i/>
          <w:iCs/>
          <w:color w:val="000000"/>
          <w:sz w:val="28"/>
          <w:szCs w:val="28"/>
          <w:lang w:eastAsia="uk-UA"/>
        </w:rPr>
        <w:t xml:space="preserve">Метою </w:t>
      </w:r>
      <w:r w:rsidRPr="0078696C">
        <w:rPr>
          <w:rFonts w:ascii="Times New Roman" w:hAnsi="Times New Roman"/>
          <w:color w:val="000000"/>
          <w:sz w:val="28"/>
          <w:szCs w:val="28"/>
          <w:lang w:eastAsia="uk-UA"/>
        </w:rPr>
        <w:t xml:space="preserve">дослідження є обґрунтування науково-прикладних рекомендацій до реформування національної системи пенсійного забезпечення в контексті </w:t>
      </w:r>
      <w:r w:rsidR="00637894" w:rsidRPr="0078696C">
        <w:rPr>
          <w:rFonts w:ascii="Times New Roman" w:hAnsi="Times New Roman"/>
          <w:color w:val="000000"/>
          <w:sz w:val="28"/>
          <w:szCs w:val="28"/>
          <w:lang w:eastAsia="uk-UA"/>
        </w:rPr>
        <w:t>євроінтеграції</w:t>
      </w:r>
      <w:r w:rsidRPr="0078696C">
        <w:rPr>
          <w:rFonts w:ascii="Times New Roman" w:hAnsi="Times New Roman"/>
          <w:color w:val="000000"/>
          <w:sz w:val="28"/>
          <w:szCs w:val="28"/>
          <w:lang w:eastAsia="uk-UA"/>
        </w:rPr>
        <w:t>.</w:t>
      </w:r>
    </w:p>
    <w:p w:rsidR="009668B6" w:rsidRPr="0078696C" w:rsidRDefault="00AB2337"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Мета дослідження зумовила необхідність постановки наступних </w:t>
      </w:r>
      <w:r w:rsidRPr="0078696C">
        <w:rPr>
          <w:rFonts w:ascii="Times New Roman" w:hAnsi="Times New Roman"/>
          <w:i/>
          <w:iCs/>
          <w:color w:val="000000"/>
          <w:sz w:val="28"/>
          <w:szCs w:val="28"/>
          <w:lang w:eastAsia="uk-UA"/>
        </w:rPr>
        <w:t>завдань</w:t>
      </w:r>
      <w:r w:rsidRPr="0078696C">
        <w:rPr>
          <w:rFonts w:ascii="Times New Roman" w:hAnsi="Times New Roman"/>
          <w:color w:val="000000"/>
          <w:sz w:val="28"/>
          <w:szCs w:val="28"/>
          <w:lang w:eastAsia="uk-UA"/>
        </w:rPr>
        <w:t>:</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6B172B" w:rsidRPr="0078696C">
        <w:rPr>
          <w:rFonts w:ascii="Times New Roman" w:hAnsi="Times New Roman"/>
          <w:iCs/>
          <w:color w:val="000000"/>
          <w:sz w:val="28"/>
          <w:szCs w:val="28"/>
          <w:lang w:eastAsia="uk-UA"/>
        </w:rPr>
        <w:t>визначити і поглибити понятійно-категоріальний апарат сутності поняття «пенсійн</w:t>
      </w:r>
      <w:r w:rsidR="00AA4F23">
        <w:rPr>
          <w:rFonts w:ascii="Times New Roman" w:hAnsi="Times New Roman"/>
          <w:iCs/>
          <w:color w:val="000000"/>
          <w:sz w:val="28"/>
          <w:szCs w:val="28"/>
          <w:lang w:eastAsia="uk-UA"/>
        </w:rPr>
        <w:t>е</w:t>
      </w:r>
      <w:r w:rsidR="006B172B" w:rsidRPr="0078696C">
        <w:rPr>
          <w:rFonts w:ascii="Times New Roman" w:hAnsi="Times New Roman"/>
          <w:iCs/>
          <w:color w:val="000000"/>
          <w:sz w:val="28"/>
          <w:szCs w:val="28"/>
          <w:lang w:eastAsia="uk-UA"/>
        </w:rPr>
        <w:t xml:space="preserve"> забезпечення»</w:t>
      </w:r>
      <w:r w:rsidR="00CE2205" w:rsidRPr="0078696C">
        <w:rPr>
          <w:rFonts w:ascii="Times New Roman" w:hAnsi="Times New Roman"/>
          <w:iCs/>
          <w:color w:val="000000"/>
          <w:sz w:val="28"/>
          <w:szCs w:val="28"/>
          <w:lang w:eastAsia="uk-UA"/>
        </w:rPr>
        <w:t xml:space="preserve">, його основних </w:t>
      </w:r>
      <w:r w:rsidR="000367FE" w:rsidRPr="0078696C">
        <w:rPr>
          <w:rFonts w:ascii="Times New Roman" w:hAnsi="Times New Roman"/>
          <w:iCs/>
          <w:color w:val="000000"/>
          <w:sz w:val="28"/>
          <w:szCs w:val="28"/>
          <w:lang w:eastAsia="uk-UA"/>
        </w:rPr>
        <w:t xml:space="preserve">функцій, </w:t>
      </w:r>
      <w:r w:rsidR="00CE2205" w:rsidRPr="0078696C">
        <w:rPr>
          <w:rFonts w:ascii="Times New Roman" w:hAnsi="Times New Roman"/>
          <w:iCs/>
          <w:color w:val="000000"/>
          <w:sz w:val="28"/>
          <w:szCs w:val="28"/>
          <w:lang w:eastAsia="uk-UA"/>
        </w:rPr>
        <w:t xml:space="preserve">джерел, </w:t>
      </w:r>
      <w:r w:rsidR="006B172B" w:rsidRPr="0078696C">
        <w:rPr>
          <w:rFonts w:ascii="Times New Roman" w:hAnsi="Times New Roman"/>
          <w:iCs/>
          <w:color w:val="000000"/>
          <w:sz w:val="28"/>
          <w:szCs w:val="28"/>
          <w:lang w:eastAsia="uk-UA"/>
        </w:rPr>
        <w:t>в науковому дискурсі державного управління;</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504E58" w:rsidRPr="0078696C">
        <w:rPr>
          <w:rFonts w:ascii="Times New Roman" w:hAnsi="Times New Roman"/>
          <w:color w:val="000000"/>
          <w:sz w:val="28"/>
          <w:szCs w:val="28"/>
          <w:lang w:eastAsia="uk-UA"/>
        </w:rPr>
        <w:t>здійснити</w:t>
      </w:r>
      <w:r w:rsidR="00AB2337" w:rsidRPr="0078696C">
        <w:rPr>
          <w:rFonts w:ascii="Times New Roman" w:hAnsi="Times New Roman"/>
          <w:color w:val="000000"/>
          <w:sz w:val="28"/>
          <w:szCs w:val="28"/>
          <w:lang w:eastAsia="uk-UA"/>
        </w:rPr>
        <w:t xml:space="preserve"> ретроспективний аналіз </w:t>
      </w:r>
      <w:r w:rsidR="00504E58" w:rsidRPr="0078696C">
        <w:rPr>
          <w:rFonts w:ascii="Times New Roman" w:hAnsi="Times New Roman"/>
          <w:color w:val="000000"/>
          <w:sz w:val="28"/>
          <w:szCs w:val="28"/>
          <w:lang w:eastAsia="uk-UA"/>
        </w:rPr>
        <w:t xml:space="preserve">національних традицій та вітчизняного досвіду становлення та розвитку </w:t>
      </w:r>
      <w:r w:rsidR="00AB2337" w:rsidRPr="0078696C">
        <w:rPr>
          <w:rFonts w:ascii="Times New Roman" w:hAnsi="Times New Roman"/>
          <w:color w:val="000000"/>
          <w:sz w:val="28"/>
          <w:szCs w:val="28"/>
          <w:lang w:eastAsia="uk-UA"/>
        </w:rPr>
        <w:t>систем</w:t>
      </w:r>
      <w:r w:rsidR="00603F5F" w:rsidRPr="0078696C">
        <w:rPr>
          <w:rFonts w:ascii="Times New Roman" w:hAnsi="Times New Roman"/>
          <w:color w:val="000000"/>
          <w:sz w:val="28"/>
          <w:szCs w:val="28"/>
          <w:lang w:eastAsia="uk-UA"/>
        </w:rPr>
        <w:t>и</w:t>
      </w:r>
      <w:r w:rsidR="00AB2337" w:rsidRPr="0078696C">
        <w:rPr>
          <w:rFonts w:ascii="Times New Roman" w:hAnsi="Times New Roman"/>
          <w:color w:val="000000"/>
          <w:sz w:val="28"/>
          <w:szCs w:val="28"/>
          <w:lang w:eastAsia="uk-UA"/>
        </w:rPr>
        <w:t xml:space="preserve"> пенсійного </w:t>
      </w:r>
      <w:r w:rsidR="003730A2" w:rsidRPr="0078696C">
        <w:rPr>
          <w:rFonts w:ascii="Times New Roman" w:hAnsi="Times New Roman"/>
          <w:color w:val="000000"/>
          <w:sz w:val="28"/>
          <w:szCs w:val="28"/>
          <w:lang w:eastAsia="uk-UA"/>
        </w:rPr>
        <w:t xml:space="preserve">забезпечення </w:t>
      </w:r>
      <w:r w:rsidR="00C04ADB" w:rsidRPr="0078696C">
        <w:rPr>
          <w:rFonts w:ascii="Times New Roman" w:hAnsi="Times New Roman"/>
          <w:color w:val="000000"/>
          <w:sz w:val="28"/>
          <w:szCs w:val="28"/>
          <w:lang w:eastAsia="uk-UA"/>
        </w:rPr>
        <w:t>в Україні</w:t>
      </w:r>
      <w:r w:rsidR="00AB2337" w:rsidRPr="0078696C">
        <w:rPr>
          <w:rFonts w:ascii="Times New Roman" w:hAnsi="Times New Roman"/>
          <w:iCs/>
          <w:color w:val="000000"/>
          <w:sz w:val="28"/>
          <w:szCs w:val="28"/>
          <w:lang w:eastAsia="uk-UA"/>
        </w:rPr>
        <w:t>;</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504E58" w:rsidRPr="0078696C">
        <w:rPr>
          <w:rFonts w:ascii="Times New Roman" w:hAnsi="Times New Roman"/>
          <w:color w:val="000000"/>
          <w:sz w:val="28"/>
          <w:szCs w:val="28"/>
          <w:lang w:eastAsia="uk-UA"/>
        </w:rPr>
        <w:t xml:space="preserve">дати характеристику основних </w:t>
      </w:r>
      <w:r w:rsidR="000367FE" w:rsidRPr="0078696C">
        <w:rPr>
          <w:rFonts w:ascii="Times New Roman" w:hAnsi="Times New Roman"/>
          <w:color w:val="000000"/>
          <w:sz w:val="28"/>
          <w:szCs w:val="28"/>
          <w:lang w:eastAsia="uk-UA"/>
        </w:rPr>
        <w:t>етапів реформування</w:t>
      </w:r>
      <w:r w:rsidR="00AA4F23">
        <w:rPr>
          <w:rFonts w:ascii="Times New Roman" w:hAnsi="Times New Roman"/>
          <w:color w:val="000000"/>
          <w:sz w:val="28"/>
          <w:szCs w:val="28"/>
          <w:lang w:eastAsia="uk-UA"/>
        </w:rPr>
        <w:t xml:space="preserve"> </w:t>
      </w:r>
      <w:r w:rsidR="00C04ADB" w:rsidRPr="0078696C">
        <w:rPr>
          <w:rFonts w:ascii="Times New Roman" w:hAnsi="Times New Roman"/>
          <w:color w:val="000000"/>
          <w:sz w:val="28"/>
          <w:szCs w:val="28"/>
          <w:lang w:eastAsia="uk-UA"/>
        </w:rPr>
        <w:t xml:space="preserve">вітчизняної </w:t>
      </w:r>
      <w:r w:rsidR="00504E58" w:rsidRPr="0078696C">
        <w:rPr>
          <w:rFonts w:ascii="Times New Roman" w:hAnsi="Times New Roman"/>
          <w:color w:val="000000"/>
          <w:sz w:val="28"/>
          <w:szCs w:val="28"/>
          <w:lang w:eastAsia="uk-UA"/>
        </w:rPr>
        <w:t xml:space="preserve">пенсійної системи на прикладі аналізу нормативно-правого регулювання </w:t>
      </w:r>
      <w:r w:rsidR="00C04ADB" w:rsidRPr="0078696C">
        <w:rPr>
          <w:rFonts w:ascii="Times New Roman" w:hAnsi="Times New Roman"/>
          <w:color w:val="000000"/>
          <w:sz w:val="28"/>
          <w:szCs w:val="28"/>
          <w:lang w:eastAsia="uk-UA"/>
        </w:rPr>
        <w:t xml:space="preserve">в Україні </w:t>
      </w:r>
      <w:r w:rsidR="00504E58" w:rsidRPr="0078696C">
        <w:rPr>
          <w:rFonts w:ascii="Times New Roman" w:hAnsi="Times New Roman"/>
          <w:color w:val="000000"/>
          <w:sz w:val="28"/>
          <w:szCs w:val="28"/>
          <w:lang w:eastAsia="uk-UA"/>
        </w:rPr>
        <w:t>в період з 1991 р. по 2019 р.</w:t>
      </w:r>
      <w:r w:rsidR="00E20363" w:rsidRPr="0078696C">
        <w:rPr>
          <w:rFonts w:ascii="Times New Roman" w:hAnsi="Times New Roman"/>
          <w:color w:val="000000"/>
          <w:sz w:val="28"/>
          <w:szCs w:val="28"/>
          <w:lang w:eastAsia="uk-UA"/>
        </w:rPr>
        <w:t>;</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316001" w:rsidRPr="0078696C">
        <w:rPr>
          <w:rFonts w:ascii="Times New Roman" w:hAnsi="Times New Roman"/>
          <w:iCs/>
          <w:color w:val="000000"/>
          <w:sz w:val="28"/>
          <w:szCs w:val="28"/>
          <w:lang w:eastAsia="uk-UA"/>
        </w:rPr>
        <w:t>вияв</w:t>
      </w:r>
      <w:r w:rsidR="0009280F" w:rsidRPr="0078696C">
        <w:rPr>
          <w:rFonts w:ascii="Times New Roman" w:hAnsi="Times New Roman"/>
          <w:iCs/>
          <w:color w:val="000000"/>
          <w:sz w:val="28"/>
          <w:szCs w:val="28"/>
          <w:lang w:eastAsia="uk-UA"/>
        </w:rPr>
        <w:t>ити основні проблеми, які виникають у громадян при реалізації права на призначення пенсії, та труднощі</w:t>
      </w:r>
      <w:r w:rsidR="00316001" w:rsidRPr="0078696C">
        <w:rPr>
          <w:rFonts w:ascii="Times New Roman" w:hAnsi="Times New Roman"/>
          <w:iCs/>
          <w:color w:val="000000"/>
          <w:sz w:val="28"/>
          <w:szCs w:val="28"/>
          <w:lang w:eastAsia="uk-UA"/>
        </w:rPr>
        <w:t xml:space="preserve"> впроваджен</w:t>
      </w:r>
      <w:r w:rsidR="0009280F" w:rsidRPr="0078696C">
        <w:rPr>
          <w:rFonts w:ascii="Times New Roman" w:hAnsi="Times New Roman"/>
          <w:iCs/>
          <w:color w:val="000000"/>
          <w:sz w:val="28"/>
          <w:szCs w:val="28"/>
          <w:lang w:eastAsia="uk-UA"/>
        </w:rPr>
        <w:t>ня пенсійних реформ в Україні</w:t>
      </w:r>
      <w:r w:rsidR="00316001" w:rsidRPr="0078696C">
        <w:rPr>
          <w:rFonts w:ascii="Times New Roman" w:hAnsi="Times New Roman"/>
          <w:iCs/>
          <w:color w:val="000000"/>
          <w:sz w:val="28"/>
          <w:szCs w:val="28"/>
          <w:lang w:eastAsia="uk-UA"/>
        </w:rPr>
        <w:t>;</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AB2337" w:rsidRPr="0078696C">
        <w:rPr>
          <w:rFonts w:ascii="Times New Roman" w:hAnsi="Times New Roman"/>
          <w:color w:val="000000"/>
          <w:sz w:val="28"/>
          <w:szCs w:val="28"/>
          <w:lang w:eastAsia="uk-UA"/>
        </w:rPr>
        <w:t xml:space="preserve">узагальнити класифікації моделей пенсійних систем, </w:t>
      </w:r>
      <w:r w:rsidR="00316001" w:rsidRPr="0078696C">
        <w:rPr>
          <w:rFonts w:ascii="Times New Roman" w:hAnsi="Times New Roman"/>
          <w:color w:val="000000"/>
          <w:sz w:val="28"/>
          <w:szCs w:val="28"/>
          <w:lang w:eastAsia="uk-UA"/>
        </w:rPr>
        <w:t xml:space="preserve">виявити </w:t>
      </w:r>
      <w:r w:rsidR="00AB2337" w:rsidRPr="0078696C">
        <w:rPr>
          <w:rFonts w:ascii="Times New Roman" w:hAnsi="Times New Roman"/>
          <w:color w:val="000000"/>
          <w:sz w:val="28"/>
          <w:szCs w:val="28"/>
          <w:lang w:eastAsia="uk-UA"/>
        </w:rPr>
        <w:t>європейські тенденції розвитку пенсійного забезпечення і кращі зарубіжні практики державного управління систем</w:t>
      </w:r>
      <w:r w:rsidR="000367FE" w:rsidRPr="0078696C">
        <w:rPr>
          <w:rFonts w:ascii="Times New Roman" w:hAnsi="Times New Roman"/>
          <w:color w:val="000000"/>
          <w:sz w:val="28"/>
          <w:szCs w:val="28"/>
          <w:lang w:eastAsia="uk-UA"/>
        </w:rPr>
        <w:t>ами</w:t>
      </w:r>
      <w:r w:rsidR="00AB2337" w:rsidRPr="0078696C">
        <w:rPr>
          <w:rFonts w:ascii="Times New Roman" w:hAnsi="Times New Roman"/>
          <w:color w:val="000000"/>
          <w:sz w:val="28"/>
          <w:szCs w:val="28"/>
          <w:lang w:eastAsia="uk-UA"/>
        </w:rPr>
        <w:t xml:space="preserve"> пенсійного забезпечення;</w:t>
      </w:r>
    </w:p>
    <w:p w:rsidR="00CE2205"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AB2337" w:rsidRPr="0078696C">
        <w:rPr>
          <w:rFonts w:ascii="Times New Roman" w:hAnsi="Times New Roman"/>
          <w:iCs/>
          <w:color w:val="000000"/>
          <w:sz w:val="28"/>
          <w:szCs w:val="28"/>
          <w:lang w:eastAsia="uk-UA"/>
        </w:rPr>
        <w:t xml:space="preserve">запропонувати шляхи розвитку та реформування </w:t>
      </w:r>
      <w:r w:rsidR="00316001" w:rsidRPr="0078696C">
        <w:rPr>
          <w:rFonts w:ascii="Times New Roman" w:hAnsi="Times New Roman"/>
          <w:iCs/>
          <w:color w:val="000000"/>
          <w:sz w:val="28"/>
          <w:szCs w:val="28"/>
          <w:lang w:eastAsia="uk-UA"/>
        </w:rPr>
        <w:t xml:space="preserve">вітчизняної </w:t>
      </w:r>
      <w:r w:rsidR="00AB2337" w:rsidRPr="0078696C">
        <w:rPr>
          <w:rFonts w:ascii="Times New Roman" w:hAnsi="Times New Roman"/>
          <w:iCs/>
          <w:color w:val="000000"/>
          <w:sz w:val="28"/>
          <w:szCs w:val="28"/>
          <w:lang w:eastAsia="uk-UA"/>
        </w:rPr>
        <w:t xml:space="preserve">пенсійної системи </w:t>
      </w:r>
      <w:r w:rsidR="00830D74" w:rsidRPr="0078696C">
        <w:rPr>
          <w:rFonts w:ascii="Times New Roman" w:hAnsi="Times New Roman"/>
          <w:iCs/>
          <w:color w:val="000000"/>
          <w:sz w:val="28"/>
          <w:szCs w:val="28"/>
          <w:lang w:eastAsia="uk-UA"/>
        </w:rPr>
        <w:t>в контексті євроінтеграційної політики України</w:t>
      </w:r>
      <w:r w:rsidR="00316001" w:rsidRPr="0078696C">
        <w:rPr>
          <w:rFonts w:ascii="Times New Roman" w:hAnsi="Times New Roman"/>
          <w:iCs/>
          <w:color w:val="000000"/>
          <w:sz w:val="28"/>
          <w:szCs w:val="28"/>
          <w:lang w:eastAsia="uk-UA"/>
        </w:rPr>
        <w:t>.</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i/>
          <w:iCs/>
          <w:color w:val="000000"/>
          <w:sz w:val="28"/>
          <w:szCs w:val="28"/>
          <w:lang w:eastAsia="uk-UA"/>
        </w:rPr>
        <w:lastRenderedPageBreak/>
        <w:t xml:space="preserve">Об’єкт дослідження </w:t>
      </w:r>
      <w:r w:rsidR="00830D74" w:rsidRPr="0078696C">
        <w:rPr>
          <w:rFonts w:ascii="Times New Roman" w:hAnsi="Times New Roman"/>
          <w:iCs/>
          <w:color w:val="000000"/>
          <w:sz w:val="28"/>
          <w:szCs w:val="28"/>
          <w:lang w:eastAsia="uk-UA"/>
        </w:rPr>
        <w:t>– процес становлення та реформування системи</w:t>
      </w:r>
      <w:r w:rsidRPr="0078696C">
        <w:rPr>
          <w:rFonts w:ascii="Times New Roman" w:hAnsi="Times New Roman"/>
          <w:iCs/>
          <w:color w:val="000000"/>
          <w:sz w:val="28"/>
          <w:szCs w:val="28"/>
          <w:lang w:eastAsia="uk-UA"/>
        </w:rPr>
        <w:t xml:space="preserve"> пенсійного забезпечення України.</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i/>
          <w:iCs/>
          <w:color w:val="000000"/>
          <w:sz w:val="28"/>
          <w:szCs w:val="28"/>
          <w:lang w:eastAsia="uk-UA"/>
        </w:rPr>
        <w:t xml:space="preserve">Предмет дослідження </w:t>
      </w:r>
      <w:r w:rsidR="00830D74" w:rsidRPr="0078696C">
        <w:rPr>
          <w:rFonts w:ascii="Times New Roman" w:hAnsi="Times New Roman"/>
          <w:iCs/>
          <w:color w:val="000000"/>
          <w:sz w:val="28"/>
          <w:szCs w:val="28"/>
          <w:lang w:eastAsia="uk-UA"/>
        </w:rPr>
        <w:t>–</w:t>
      </w:r>
      <w:r w:rsidR="00181622">
        <w:rPr>
          <w:rFonts w:ascii="Times New Roman" w:hAnsi="Times New Roman"/>
          <w:iCs/>
          <w:color w:val="000000"/>
          <w:sz w:val="28"/>
          <w:szCs w:val="28"/>
          <w:lang w:eastAsia="uk-UA"/>
        </w:rPr>
        <w:t xml:space="preserve"> </w:t>
      </w:r>
      <w:r w:rsidR="00624301" w:rsidRPr="0078696C">
        <w:rPr>
          <w:rFonts w:ascii="Times New Roman" w:hAnsi="Times New Roman"/>
          <w:color w:val="000000"/>
          <w:sz w:val="28"/>
          <w:szCs w:val="28"/>
          <w:lang w:eastAsia="uk-UA"/>
        </w:rPr>
        <w:t>наукові</w:t>
      </w:r>
      <w:r w:rsidRPr="0078696C">
        <w:rPr>
          <w:rFonts w:ascii="Times New Roman" w:hAnsi="Times New Roman"/>
          <w:color w:val="000000"/>
          <w:sz w:val="28"/>
          <w:szCs w:val="28"/>
          <w:lang w:eastAsia="uk-UA"/>
        </w:rPr>
        <w:t xml:space="preserve"> та прикладні аспекти </w:t>
      </w:r>
      <w:r w:rsidR="00624301" w:rsidRPr="0078696C">
        <w:rPr>
          <w:rFonts w:ascii="Times New Roman" w:hAnsi="Times New Roman"/>
          <w:color w:val="000000"/>
          <w:sz w:val="28"/>
          <w:szCs w:val="28"/>
          <w:lang w:eastAsia="uk-UA"/>
        </w:rPr>
        <w:t xml:space="preserve">державного управління процесами </w:t>
      </w:r>
      <w:r w:rsidRPr="0078696C">
        <w:rPr>
          <w:rFonts w:ascii="Times New Roman" w:hAnsi="Times New Roman"/>
          <w:color w:val="000000"/>
          <w:sz w:val="28"/>
          <w:szCs w:val="28"/>
          <w:lang w:eastAsia="uk-UA"/>
        </w:rPr>
        <w:t xml:space="preserve">реформування національної пенсійної системи в контексті </w:t>
      </w:r>
      <w:r w:rsidR="003730A2" w:rsidRPr="0078696C">
        <w:rPr>
          <w:rFonts w:ascii="Times New Roman" w:hAnsi="Times New Roman"/>
          <w:color w:val="000000"/>
          <w:sz w:val="28"/>
          <w:szCs w:val="28"/>
          <w:lang w:eastAsia="uk-UA"/>
        </w:rPr>
        <w:t>євроінтеграції.</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Методи дослідження. </w:t>
      </w:r>
      <w:r w:rsidRPr="0078696C">
        <w:rPr>
          <w:rFonts w:ascii="Times New Roman" w:hAnsi="Times New Roman"/>
          <w:color w:val="000000"/>
          <w:sz w:val="28"/>
          <w:szCs w:val="28"/>
          <w:lang w:eastAsia="uk-UA"/>
        </w:rPr>
        <w:t xml:space="preserve">У дисертації використано сукупність спеціальних, конкретно-наукових, загальнонаукових і загальних методів, що сприяло забезпеченню концептуальної єдності дослідження: метод комплексного аналізу (для забезпечення цілісності вивчення предмета дослідження); системно-структурний та логіко-семантичний методи аналізу (для дослідження сутності понять «пенсія», «пенсійна система», «пенсійне забезпечення», «пенсійне страхування»); методи порівняння та узагальнення (у процесі формування теоретичної бази дослідження на основі аналізу зарубіжного досвіду, дослідження та оцінки показників розвитку пенсійної системи України); метод історіографічного аналізу (для узагальнення інформації з метою опрацювання історико-культурних традицій у сфері пенсійного забезпечення, оцінювання його стану та визначення напрямів подальшого розвитку); </w:t>
      </w:r>
      <w:r w:rsidR="000367FE" w:rsidRPr="0078696C">
        <w:rPr>
          <w:rFonts w:ascii="Times New Roman" w:hAnsi="Times New Roman"/>
          <w:color w:val="000000"/>
          <w:sz w:val="28"/>
          <w:szCs w:val="28"/>
          <w:lang w:eastAsia="uk-UA"/>
        </w:rPr>
        <w:t xml:space="preserve">методи статистичного і графічного аналізу (для дослідження, порівняння й оцінки </w:t>
      </w:r>
      <w:r w:rsidR="002D1FF4" w:rsidRPr="0078696C">
        <w:rPr>
          <w:rFonts w:ascii="Times New Roman" w:hAnsi="Times New Roman"/>
          <w:color w:val="000000"/>
          <w:sz w:val="28"/>
          <w:szCs w:val="28"/>
          <w:lang w:eastAsia="uk-UA"/>
        </w:rPr>
        <w:t>розмірів пенсійних виплат за роками та категоріями);</w:t>
      </w:r>
      <w:r w:rsidR="000367FE" w:rsidRPr="0078696C">
        <w:rPr>
          <w:rFonts w:ascii="Times New Roman" w:hAnsi="Times New Roman"/>
          <w:color w:val="000000"/>
          <w:sz w:val="28"/>
          <w:szCs w:val="28"/>
          <w:lang w:eastAsia="uk-UA"/>
        </w:rPr>
        <w:t xml:space="preserve">метод класифікації (для </w:t>
      </w:r>
      <w:r w:rsidR="009041AD" w:rsidRPr="0078696C">
        <w:rPr>
          <w:rFonts w:ascii="Times New Roman" w:hAnsi="Times New Roman"/>
          <w:color w:val="000000"/>
          <w:sz w:val="28"/>
          <w:szCs w:val="28"/>
          <w:lang w:eastAsia="uk-UA"/>
        </w:rPr>
        <w:t xml:space="preserve">проведення систематизації джерел пенсійного забезпечення, видів пенсій, моделей пенсійних систем); </w:t>
      </w:r>
      <w:r w:rsidRPr="0078696C">
        <w:rPr>
          <w:rFonts w:ascii="Times New Roman" w:hAnsi="Times New Roman"/>
          <w:color w:val="000000"/>
          <w:sz w:val="28"/>
          <w:szCs w:val="28"/>
          <w:lang w:eastAsia="uk-UA"/>
        </w:rPr>
        <w:t xml:space="preserve">метод абстрактно-логічного аналізу (для узагальнення результатів дослідження та вироблення рекомендацій щодо </w:t>
      </w:r>
      <w:r w:rsidR="000367FE" w:rsidRPr="0078696C">
        <w:rPr>
          <w:rFonts w:ascii="Times New Roman" w:hAnsi="Times New Roman"/>
          <w:color w:val="000000"/>
          <w:sz w:val="28"/>
          <w:szCs w:val="28"/>
          <w:lang w:eastAsia="uk-UA"/>
        </w:rPr>
        <w:t>реформування</w:t>
      </w:r>
      <w:r w:rsidRPr="0078696C">
        <w:rPr>
          <w:rFonts w:ascii="Times New Roman" w:hAnsi="Times New Roman"/>
          <w:color w:val="000000"/>
          <w:sz w:val="28"/>
          <w:szCs w:val="28"/>
          <w:lang w:eastAsia="uk-UA"/>
        </w:rPr>
        <w:t xml:space="preserve"> пенсійної системи України).</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Інформаційну основу дослідження становлять Конституція України, чинні нормативно-правові акти, що регламентують функціонування пенсійної системи; звітні дані й аналітичні матеріали Пенсійного фонду України, матеріали Державної служби статистики України, наукові праці зарубіжних і вітчизняних вчених із проблем державного пенсійного забезпечення.</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Наукова новизна проведеного дослідження. </w:t>
      </w:r>
      <w:r w:rsidRPr="0078696C">
        <w:rPr>
          <w:rFonts w:ascii="Times New Roman" w:hAnsi="Times New Roman"/>
          <w:color w:val="000000"/>
          <w:sz w:val="28"/>
          <w:szCs w:val="28"/>
          <w:lang w:eastAsia="uk-UA"/>
        </w:rPr>
        <w:t xml:space="preserve">Дисертаційна робота є комплексним дослідженням, що полягає в </w:t>
      </w:r>
      <w:r w:rsidR="00D72FC2" w:rsidRPr="0078696C">
        <w:rPr>
          <w:rFonts w:ascii="Times New Roman" w:hAnsi="Times New Roman"/>
          <w:color w:val="000000"/>
          <w:sz w:val="28"/>
          <w:szCs w:val="28"/>
          <w:lang w:eastAsia="uk-UA"/>
        </w:rPr>
        <w:t xml:space="preserve">обґрунтуванні науково-прикладних </w:t>
      </w:r>
      <w:r w:rsidR="00D72FC2" w:rsidRPr="0078696C">
        <w:rPr>
          <w:rFonts w:ascii="Times New Roman" w:hAnsi="Times New Roman"/>
          <w:color w:val="000000"/>
          <w:sz w:val="28"/>
          <w:szCs w:val="28"/>
          <w:lang w:eastAsia="uk-UA"/>
        </w:rPr>
        <w:lastRenderedPageBreak/>
        <w:t xml:space="preserve">рекомендацій до реформування національної системи пенсійного забезпечення в контексті </w:t>
      </w:r>
      <w:r w:rsidR="00526A13" w:rsidRPr="0078696C">
        <w:rPr>
          <w:rFonts w:ascii="Times New Roman" w:hAnsi="Times New Roman"/>
          <w:color w:val="000000"/>
          <w:sz w:val="28"/>
          <w:szCs w:val="28"/>
          <w:lang w:eastAsia="uk-UA"/>
        </w:rPr>
        <w:t>євроінтеграції</w:t>
      </w:r>
      <w:r w:rsidR="00D72FC2" w:rsidRPr="0078696C">
        <w:rPr>
          <w:rFonts w:ascii="Times New Roman" w:hAnsi="Times New Roman"/>
          <w:color w:val="000000"/>
          <w:sz w:val="28"/>
          <w:szCs w:val="28"/>
          <w:lang w:eastAsia="uk-UA"/>
        </w:rPr>
        <w:t>.</w:t>
      </w:r>
      <w:r w:rsidRPr="0078696C">
        <w:rPr>
          <w:rFonts w:ascii="Times New Roman" w:hAnsi="Times New Roman"/>
          <w:color w:val="000000"/>
          <w:sz w:val="28"/>
          <w:szCs w:val="28"/>
          <w:lang w:eastAsia="uk-UA"/>
        </w:rPr>
        <w:t xml:space="preserve"> В результаті проведеного дослідження:</w:t>
      </w:r>
    </w:p>
    <w:p w:rsidR="009668B6" w:rsidRPr="0078696C" w:rsidRDefault="00AB2337" w:rsidP="009668B6">
      <w:pPr>
        <w:pStyle w:val="a3"/>
        <w:autoSpaceDE w:val="0"/>
        <w:autoSpaceDN w:val="0"/>
        <w:adjustRightInd w:val="0"/>
        <w:spacing w:after="0" w:line="360" w:lineRule="auto"/>
        <w:ind w:left="0" w:firstLine="709"/>
        <w:jc w:val="both"/>
        <w:rPr>
          <w:rFonts w:ascii="Times New Roman" w:hAnsi="Times New Roman"/>
          <w:i/>
          <w:color w:val="000000"/>
          <w:sz w:val="28"/>
          <w:szCs w:val="28"/>
          <w:lang w:val="uk-UA" w:eastAsia="uk-UA"/>
        </w:rPr>
      </w:pPr>
      <w:r w:rsidRPr="0078696C">
        <w:rPr>
          <w:rFonts w:ascii="Times New Roman" w:hAnsi="Times New Roman"/>
          <w:i/>
          <w:color w:val="000000"/>
          <w:sz w:val="28"/>
          <w:szCs w:val="28"/>
          <w:lang w:val="uk-UA" w:eastAsia="uk-UA"/>
        </w:rPr>
        <w:t>вперше:</w:t>
      </w:r>
    </w:p>
    <w:p w:rsidR="00821856" w:rsidRPr="0078696C" w:rsidRDefault="00494662" w:rsidP="009668B6">
      <w:pPr>
        <w:pStyle w:val="a3"/>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 xml:space="preserve">– </w:t>
      </w:r>
      <w:r w:rsidR="008052F8" w:rsidRPr="0078696C">
        <w:rPr>
          <w:rFonts w:ascii="Times New Roman" w:hAnsi="Times New Roman"/>
          <w:color w:val="000000"/>
          <w:sz w:val="28"/>
          <w:szCs w:val="28"/>
          <w:lang w:val="uk-UA" w:eastAsia="uk-UA"/>
        </w:rPr>
        <w:t>розроблено пропозиції щодо</w:t>
      </w:r>
      <w:r w:rsidRPr="0078696C">
        <w:rPr>
          <w:rFonts w:ascii="Times New Roman" w:hAnsi="Times New Roman"/>
          <w:color w:val="000000"/>
          <w:sz w:val="28"/>
          <w:szCs w:val="28"/>
          <w:lang w:val="uk-UA" w:eastAsia="uk-UA"/>
        </w:rPr>
        <w:t xml:space="preserve"> внесення змін до пенсійного</w:t>
      </w:r>
      <w:r w:rsidR="008052F8" w:rsidRPr="0078696C">
        <w:rPr>
          <w:rFonts w:ascii="Times New Roman" w:hAnsi="Times New Roman"/>
          <w:color w:val="000000"/>
          <w:sz w:val="28"/>
          <w:szCs w:val="28"/>
          <w:lang w:val="uk-UA" w:eastAsia="uk-UA"/>
        </w:rPr>
        <w:t xml:space="preserve"> законодавства </w:t>
      </w:r>
      <w:r w:rsidR="00821856" w:rsidRPr="0078696C">
        <w:rPr>
          <w:rFonts w:ascii="Times New Roman" w:hAnsi="Times New Roman"/>
          <w:color w:val="000000"/>
          <w:sz w:val="28"/>
          <w:szCs w:val="28"/>
          <w:lang w:val="uk-UA" w:eastAsia="uk-UA"/>
        </w:rPr>
        <w:t>шляхом прийняття Кодексу пенсійного забезпечення та страхування на основі діючих Законів України «Про загальнообов’язкове державне пенсійне страхування», «Про пенсійне забезпечення», «Про недержавне пенсійне забезпечення» та норм спеціального законодавства, що регулюють окремі питання пенсійного забезпечення;</w:t>
      </w:r>
    </w:p>
    <w:p w:rsidR="009668B6" w:rsidRPr="0078696C" w:rsidRDefault="00AB2337" w:rsidP="009668B6">
      <w:pPr>
        <w:pStyle w:val="a3"/>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i/>
          <w:iCs/>
          <w:color w:val="000000"/>
          <w:sz w:val="28"/>
          <w:szCs w:val="28"/>
          <w:lang w:val="uk-UA" w:eastAsia="uk-UA"/>
        </w:rPr>
        <w:t>удосконалено:</w:t>
      </w:r>
    </w:p>
    <w:p w:rsidR="00D91407" w:rsidRPr="0078696C" w:rsidRDefault="00D91407" w:rsidP="006F5EAD">
      <w:pPr>
        <w:pStyle w:val="a3"/>
        <w:numPr>
          <w:ilvl w:val="0"/>
          <w:numId w:val="26"/>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класифікацію джерел пенсійного забезпеченняза юридичною силою, за колом осіб, за змістом, в залежності від фінансових джерел</w:t>
      </w:r>
      <w:r w:rsidR="006F5EAD" w:rsidRPr="0078696C">
        <w:rPr>
          <w:rFonts w:ascii="Times New Roman" w:hAnsi="Times New Roman"/>
          <w:color w:val="000000"/>
          <w:sz w:val="28"/>
          <w:szCs w:val="28"/>
          <w:lang w:val="uk-UA" w:eastAsia="uk-UA"/>
        </w:rPr>
        <w:t xml:space="preserve">; </w:t>
      </w:r>
    </w:p>
    <w:p w:rsidR="00821856" w:rsidRPr="0078696C" w:rsidRDefault="00821856" w:rsidP="006F5EAD">
      <w:pPr>
        <w:pStyle w:val="a3"/>
        <w:numPr>
          <w:ilvl w:val="0"/>
          <w:numId w:val="26"/>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періодизацію розвитку пенсійного забезпечення в Україні в частині структуризації основних етапів його становлення і функціонування;</w:t>
      </w:r>
    </w:p>
    <w:p w:rsidR="00821856" w:rsidRPr="0078696C" w:rsidRDefault="00AB2337" w:rsidP="009668B6">
      <w:pPr>
        <w:pStyle w:val="a3"/>
        <w:numPr>
          <w:ilvl w:val="0"/>
          <w:numId w:val="26"/>
        </w:numPr>
        <w:autoSpaceDE w:val="0"/>
        <w:autoSpaceDN w:val="0"/>
        <w:adjustRightInd w:val="0"/>
        <w:spacing w:after="0" w:line="360" w:lineRule="auto"/>
        <w:ind w:left="0" w:firstLine="709"/>
        <w:jc w:val="both"/>
        <w:rPr>
          <w:rFonts w:ascii="Times New Roman" w:hAnsi="Times New Roman"/>
          <w:i/>
          <w:color w:val="000000"/>
          <w:sz w:val="28"/>
          <w:szCs w:val="28"/>
          <w:lang w:val="uk-UA" w:eastAsia="uk-UA"/>
        </w:rPr>
      </w:pPr>
      <w:r w:rsidRPr="0078696C">
        <w:rPr>
          <w:rFonts w:ascii="Times New Roman" w:hAnsi="Times New Roman"/>
          <w:color w:val="000000"/>
          <w:sz w:val="28"/>
          <w:szCs w:val="28"/>
          <w:lang w:val="uk-UA" w:eastAsia="uk-UA"/>
        </w:rPr>
        <w:t>типологічну класифікацію пенсійних систем, що існують у зарубіжних країнах, з ура</w:t>
      </w:r>
      <w:r w:rsidR="00565D24" w:rsidRPr="0078696C">
        <w:rPr>
          <w:rFonts w:ascii="Times New Roman" w:hAnsi="Times New Roman"/>
          <w:color w:val="000000"/>
          <w:sz w:val="28"/>
          <w:szCs w:val="28"/>
          <w:lang w:val="uk-UA" w:eastAsia="uk-UA"/>
        </w:rPr>
        <w:t>хуванням тенденцій їх розвитку;</w:t>
      </w:r>
    </w:p>
    <w:p w:rsidR="009668B6" w:rsidRPr="0078696C" w:rsidRDefault="00AB2337" w:rsidP="00821856">
      <w:pPr>
        <w:pStyle w:val="a3"/>
        <w:autoSpaceDE w:val="0"/>
        <w:autoSpaceDN w:val="0"/>
        <w:adjustRightInd w:val="0"/>
        <w:spacing w:after="0" w:line="360" w:lineRule="auto"/>
        <w:ind w:left="709"/>
        <w:jc w:val="both"/>
        <w:rPr>
          <w:rFonts w:ascii="Times New Roman" w:hAnsi="Times New Roman"/>
          <w:i/>
          <w:color w:val="000000"/>
          <w:sz w:val="28"/>
          <w:szCs w:val="28"/>
          <w:lang w:val="uk-UA" w:eastAsia="uk-UA"/>
        </w:rPr>
      </w:pPr>
      <w:r w:rsidRPr="0078696C">
        <w:rPr>
          <w:rFonts w:ascii="Times New Roman" w:hAnsi="Times New Roman"/>
          <w:i/>
          <w:color w:val="000000"/>
          <w:sz w:val="28"/>
          <w:szCs w:val="28"/>
          <w:lang w:val="uk-UA" w:eastAsia="uk-UA"/>
        </w:rPr>
        <w:t>набули подальшого розвитку:</w:t>
      </w:r>
    </w:p>
    <w:p w:rsidR="009041AD" w:rsidRPr="0078696C" w:rsidRDefault="005B7D1F" w:rsidP="006F5EAD">
      <w:pPr>
        <w:pStyle w:val="a3"/>
        <w:numPr>
          <w:ilvl w:val="0"/>
          <w:numId w:val="25"/>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 xml:space="preserve">дослідження дефініцій «пенсія», «пенсійне забезпечення», «пенсійне страхування», </w:t>
      </w:r>
      <w:r w:rsidR="00D91407" w:rsidRPr="0078696C">
        <w:rPr>
          <w:rFonts w:ascii="Times New Roman" w:hAnsi="Times New Roman"/>
          <w:color w:val="000000"/>
          <w:sz w:val="28"/>
          <w:szCs w:val="28"/>
          <w:lang w:val="uk-UA" w:eastAsia="uk-UA"/>
        </w:rPr>
        <w:t>що</w:t>
      </w:r>
      <w:r w:rsidR="006E0759" w:rsidRPr="0078696C">
        <w:rPr>
          <w:rFonts w:ascii="Times New Roman" w:hAnsi="Times New Roman"/>
          <w:color w:val="000000"/>
          <w:sz w:val="28"/>
          <w:szCs w:val="28"/>
          <w:lang w:val="uk-UA" w:eastAsia="uk-UA"/>
        </w:rPr>
        <w:t>,</w:t>
      </w:r>
      <w:r w:rsidR="006F5EAD" w:rsidRPr="0078696C">
        <w:rPr>
          <w:rFonts w:ascii="Times New Roman" w:hAnsi="Times New Roman"/>
          <w:color w:val="000000"/>
          <w:sz w:val="28"/>
          <w:szCs w:val="28"/>
          <w:lang w:val="uk-UA" w:eastAsia="uk-UA"/>
        </w:rPr>
        <w:t>додатково до</w:t>
      </w:r>
      <w:r w:rsidR="00D91407" w:rsidRPr="0078696C">
        <w:rPr>
          <w:rFonts w:ascii="Times New Roman" w:hAnsi="Times New Roman"/>
          <w:color w:val="000000"/>
          <w:sz w:val="28"/>
          <w:szCs w:val="28"/>
          <w:lang w:val="uk-UA" w:eastAsia="uk-UA"/>
        </w:rPr>
        <w:t xml:space="preserve"> існуючих</w:t>
      </w:r>
      <w:r w:rsidR="006E0759" w:rsidRPr="0078696C">
        <w:rPr>
          <w:rFonts w:ascii="Times New Roman" w:hAnsi="Times New Roman"/>
          <w:color w:val="000000"/>
          <w:sz w:val="28"/>
          <w:szCs w:val="28"/>
          <w:lang w:val="uk-UA" w:eastAsia="uk-UA"/>
        </w:rPr>
        <w:t>,</w:t>
      </w:r>
      <w:r w:rsidR="00D91407" w:rsidRPr="0078696C">
        <w:rPr>
          <w:rFonts w:ascii="Times New Roman" w:hAnsi="Times New Roman"/>
          <w:color w:val="000000"/>
          <w:sz w:val="28"/>
          <w:szCs w:val="28"/>
          <w:lang w:val="uk-UA" w:eastAsia="uk-UA"/>
        </w:rPr>
        <w:t xml:space="preserve"> дало можливість </w:t>
      </w:r>
      <w:r w:rsidR="009041AD" w:rsidRPr="0078696C">
        <w:rPr>
          <w:rFonts w:ascii="Times New Roman" w:hAnsi="Times New Roman"/>
          <w:color w:val="000000"/>
          <w:sz w:val="28"/>
          <w:szCs w:val="28"/>
          <w:lang w:val="uk-UA" w:eastAsia="uk-UA"/>
        </w:rPr>
        <w:t xml:space="preserve">визначити функціональне призначення пенсійного забезпечення та </w:t>
      </w:r>
      <w:r w:rsidR="00D91407" w:rsidRPr="0078696C">
        <w:rPr>
          <w:rFonts w:ascii="Times New Roman" w:hAnsi="Times New Roman"/>
          <w:color w:val="000000"/>
          <w:sz w:val="28"/>
          <w:szCs w:val="28"/>
          <w:lang w:val="uk-UA" w:eastAsia="uk-UA"/>
        </w:rPr>
        <w:t>виділити три основні аспекти поняття пенсійного забезпечення з позиції науки державного управління: як конституційної гарантії, як гуманітарної складової державної політики та як фінансової складової державної політики</w:t>
      </w:r>
      <w:r w:rsidR="000F2148" w:rsidRPr="0078696C">
        <w:rPr>
          <w:rFonts w:ascii="Times New Roman" w:hAnsi="Times New Roman"/>
          <w:color w:val="000000"/>
          <w:sz w:val="28"/>
          <w:szCs w:val="28"/>
          <w:lang w:val="uk-UA" w:eastAsia="uk-UA"/>
        </w:rPr>
        <w:t>; запропоновано розмежовувати поняття «пенсійне забезпечення» та «пенсійне страхування» у контексті співвідношення як «ціле до частки»;</w:t>
      </w:r>
    </w:p>
    <w:p w:rsidR="009668B6" w:rsidRPr="0078696C" w:rsidRDefault="00AB2337" w:rsidP="006F5EAD">
      <w:pPr>
        <w:pStyle w:val="a3"/>
        <w:numPr>
          <w:ilvl w:val="0"/>
          <w:numId w:val="25"/>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 xml:space="preserve">узагальнення та систематизація досвіду розвитку </w:t>
      </w:r>
      <w:r w:rsidR="009041AD" w:rsidRPr="0078696C">
        <w:rPr>
          <w:rFonts w:ascii="Times New Roman" w:hAnsi="Times New Roman"/>
          <w:color w:val="000000"/>
          <w:sz w:val="28"/>
          <w:szCs w:val="28"/>
          <w:lang w:val="uk-UA" w:eastAsia="uk-UA"/>
        </w:rPr>
        <w:t xml:space="preserve">та реформування </w:t>
      </w:r>
      <w:r w:rsidRPr="0078696C">
        <w:rPr>
          <w:rFonts w:ascii="Times New Roman" w:hAnsi="Times New Roman"/>
          <w:color w:val="000000"/>
          <w:sz w:val="28"/>
          <w:szCs w:val="28"/>
          <w:lang w:val="uk-UA" w:eastAsia="uk-UA"/>
        </w:rPr>
        <w:t>системи пенсійного забезпечення, її складових</w:t>
      </w:r>
      <w:r w:rsidR="009041AD" w:rsidRPr="0078696C">
        <w:rPr>
          <w:rFonts w:ascii="Times New Roman" w:hAnsi="Times New Roman"/>
          <w:color w:val="000000"/>
          <w:sz w:val="28"/>
          <w:szCs w:val="28"/>
          <w:lang w:val="uk-UA" w:eastAsia="uk-UA"/>
        </w:rPr>
        <w:t>,</w:t>
      </w:r>
      <w:r w:rsidRPr="0078696C">
        <w:rPr>
          <w:rFonts w:ascii="Times New Roman" w:hAnsi="Times New Roman"/>
          <w:color w:val="000000"/>
          <w:sz w:val="28"/>
          <w:szCs w:val="28"/>
          <w:lang w:val="uk-UA" w:eastAsia="uk-UA"/>
        </w:rPr>
        <w:t xml:space="preserve"> у вітчизняній та європейській практиці;</w:t>
      </w:r>
    </w:p>
    <w:p w:rsidR="009668B6" w:rsidRPr="0078696C" w:rsidRDefault="00AB2337" w:rsidP="006F5EAD">
      <w:pPr>
        <w:pStyle w:val="a3"/>
        <w:numPr>
          <w:ilvl w:val="0"/>
          <w:numId w:val="25"/>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комплексний аналіз розвитку систем</w:t>
      </w:r>
      <w:r w:rsidR="00101415" w:rsidRPr="0078696C">
        <w:rPr>
          <w:rFonts w:ascii="Times New Roman" w:hAnsi="Times New Roman"/>
          <w:color w:val="000000"/>
          <w:sz w:val="28"/>
          <w:szCs w:val="28"/>
          <w:lang w:val="uk-UA" w:eastAsia="uk-UA"/>
        </w:rPr>
        <w:t>и пенсійного забезпечення в 1991</w:t>
      </w:r>
      <w:r w:rsidR="00565D24" w:rsidRPr="0078696C">
        <w:rPr>
          <w:rFonts w:ascii="Times New Roman" w:hAnsi="Times New Roman"/>
          <w:color w:val="000000"/>
          <w:sz w:val="28"/>
          <w:szCs w:val="28"/>
          <w:lang w:val="uk-UA"/>
        </w:rPr>
        <w:t>–</w:t>
      </w:r>
      <w:r w:rsidR="006E0759" w:rsidRPr="0078696C">
        <w:rPr>
          <w:rFonts w:ascii="Times New Roman" w:hAnsi="Times New Roman"/>
          <w:color w:val="000000"/>
          <w:sz w:val="28"/>
          <w:szCs w:val="28"/>
          <w:lang w:val="uk-UA" w:eastAsia="uk-UA"/>
        </w:rPr>
        <w:t xml:space="preserve">2019 роках, що дозволило виявити та оцінити основні труднощі та </w:t>
      </w:r>
      <w:r w:rsidR="006E0759" w:rsidRPr="0078696C">
        <w:rPr>
          <w:rFonts w:ascii="Times New Roman" w:hAnsi="Times New Roman"/>
          <w:color w:val="000000"/>
          <w:sz w:val="28"/>
          <w:szCs w:val="28"/>
          <w:lang w:val="uk-UA" w:eastAsia="uk-UA"/>
        </w:rPr>
        <w:lastRenderedPageBreak/>
        <w:t xml:space="preserve">недоліки державного управління даною сферою, </w:t>
      </w:r>
      <w:r w:rsidR="006F5EAD" w:rsidRPr="0078696C">
        <w:rPr>
          <w:rFonts w:ascii="Times New Roman" w:hAnsi="Times New Roman"/>
          <w:color w:val="000000"/>
          <w:sz w:val="28"/>
          <w:szCs w:val="28"/>
          <w:lang w:val="uk-UA" w:eastAsia="uk-UA"/>
        </w:rPr>
        <w:t>що, додатково до існуючих,дало можливість</w:t>
      </w:r>
      <w:r w:rsidR="006E0759" w:rsidRPr="0078696C">
        <w:rPr>
          <w:rFonts w:ascii="Times New Roman" w:hAnsi="Times New Roman"/>
          <w:color w:val="000000"/>
          <w:sz w:val="28"/>
          <w:szCs w:val="28"/>
          <w:lang w:val="uk-UA" w:eastAsia="uk-UA"/>
        </w:rPr>
        <w:t xml:space="preserve"> обґрунтувати </w:t>
      </w:r>
      <w:r w:rsidR="00F973E9" w:rsidRPr="0078696C">
        <w:rPr>
          <w:rFonts w:ascii="Times New Roman" w:hAnsi="Times New Roman"/>
          <w:color w:val="000000"/>
          <w:sz w:val="28"/>
          <w:szCs w:val="28"/>
          <w:lang w:val="uk-UA" w:eastAsia="uk-UA"/>
        </w:rPr>
        <w:t>теоретичні та практичні положення подальшого реформування вітчизняної системи пенсійного забезпечення в контексті євроінтеграції;</w:t>
      </w:r>
    </w:p>
    <w:p w:rsidR="009668B6" w:rsidRPr="0078696C" w:rsidRDefault="00AB2337" w:rsidP="006F5EAD">
      <w:pPr>
        <w:pStyle w:val="a3"/>
        <w:numPr>
          <w:ilvl w:val="0"/>
          <w:numId w:val="25"/>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положення про реформування вітчизняної пенсійної системи на основі трирівневої структури: солідарної та накопичувальної складової</w:t>
      </w:r>
      <w:r w:rsidR="004E2E37" w:rsidRPr="0078696C">
        <w:rPr>
          <w:rFonts w:ascii="Times New Roman" w:hAnsi="Times New Roman"/>
          <w:color w:val="000000"/>
          <w:sz w:val="28"/>
          <w:szCs w:val="28"/>
          <w:lang w:val="uk-UA" w:eastAsia="uk-UA"/>
        </w:rPr>
        <w:t>(загальної накопичувальної та професійної накопичувальної)</w:t>
      </w:r>
      <w:r w:rsidRPr="0078696C">
        <w:rPr>
          <w:rFonts w:ascii="Times New Roman" w:hAnsi="Times New Roman"/>
          <w:color w:val="000000"/>
          <w:sz w:val="28"/>
          <w:szCs w:val="28"/>
          <w:lang w:val="uk-UA" w:eastAsia="uk-UA"/>
        </w:rPr>
        <w:t>, а також недержавного пенсійного забезпечення;</w:t>
      </w:r>
    </w:p>
    <w:p w:rsidR="00BD031D" w:rsidRPr="0078696C" w:rsidRDefault="00AB2337" w:rsidP="006F5EAD">
      <w:pPr>
        <w:pStyle w:val="a3"/>
        <w:numPr>
          <w:ilvl w:val="0"/>
          <w:numId w:val="25"/>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положення щодо необхідності розвитку накопичув</w:t>
      </w:r>
      <w:r w:rsidR="00BD031D" w:rsidRPr="0078696C">
        <w:rPr>
          <w:rFonts w:ascii="Times New Roman" w:hAnsi="Times New Roman"/>
          <w:color w:val="000000"/>
          <w:sz w:val="28"/>
          <w:szCs w:val="28"/>
          <w:lang w:val="uk-UA" w:eastAsia="uk-UA"/>
        </w:rPr>
        <w:t>ального рівня пенсійної системи</w:t>
      </w:r>
      <w:r w:rsidR="006F5EAD" w:rsidRPr="0078696C">
        <w:rPr>
          <w:rFonts w:ascii="Times New Roman" w:hAnsi="Times New Roman"/>
          <w:color w:val="000000"/>
          <w:sz w:val="28"/>
          <w:szCs w:val="28"/>
          <w:lang w:val="uk-UA" w:eastAsia="uk-UA"/>
        </w:rPr>
        <w:t xml:space="preserve"> з урахуванням національних особливостей та зарубіжного досвіду</w:t>
      </w:r>
      <w:r w:rsidR="000367FE" w:rsidRPr="0078696C">
        <w:rPr>
          <w:rFonts w:ascii="Times New Roman" w:hAnsi="Times New Roman"/>
          <w:color w:val="000000"/>
          <w:sz w:val="28"/>
          <w:szCs w:val="28"/>
          <w:lang w:val="uk-UA" w:eastAsia="uk-UA"/>
        </w:rPr>
        <w:t>;</w:t>
      </w:r>
    </w:p>
    <w:p w:rsidR="000367FE" w:rsidRPr="0078696C" w:rsidRDefault="009041AD" w:rsidP="000367FE">
      <w:pPr>
        <w:pStyle w:val="a3"/>
        <w:numPr>
          <w:ilvl w:val="0"/>
          <w:numId w:val="25"/>
        </w:numPr>
        <w:autoSpaceDE w:val="0"/>
        <w:autoSpaceDN w:val="0"/>
        <w:adjustRightInd w:val="0"/>
        <w:spacing w:after="0" w:line="360" w:lineRule="auto"/>
        <w:ind w:left="0" w:firstLine="709"/>
        <w:jc w:val="both"/>
        <w:rPr>
          <w:rFonts w:ascii="Times New Roman" w:hAnsi="Times New Roman"/>
          <w:color w:val="000000"/>
          <w:sz w:val="28"/>
          <w:szCs w:val="28"/>
          <w:lang w:val="uk-UA" w:eastAsia="uk-UA"/>
        </w:rPr>
      </w:pPr>
      <w:r w:rsidRPr="0078696C">
        <w:rPr>
          <w:rFonts w:ascii="Times New Roman" w:hAnsi="Times New Roman"/>
          <w:color w:val="000000"/>
          <w:sz w:val="28"/>
          <w:szCs w:val="28"/>
          <w:lang w:val="uk-UA" w:eastAsia="uk-UA"/>
        </w:rPr>
        <w:t>розробки</w:t>
      </w:r>
      <w:r w:rsidR="000367FE" w:rsidRPr="0078696C">
        <w:rPr>
          <w:rFonts w:ascii="Times New Roman" w:hAnsi="Times New Roman"/>
          <w:color w:val="000000"/>
          <w:sz w:val="28"/>
          <w:szCs w:val="28"/>
          <w:lang w:val="uk-UA" w:eastAsia="uk-UA"/>
        </w:rPr>
        <w:t xml:space="preserve"> щодо внесення змін до діючого законодавства України в частині створення дієвої трирівневої пенсійної системи, в якій фінансовий тягар пенсійного забезпечення буде розподілятися між державою, працівником і роботодавцем у вигляді обов’язкового базового державного пенсійного забезпечення, професійно-галузевих схем пенсійного страхування та індивідуальних  пенсійних програм. На відміну від існуючих, обґрунтовано, що функціонування даної пенсійної системи буде можливим за умови надання пільг та компенсацій в оподаткуванні при здійсненні пенсійного планування за участю роботодавців та самозайнятих осіб.</w:t>
      </w:r>
    </w:p>
    <w:p w:rsidR="009668B6" w:rsidRPr="0078696C" w:rsidRDefault="00AB2337"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Практичне значення одержаних результатів </w:t>
      </w:r>
      <w:r w:rsidRPr="0078696C">
        <w:rPr>
          <w:rFonts w:ascii="Times New Roman" w:hAnsi="Times New Roman"/>
          <w:color w:val="000000"/>
          <w:sz w:val="28"/>
          <w:szCs w:val="28"/>
          <w:lang w:eastAsia="uk-UA"/>
        </w:rPr>
        <w:t>полягає у тому, що положення та висновки, сформульовані у дисертаційній роботі, мають як теоретичне, так і практичне значення. Отримані наукові результати можуть бути використані:</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AB2337" w:rsidRPr="0078696C">
        <w:rPr>
          <w:rFonts w:ascii="Times New Roman" w:hAnsi="Times New Roman"/>
          <w:color w:val="000000"/>
          <w:sz w:val="28"/>
          <w:szCs w:val="28"/>
          <w:lang w:eastAsia="uk-UA"/>
        </w:rPr>
        <w:t>у науково-дослідній сфері – для подальшого дослідження науково-прикладних проблем пенсійного забезпечення;</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AB2337" w:rsidRPr="0078696C">
        <w:rPr>
          <w:rFonts w:ascii="Times New Roman" w:hAnsi="Times New Roman"/>
          <w:color w:val="000000"/>
          <w:sz w:val="28"/>
          <w:szCs w:val="28"/>
          <w:lang w:eastAsia="uk-UA"/>
        </w:rPr>
        <w:t xml:space="preserve">у правотворчості – для розробки нових, внесення змін та доповнень у чинні нормативно-правові акти, зокрема, для розробки </w:t>
      </w:r>
      <w:r w:rsidR="001D6B6D" w:rsidRPr="0078696C">
        <w:rPr>
          <w:rFonts w:ascii="Times New Roman" w:hAnsi="Times New Roman"/>
          <w:color w:val="000000"/>
          <w:sz w:val="28"/>
          <w:szCs w:val="28"/>
          <w:lang w:eastAsia="uk-UA"/>
        </w:rPr>
        <w:t xml:space="preserve">та ухвалення </w:t>
      </w:r>
      <w:r w:rsidR="00AB2337" w:rsidRPr="0078696C">
        <w:rPr>
          <w:rFonts w:ascii="Times New Roman" w:hAnsi="Times New Roman"/>
          <w:color w:val="000000"/>
          <w:sz w:val="28"/>
          <w:szCs w:val="28"/>
          <w:lang w:eastAsia="uk-UA"/>
        </w:rPr>
        <w:t xml:space="preserve">проекту </w:t>
      </w:r>
      <w:r w:rsidR="001D6B6D" w:rsidRPr="0078696C">
        <w:rPr>
          <w:rFonts w:ascii="Times New Roman" w:hAnsi="Times New Roman"/>
          <w:color w:val="000000"/>
          <w:sz w:val="28"/>
          <w:szCs w:val="28"/>
          <w:lang w:eastAsia="uk-UA"/>
        </w:rPr>
        <w:t>Кодексу пенсійного забезпечення та страхування</w:t>
      </w:r>
      <w:r w:rsidR="00AB2337" w:rsidRPr="0078696C">
        <w:rPr>
          <w:rFonts w:ascii="Times New Roman" w:hAnsi="Times New Roman"/>
          <w:color w:val="000000"/>
          <w:sz w:val="28"/>
          <w:szCs w:val="28"/>
          <w:lang w:eastAsia="uk-UA"/>
        </w:rPr>
        <w:t>;</w:t>
      </w:r>
    </w:p>
    <w:p w:rsidR="009668B6"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lastRenderedPageBreak/>
        <w:t xml:space="preserve">– </w:t>
      </w:r>
      <w:r w:rsidR="00AB2337" w:rsidRPr="0078696C">
        <w:rPr>
          <w:rFonts w:ascii="Times New Roman" w:hAnsi="Times New Roman"/>
          <w:color w:val="000000"/>
          <w:sz w:val="28"/>
          <w:szCs w:val="28"/>
          <w:lang w:eastAsia="uk-UA"/>
        </w:rPr>
        <w:t>у правозастосовній діяльності – з метою вдосконалення практики використання положень пенсійного законодавства;</w:t>
      </w:r>
    </w:p>
    <w:p w:rsidR="00AB2337" w:rsidRPr="0078696C" w:rsidRDefault="009668B6" w:rsidP="009668B6">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 </w:t>
      </w:r>
      <w:r w:rsidR="00AB2337" w:rsidRPr="0078696C">
        <w:rPr>
          <w:rFonts w:ascii="Times New Roman" w:hAnsi="Times New Roman"/>
          <w:color w:val="000000"/>
          <w:sz w:val="28"/>
          <w:szCs w:val="28"/>
          <w:lang w:eastAsia="uk-UA"/>
        </w:rPr>
        <w:t>у навчальному процесі – під час вивчення у вищих навчальних закладах таких навчальних дисциплін, як: «Право соціального забезпечення», «Право соціального захисту», «Пенсійне право», при підготовці лекційних та семінарських занять, у науково-дослідній роботі студентів, слухачів, курсантів, у процесі розробки робочих програм, планів, підручників, навчальної та прикладної літератури.</w:t>
      </w:r>
    </w:p>
    <w:p w:rsidR="009E1179" w:rsidRDefault="003708C6" w:rsidP="00FB1210">
      <w:pPr>
        <w:autoSpaceDE w:val="0"/>
        <w:autoSpaceDN w:val="0"/>
        <w:adjustRightInd w:val="0"/>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Основні положення та результати дослідження використані:</w:t>
      </w:r>
    </w:p>
    <w:p w:rsidR="009E1179" w:rsidRDefault="00626807" w:rsidP="00FB1210">
      <w:pPr>
        <w:autoSpaceDE w:val="0"/>
        <w:autoSpaceDN w:val="0"/>
        <w:adjustRightInd w:val="0"/>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Калуським об’єднаним управлінням Пенсійного фонду України Івано-Франківської області </w:t>
      </w:r>
      <w:r w:rsidR="00537DA9" w:rsidRPr="0078696C">
        <w:rPr>
          <w:rFonts w:ascii="Times New Roman" w:hAnsi="Times New Roman"/>
          <w:color w:val="000000"/>
          <w:sz w:val="28"/>
          <w:szCs w:val="28"/>
        </w:rPr>
        <w:t>в процесі розробки аналітичних матеріалів, проведенні інформаційно-роз’яснювальної роботи з населенням, підготовці відповідей на звернення громадян, а також проведенні оперативних нарад з керівниками структурних підрозділів та спеціалістами управління (довідка</w:t>
      </w:r>
      <w:r w:rsidR="00DF503E" w:rsidRPr="0078696C">
        <w:rPr>
          <w:rFonts w:ascii="Times New Roman" w:hAnsi="Times New Roman"/>
          <w:color w:val="000000"/>
          <w:sz w:val="28"/>
          <w:szCs w:val="28"/>
        </w:rPr>
        <w:t xml:space="preserve"> №5731/01 від 24.04.2019 р.); </w:t>
      </w:r>
    </w:p>
    <w:p w:rsidR="009E1179" w:rsidRDefault="00DF503E" w:rsidP="00FB1210">
      <w:pPr>
        <w:autoSpaceDE w:val="0"/>
        <w:autoSpaceDN w:val="0"/>
        <w:adjustRightInd w:val="0"/>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Головним управлінням Пенсійного фонду України в </w:t>
      </w:r>
      <w:r w:rsidR="00565D24" w:rsidRPr="0078696C">
        <w:rPr>
          <w:rFonts w:ascii="Times New Roman" w:hAnsi="Times New Roman"/>
          <w:color w:val="000000"/>
          <w:sz w:val="28"/>
          <w:szCs w:val="28"/>
        </w:rPr>
        <w:t>Івано-Франківській</w:t>
      </w:r>
      <w:r w:rsidRPr="0078696C">
        <w:rPr>
          <w:rFonts w:ascii="Times New Roman" w:hAnsi="Times New Roman"/>
          <w:color w:val="000000"/>
          <w:sz w:val="28"/>
          <w:szCs w:val="28"/>
        </w:rPr>
        <w:t xml:space="preserve"> області в процесі розробки аналітичних матеріалів, проведенні семінарів-нарад з працівниками територіальних управлінь та при підготовці ситуаційних завдань для проведення конкурсу на заміщення вакантних посад керівників та спеціалістів у головному управлінні Фонду (довідка №7534/03 від </w:t>
      </w:r>
      <w:r w:rsidR="00FB1210" w:rsidRPr="0078696C">
        <w:rPr>
          <w:rFonts w:ascii="Times New Roman" w:hAnsi="Times New Roman"/>
          <w:color w:val="000000"/>
          <w:sz w:val="28"/>
          <w:szCs w:val="28"/>
        </w:rPr>
        <w:br/>
      </w:r>
      <w:r w:rsidRPr="0078696C">
        <w:rPr>
          <w:rFonts w:ascii="Times New Roman" w:hAnsi="Times New Roman"/>
          <w:color w:val="000000"/>
          <w:sz w:val="28"/>
          <w:szCs w:val="28"/>
        </w:rPr>
        <w:t xml:space="preserve">13.05.2019 р.); </w:t>
      </w:r>
    </w:p>
    <w:p w:rsidR="009E1179" w:rsidRDefault="00DF503E" w:rsidP="00FB1210">
      <w:pPr>
        <w:autoSpaceDE w:val="0"/>
        <w:autoSpaceDN w:val="0"/>
        <w:adjustRightInd w:val="0"/>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Головним управлінням Пенсійного фонду України в Закарпатській області в процесі розробки аналітичних матеріалів, проведенні семінарів-нарад з працівниками територіальних управлінь</w:t>
      </w:r>
      <w:r w:rsidR="00EB04B5" w:rsidRPr="0078696C">
        <w:rPr>
          <w:rFonts w:ascii="Times New Roman" w:hAnsi="Times New Roman"/>
          <w:color w:val="000000"/>
          <w:sz w:val="28"/>
          <w:szCs w:val="28"/>
        </w:rPr>
        <w:t xml:space="preserve"> (довідка №6573/06.01 від </w:t>
      </w:r>
      <w:r w:rsidR="009E1179">
        <w:rPr>
          <w:rFonts w:ascii="Times New Roman" w:hAnsi="Times New Roman"/>
          <w:color w:val="000000"/>
          <w:sz w:val="28"/>
          <w:szCs w:val="28"/>
        </w:rPr>
        <w:br/>
      </w:r>
      <w:r w:rsidR="00EB04B5" w:rsidRPr="0078696C">
        <w:rPr>
          <w:rFonts w:ascii="Times New Roman" w:hAnsi="Times New Roman"/>
          <w:color w:val="000000"/>
          <w:sz w:val="28"/>
          <w:szCs w:val="28"/>
        </w:rPr>
        <w:t xml:space="preserve">14.05.2019 р.); </w:t>
      </w:r>
    </w:p>
    <w:p w:rsidR="009E1179" w:rsidRDefault="00EB04B5" w:rsidP="00FB1210">
      <w:pPr>
        <w:autoSpaceDE w:val="0"/>
        <w:autoSpaceDN w:val="0"/>
        <w:adjustRightInd w:val="0"/>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Департаментом соціальної політики </w:t>
      </w:r>
      <w:r w:rsidR="005B6C92" w:rsidRPr="0078696C">
        <w:rPr>
          <w:rFonts w:ascii="Times New Roman" w:hAnsi="Times New Roman"/>
          <w:color w:val="000000"/>
          <w:sz w:val="28"/>
          <w:szCs w:val="28"/>
        </w:rPr>
        <w:t xml:space="preserve">Івано-Франківської обласної державної адміністрації в процесі розробки аналітичних матеріалів, проведенні семінарів-нарад, здійсненні інформаційно-роз’яснювальної роботи (довідка №751/02-29/09 від 15.05.2019 р.); </w:t>
      </w:r>
    </w:p>
    <w:p w:rsidR="00FB1210" w:rsidRPr="0078696C" w:rsidRDefault="00E753C8" w:rsidP="00FB1210">
      <w:pPr>
        <w:autoSpaceDE w:val="0"/>
        <w:autoSpaceDN w:val="0"/>
        <w:adjustRightInd w:val="0"/>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lastRenderedPageBreak/>
        <w:t>Головним управлінням Пенсійного фонду України в Чернівецькій області в процесі розробки аналітичних матеріалів, проведенні семінарів-нарад з працівниками територіальних управлінь (довідка №15974/01 від 23.05.2019 р.).</w:t>
      </w:r>
    </w:p>
    <w:p w:rsidR="00AB2337" w:rsidRPr="0078696C" w:rsidRDefault="00AB2337" w:rsidP="00AB2337">
      <w:pPr>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78696C">
        <w:rPr>
          <w:rFonts w:ascii="Times New Roman" w:hAnsi="Times New Roman"/>
          <w:b/>
          <w:bCs/>
          <w:color w:val="000000"/>
          <w:sz w:val="28"/>
          <w:szCs w:val="28"/>
          <w:lang w:eastAsia="uk-UA"/>
        </w:rPr>
        <w:t>Особистий внесок здобувача</w:t>
      </w:r>
      <w:r w:rsidRPr="0078696C">
        <w:rPr>
          <w:rFonts w:ascii="Times New Roman" w:hAnsi="Times New Roman"/>
          <w:bCs/>
          <w:color w:val="000000"/>
          <w:sz w:val="28"/>
          <w:szCs w:val="28"/>
          <w:lang w:eastAsia="uk-UA"/>
        </w:rPr>
        <w:t xml:space="preserve">. Дисертаційна робота є самостійним дослідженням автора. Висновки, пропозиції і рекомендації, зокрема й ті, що характеризують наукову новизну, зроблені автором особисто </w:t>
      </w:r>
      <w:r w:rsidRPr="0078696C">
        <w:rPr>
          <w:rFonts w:ascii="Times New Roman" w:hAnsi="Times New Roman"/>
          <w:color w:val="000000"/>
          <w:sz w:val="28"/>
          <w:szCs w:val="28"/>
          <w:lang w:eastAsia="uk-UA"/>
        </w:rPr>
        <w:t>на основі досліджень у сфері теорії та практики державного управління системою пенсійного забезпечення України, аналізу</w:t>
      </w:r>
      <w:r w:rsidR="004A3AA5">
        <w:rPr>
          <w:rFonts w:ascii="Times New Roman" w:hAnsi="Times New Roman"/>
          <w:color w:val="000000"/>
          <w:sz w:val="28"/>
          <w:szCs w:val="28"/>
          <w:lang w:eastAsia="uk-UA"/>
        </w:rPr>
        <w:t xml:space="preserve"> </w:t>
      </w:r>
      <w:r w:rsidRPr="0078696C">
        <w:rPr>
          <w:rFonts w:ascii="Times New Roman" w:hAnsi="Times New Roman"/>
          <w:color w:val="000000"/>
          <w:sz w:val="28"/>
          <w:szCs w:val="28"/>
          <w:lang w:eastAsia="uk-UA"/>
        </w:rPr>
        <w:t>відповідної вітчизняної та зарубіжної літератури, а також нормативно-правової</w:t>
      </w:r>
      <w:r w:rsidR="004A3AA5">
        <w:rPr>
          <w:rFonts w:ascii="Times New Roman" w:hAnsi="Times New Roman"/>
          <w:color w:val="000000"/>
          <w:sz w:val="28"/>
          <w:szCs w:val="28"/>
          <w:lang w:eastAsia="uk-UA"/>
        </w:rPr>
        <w:t xml:space="preserve"> </w:t>
      </w:r>
      <w:r w:rsidRPr="0078696C">
        <w:rPr>
          <w:rFonts w:ascii="Times New Roman" w:hAnsi="Times New Roman"/>
          <w:color w:val="000000"/>
          <w:sz w:val="28"/>
          <w:szCs w:val="28"/>
          <w:lang w:eastAsia="uk-UA"/>
        </w:rPr>
        <w:t>бази, що регулює окремі питання пенсійного забезпечення в Україні.</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Апробація результатів дисертації. </w:t>
      </w:r>
      <w:r w:rsidRPr="0078696C">
        <w:rPr>
          <w:rFonts w:ascii="Times New Roman" w:hAnsi="Times New Roman"/>
          <w:color w:val="000000"/>
          <w:sz w:val="28"/>
          <w:szCs w:val="28"/>
          <w:lang w:eastAsia="uk-UA"/>
        </w:rPr>
        <w:t>Основні положення та результати дисертаційної роботи викладені в наукових доповідях і повідомленнях на таких комунікаційних заходах, як нау</w:t>
      </w:r>
      <w:r w:rsidR="009C4F4B" w:rsidRPr="0078696C">
        <w:rPr>
          <w:rFonts w:ascii="Times New Roman" w:hAnsi="Times New Roman"/>
          <w:color w:val="000000"/>
          <w:sz w:val="28"/>
          <w:szCs w:val="28"/>
          <w:lang w:eastAsia="uk-UA"/>
        </w:rPr>
        <w:t>ково-практичні конференції, у тому числі</w:t>
      </w:r>
      <w:r w:rsidRPr="0078696C">
        <w:rPr>
          <w:rFonts w:ascii="Times New Roman" w:hAnsi="Times New Roman"/>
          <w:color w:val="000000"/>
          <w:sz w:val="28"/>
          <w:szCs w:val="28"/>
          <w:lang w:eastAsia="uk-UA"/>
        </w:rPr>
        <w:t xml:space="preserve"> за міжнародною участю, а також на семінарах, круглих столах. Це, зокрема: Міжнародна науково-практична конференція «Правова держава: історія, сучасність та перспективи формування в Україні» (м. Ужгород, лютий 2015 р.); Міжнародна науково-практична конференція «Актуальні проблеми прав людини, держави та вітчизняної правової системи» (м. Дніпропетровськ, квітень 2015 р.); II Всеукраїнська науково-практична Інтернет-конференція «Організаційно-правові аспекти публічного управління в Україні» (м. Полтава, квітень 2015 р.); Міжнародна науково-практична конференція «Актуальні питання теорії та практики застосування сучасного вітчизняного та міжнародного права» (м. Київ, червень 2016 р.); Міжнародна науково-практична конференція «Актуальні питання розвитку правової держави в умовах сучасного становлення громадянського суспільства в Україні» </w:t>
      </w:r>
      <w:r w:rsidR="001D6B6D" w:rsidRPr="0078696C">
        <w:rPr>
          <w:rFonts w:ascii="Times New Roman" w:hAnsi="Times New Roman"/>
          <w:color w:val="000000"/>
          <w:sz w:val="28"/>
          <w:szCs w:val="28"/>
          <w:lang w:eastAsia="uk-UA"/>
        </w:rPr>
        <w:br/>
      </w:r>
      <w:r w:rsidRPr="0078696C">
        <w:rPr>
          <w:rFonts w:ascii="Times New Roman" w:hAnsi="Times New Roman"/>
          <w:color w:val="000000"/>
          <w:sz w:val="28"/>
          <w:szCs w:val="28"/>
          <w:lang w:eastAsia="uk-UA"/>
        </w:rPr>
        <w:t xml:space="preserve">(м. Харків, червень 2016 р.); Міжнародна науково-практична конференція «Державне регулювання суспільних відносин: розвиток законодавства та проблеми правозастосування» (м. Київ, липень 2016 р.); Всеукраїнська науково-практична конференція «Напрями вдосконалення механізмів державного управління в умовах сучасних реформаційних процесів» (м. Запоріжжя, грудень </w:t>
      </w:r>
      <w:r w:rsidRPr="0078696C">
        <w:rPr>
          <w:rFonts w:ascii="Times New Roman" w:hAnsi="Times New Roman"/>
          <w:color w:val="000000"/>
          <w:sz w:val="28"/>
          <w:szCs w:val="28"/>
          <w:lang w:eastAsia="uk-UA"/>
        </w:rPr>
        <w:lastRenderedPageBreak/>
        <w:t xml:space="preserve">2016 р.); VІІІ Всеукраїнська міжвузівська конференція студентів та молодих учених «Становлення публічного адміністрування в Україні» (м. Дніпро, квітень 2017 р.); VІ Всеукраїнська науково-практична конференція «Актуальні проблеми державного управління» (м. Івано-Франківськ, травень 2017р.); Міжнародна науково-практична конференція «Традиції та новації юридичної науки: минуле, сучасність, майбутнє» (м. Одеса, травень 2017 р.); круглий стіл «Взаємозв’язок політики і управління: теоретичний і прикладний аспект» </w:t>
      </w:r>
      <w:r w:rsidR="001D6B6D" w:rsidRPr="0078696C">
        <w:rPr>
          <w:rFonts w:ascii="Times New Roman" w:hAnsi="Times New Roman"/>
          <w:color w:val="000000"/>
          <w:sz w:val="28"/>
          <w:szCs w:val="28"/>
          <w:lang w:eastAsia="uk-UA"/>
        </w:rPr>
        <w:br/>
      </w:r>
      <w:r w:rsidRPr="0078696C">
        <w:rPr>
          <w:rFonts w:ascii="Times New Roman" w:hAnsi="Times New Roman"/>
          <w:color w:val="000000"/>
          <w:sz w:val="28"/>
          <w:szCs w:val="28"/>
          <w:lang w:eastAsia="uk-UA"/>
        </w:rPr>
        <w:t xml:space="preserve">(м. Дніпро, червень 2017 р.); ІІ Всеукраїнська науково-практична конференція «Адаптація правової системи України до права Європейського Союзу: теоретичні та практичні аспекти» (м. Полтава, листопад 2017 р.); 11-а науково-практична конференція за міжнародною участю «Проблеми управління соціальним і гуманітарним розвитком» (м. Дніпро, листопад 2017 р.); </w:t>
      </w:r>
      <w:r w:rsidR="001D6B6D" w:rsidRPr="0078696C">
        <w:rPr>
          <w:rFonts w:ascii="Times New Roman" w:hAnsi="Times New Roman"/>
          <w:color w:val="000000"/>
          <w:sz w:val="28"/>
          <w:szCs w:val="28"/>
          <w:lang w:eastAsia="uk-UA"/>
        </w:rPr>
        <w:br/>
      </w:r>
      <w:r w:rsidRPr="0078696C">
        <w:rPr>
          <w:rFonts w:ascii="Times New Roman" w:hAnsi="Times New Roman"/>
          <w:color w:val="000000"/>
          <w:sz w:val="28"/>
          <w:szCs w:val="28"/>
          <w:lang w:eastAsia="uk-UA"/>
        </w:rPr>
        <w:t xml:space="preserve">ІХ Всеукраїнська міжвузівська конференція студентів та молодих вчених «Становлення публічного адміністрування в Україні» (м. Дніпро, квітень </w:t>
      </w:r>
      <w:r w:rsidR="001D6B6D" w:rsidRPr="0078696C">
        <w:rPr>
          <w:rFonts w:ascii="Times New Roman" w:hAnsi="Times New Roman"/>
          <w:color w:val="000000"/>
          <w:sz w:val="28"/>
          <w:szCs w:val="28"/>
          <w:lang w:eastAsia="uk-UA"/>
        </w:rPr>
        <w:br/>
      </w:r>
      <w:r w:rsidRPr="0078696C">
        <w:rPr>
          <w:rFonts w:ascii="Times New Roman" w:hAnsi="Times New Roman"/>
          <w:color w:val="000000"/>
          <w:sz w:val="28"/>
          <w:szCs w:val="28"/>
          <w:lang w:eastAsia="uk-UA"/>
        </w:rPr>
        <w:t xml:space="preserve">2018 р.); ХV регіональна науково-практична конференція «Актуальні проблеми європейської та євроатлантичної інтеграції України» (м. Дніпро, травень </w:t>
      </w:r>
      <w:r w:rsidR="001D6B6D" w:rsidRPr="0078696C">
        <w:rPr>
          <w:rFonts w:ascii="Times New Roman" w:hAnsi="Times New Roman"/>
          <w:color w:val="000000"/>
          <w:sz w:val="28"/>
          <w:szCs w:val="28"/>
          <w:lang w:eastAsia="uk-UA"/>
        </w:rPr>
        <w:br/>
      </w:r>
      <w:r w:rsidRPr="0078696C">
        <w:rPr>
          <w:rFonts w:ascii="Times New Roman" w:hAnsi="Times New Roman"/>
          <w:color w:val="000000"/>
          <w:sz w:val="28"/>
          <w:szCs w:val="28"/>
          <w:lang w:eastAsia="uk-UA"/>
        </w:rPr>
        <w:t xml:space="preserve">2018 р.); круглий стіл «Взаємозв’язок політики і управління: теоретичний і прикладний аспект» (м. Дніпро, червень 2018 р.); ХІІ регіональна науково-практична конференція за міжнародною участю «Проблеми управління соціальним і гуманітарним розвитком» (м. Дніпро, листопад 2018 р.); </w:t>
      </w:r>
      <w:r w:rsidR="001D6B6D" w:rsidRPr="0078696C">
        <w:rPr>
          <w:rFonts w:ascii="Times New Roman" w:hAnsi="Times New Roman"/>
          <w:color w:val="000000"/>
          <w:sz w:val="28"/>
          <w:szCs w:val="28"/>
          <w:lang w:eastAsia="uk-UA"/>
        </w:rPr>
        <w:br/>
      </w:r>
      <w:r w:rsidRPr="0078696C">
        <w:rPr>
          <w:rFonts w:ascii="Times New Roman" w:hAnsi="Times New Roman"/>
          <w:color w:val="000000"/>
          <w:sz w:val="28"/>
          <w:szCs w:val="28"/>
          <w:lang w:eastAsia="uk-UA"/>
        </w:rPr>
        <w:t>ХІ щорічна науково-практична конференція «Теорі</w:t>
      </w:r>
      <w:r w:rsidR="00D24599" w:rsidRPr="0078696C">
        <w:rPr>
          <w:rFonts w:ascii="Times New Roman" w:hAnsi="Times New Roman"/>
          <w:color w:val="000000"/>
          <w:sz w:val="28"/>
          <w:szCs w:val="28"/>
          <w:lang w:eastAsia="uk-UA"/>
        </w:rPr>
        <w:t xml:space="preserve">я та практика публічної служби» </w:t>
      </w:r>
      <w:r w:rsidR="00FB6DD2" w:rsidRPr="0078696C">
        <w:rPr>
          <w:rFonts w:ascii="Times New Roman" w:hAnsi="Times New Roman"/>
          <w:color w:val="000000"/>
          <w:sz w:val="28"/>
          <w:szCs w:val="28"/>
          <w:lang w:eastAsia="uk-UA"/>
        </w:rPr>
        <w:t>(м. Дніпро, грудень</w:t>
      </w:r>
      <w:r w:rsidRPr="0078696C">
        <w:rPr>
          <w:rFonts w:ascii="Times New Roman" w:hAnsi="Times New Roman"/>
          <w:color w:val="000000"/>
          <w:sz w:val="28"/>
          <w:szCs w:val="28"/>
          <w:lang w:eastAsia="uk-UA"/>
        </w:rPr>
        <w:t>2018 р.);</w:t>
      </w:r>
      <w:r w:rsidRPr="0078696C">
        <w:rPr>
          <w:rFonts w:ascii="Times New Roman" w:hAnsi="Times New Roman"/>
          <w:color w:val="000000"/>
          <w:sz w:val="28"/>
          <w:szCs w:val="28"/>
        </w:rPr>
        <w:t>Х конференція студентів та молодих учених за міжнародною участю</w:t>
      </w:r>
      <w:r w:rsidR="00C25DBB">
        <w:rPr>
          <w:rFonts w:ascii="Times New Roman" w:hAnsi="Times New Roman"/>
          <w:color w:val="000000"/>
          <w:sz w:val="28"/>
          <w:szCs w:val="28"/>
        </w:rPr>
        <w:t xml:space="preserve"> </w:t>
      </w:r>
      <w:r w:rsidRPr="0078696C">
        <w:rPr>
          <w:rFonts w:ascii="Times New Roman" w:hAnsi="Times New Roman"/>
          <w:color w:val="000000"/>
          <w:sz w:val="28"/>
          <w:szCs w:val="28"/>
          <w:lang w:eastAsia="uk-UA"/>
        </w:rPr>
        <w:t>«</w:t>
      </w:r>
      <w:r w:rsidRPr="0078696C">
        <w:rPr>
          <w:rFonts w:ascii="Times New Roman" w:hAnsi="Times New Roman"/>
          <w:color w:val="000000"/>
          <w:sz w:val="28"/>
          <w:szCs w:val="28"/>
        </w:rPr>
        <w:t>Становлення публічного адміністрування в Україні»(м. Дніпро, травень 2019 р.).</w:t>
      </w:r>
    </w:p>
    <w:p w:rsidR="00AB2337" w:rsidRPr="0078696C" w:rsidRDefault="00AB2337" w:rsidP="00AB2337">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Публікації. </w:t>
      </w:r>
      <w:r w:rsidRPr="0078696C">
        <w:rPr>
          <w:rFonts w:ascii="Times New Roman" w:hAnsi="Times New Roman"/>
          <w:color w:val="000000"/>
          <w:sz w:val="28"/>
          <w:szCs w:val="28"/>
          <w:lang w:eastAsia="uk-UA"/>
        </w:rPr>
        <w:t xml:space="preserve">Основні результати дисертаційної роботи опубліковані у </w:t>
      </w:r>
      <w:r w:rsidR="009E1179">
        <w:rPr>
          <w:rFonts w:ascii="Times New Roman" w:hAnsi="Times New Roman"/>
          <w:color w:val="000000"/>
          <w:sz w:val="28"/>
          <w:szCs w:val="28"/>
          <w:lang w:eastAsia="uk-UA"/>
        </w:rPr>
        <w:br/>
      </w:r>
      <w:r w:rsidRPr="0078696C">
        <w:rPr>
          <w:rFonts w:ascii="Times New Roman" w:hAnsi="Times New Roman"/>
          <w:color w:val="000000"/>
          <w:sz w:val="28"/>
          <w:szCs w:val="28"/>
          <w:lang w:eastAsia="uk-UA"/>
        </w:rPr>
        <w:t>25 наукових працях, з них: 6 статей у наукових фахових виданнях України та виданнях</w:t>
      </w:r>
      <w:r w:rsidR="00D35510" w:rsidRPr="0078696C">
        <w:rPr>
          <w:rFonts w:ascii="Times New Roman" w:hAnsi="Times New Roman"/>
          <w:color w:val="000000"/>
          <w:sz w:val="28"/>
          <w:szCs w:val="28"/>
          <w:lang w:eastAsia="uk-UA"/>
        </w:rPr>
        <w:t>,</w:t>
      </w:r>
      <w:r w:rsidRPr="0078696C">
        <w:rPr>
          <w:rFonts w:ascii="Times New Roman" w:hAnsi="Times New Roman"/>
          <w:color w:val="000000"/>
          <w:sz w:val="28"/>
          <w:szCs w:val="28"/>
          <w:lang w:eastAsia="uk-UA"/>
        </w:rPr>
        <w:t xml:space="preserve"> внесених до наукометричних баз; 19 публікацій – у збірниках тез доповідей конференцій та круглих столів.</w:t>
      </w:r>
    </w:p>
    <w:p w:rsidR="001C30E3" w:rsidRPr="0078696C" w:rsidRDefault="00AB2337" w:rsidP="001C30E3">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78696C">
        <w:rPr>
          <w:rFonts w:ascii="Times New Roman" w:hAnsi="Times New Roman"/>
          <w:b/>
          <w:bCs/>
          <w:color w:val="000000"/>
          <w:sz w:val="28"/>
          <w:szCs w:val="28"/>
          <w:lang w:eastAsia="uk-UA"/>
        </w:rPr>
        <w:t xml:space="preserve">Структура та обсяг роботи. </w:t>
      </w:r>
      <w:r w:rsidR="001C30E3" w:rsidRPr="005D5E27">
        <w:rPr>
          <w:rFonts w:ascii="Times New Roman" w:hAnsi="Times New Roman"/>
          <w:color w:val="000000"/>
          <w:sz w:val="28"/>
          <w:szCs w:val="28"/>
          <w:lang w:eastAsia="uk-UA"/>
        </w:rPr>
        <w:t>Дисертаційна робота складається із вступу, трьох розділів, висновків, списку використаних джерел</w:t>
      </w:r>
      <w:r w:rsidR="00CA5906" w:rsidRPr="005D5E27">
        <w:rPr>
          <w:rFonts w:ascii="Times New Roman" w:hAnsi="Times New Roman"/>
          <w:color w:val="000000"/>
          <w:sz w:val="28"/>
          <w:szCs w:val="28"/>
          <w:lang w:eastAsia="uk-UA"/>
        </w:rPr>
        <w:t xml:space="preserve"> та додатків</w:t>
      </w:r>
      <w:r w:rsidR="001C30E3" w:rsidRPr="005D5E27">
        <w:rPr>
          <w:rFonts w:ascii="Times New Roman" w:hAnsi="Times New Roman"/>
          <w:color w:val="000000"/>
          <w:sz w:val="28"/>
          <w:szCs w:val="28"/>
          <w:lang w:eastAsia="uk-UA"/>
        </w:rPr>
        <w:t>. Загальни</w:t>
      </w:r>
      <w:r w:rsidR="00EF478F" w:rsidRPr="005D5E27">
        <w:rPr>
          <w:rFonts w:ascii="Times New Roman" w:hAnsi="Times New Roman"/>
          <w:color w:val="000000"/>
          <w:sz w:val="28"/>
          <w:szCs w:val="28"/>
          <w:lang w:eastAsia="uk-UA"/>
        </w:rPr>
        <w:t xml:space="preserve">й </w:t>
      </w:r>
      <w:r w:rsidR="00EF478F" w:rsidRPr="005D5E27">
        <w:rPr>
          <w:rFonts w:ascii="Times New Roman" w:hAnsi="Times New Roman"/>
          <w:color w:val="000000"/>
          <w:sz w:val="28"/>
          <w:szCs w:val="28"/>
          <w:lang w:eastAsia="uk-UA"/>
        </w:rPr>
        <w:lastRenderedPageBreak/>
        <w:t xml:space="preserve">обсяг дисертації становить </w:t>
      </w:r>
      <w:r w:rsidR="00AB6073" w:rsidRPr="005D5E27">
        <w:rPr>
          <w:rFonts w:ascii="Times New Roman" w:hAnsi="Times New Roman"/>
          <w:color w:val="000000"/>
          <w:sz w:val="28"/>
          <w:szCs w:val="28"/>
          <w:lang w:eastAsia="uk-UA"/>
        </w:rPr>
        <w:t>2</w:t>
      </w:r>
      <w:r w:rsidR="00046F7D">
        <w:rPr>
          <w:rFonts w:ascii="Times New Roman" w:hAnsi="Times New Roman"/>
          <w:color w:val="000000"/>
          <w:sz w:val="28"/>
          <w:szCs w:val="28"/>
          <w:lang w:eastAsia="uk-UA"/>
        </w:rPr>
        <w:t>63</w:t>
      </w:r>
      <w:r w:rsidR="00AB6073" w:rsidRPr="005D5E27">
        <w:rPr>
          <w:rFonts w:ascii="Times New Roman" w:hAnsi="Times New Roman"/>
          <w:color w:val="000000"/>
          <w:sz w:val="28"/>
          <w:szCs w:val="28"/>
          <w:lang w:eastAsia="uk-UA"/>
        </w:rPr>
        <w:t xml:space="preserve"> сторінк</w:t>
      </w:r>
      <w:r w:rsidR="00046F7D">
        <w:rPr>
          <w:rFonts w:ascii="Times New Roman" w:hAnsi="Times New Roman"/>
          <w:color w:val="000000"/>
          <w:sz w:val="28"/>
          <w:szCs w:val="28"/>
          <w:lang w:eastAsia="uk-UA"/>
        </w:rPr>
        <w:t>и</w:t>
      </w:r>
      <w:r w:rsidR="001C30E3" w:rsidRPr="005D5E27">
        <w:rPr>
          <w:rFonts w:ascii="Times New Roman" w:hAnsi="Times New Roman"/>
          <w:color w:val="000000"/>
          <w:sz w:val="28"/>
          <w:szCs w:val="28"/>
          <w:lang w:eastAsia="uk-UA"/>
        </w:rPr>
        <w:t>. Основний зміст дисертаційн</w:t>
      </w:r>
      <w:r w:rsidR="00EF478F" w:rsidRPr="005D5E27">
        <w:rPr>
          <w:rFonts w:ascii="Times New Roman" w:hAnsi="Times New Roman"/>
          <w:color w:val="000000"/>
          <w:sz w:val="28"/>
          <w:szCs w:val="28"/>
          <w:lang w:eastAsia="uk-UA"/>
        </w:rPr>
        <w:t xml:space="preserve">ого дослідження викладено на </w:t>
      </w:r>
      <w:r w:rsidR="005628D6">
        <w:rPr>
          <w:rFonts w:ascii="Times New Roman" w:hAnsi="Times New Roman"/>
          <w:color w:val="000000"/>
          <w:sz w:val="28"/>
          <w:szCs w:val="28"/>
          <w:lang w:eastAsia="uk-UA"/>
        </w:rPr>
        <w:t>189</w:t>
      </w:r>
      <w:r w:rsidR="00EF478F" w:rsidRPr="005D5E27">
        <w:rPr>
          <w:rFonts w:ascii="Times New Roman" w:hAnsi="Times New Roman"/>
          <w:color w:val="000000"/>
          <w:sz w:val="28"/>
          <w:szCs w:val="28"/>
          <w:lang w:eastAsia="uk-UA"/>
        </w:rPr>
        <w:t xml:space="preserve"> сторінках. </w:t>
      </w:r>
      <w:r w:rsidR="000E28FB" w:rsidRPr="005D5E27">
        <w:rPr>
          <w:rFonts w:ascii="Times New Roman" w:hAnsi="Times New Roman"/>
          <w:color w:val="000000"/>
          <w:sz w:val="28"/>
          <w:szCs w:val="28"/>
          <w:lang w:eastAsia="uk-UA"/>
        </w:rPr>
        <w:t xml:space="preserve">Дисертація містить </w:t>
      </w:r>
      <w:r w:rsidR="00C040E5" w:rsidRPr="005D5E27">
        <w:rPr>
          <w:rFonts w:ascii="Times New Roman" w:hAnsi="Times New Roman"/>
          <w:color w:val="000000"/>
          <w:sz w:val="28"/>
          <w:szCs w:val="28"/>
          <w:lang w:eastAsia="uk-UA"/>
        </w:rPr>
        <w:t>8 таблиць</w:t>
      </w:r>
      <w:r w:rsidR="000E28FB" w:rsidRPr="005D5E27">
        <w:rPr>
          <w:rFonts w:ascii="Times New Roman" w:hAnsi="Times New Roman"/>
          <w:color w:val="000000"/>
          <w:sz w:val="28"/>
          <w:szCs w:val="28"/>
          <w:lang w:eastAsia="uk-UA"/>
        </w:rPr>
        <w:t xml:space="preserve">, </w:t>
      </w:r>
      <w:r w:rsidR="00046F7D">
        <w:rPr>
          <w:rFonts w:ascii="Times New Roman" w:hAnsi="Times New Roman"/>
          <w:color w:val="000000"/>
          <w:sz w:val="28"/>
          <w:szCs w:val="28"/>
          <w:lang w:eastAsia="uk-UA"/>
        </w:rPr>
        <w:br/>
      </w:r>
      <w:r w:rsidR="00C040E5" w:rsidRPr="005D5E27">
        <w:rPr>
          <w:rFonts w:ascii="Times New Roman" w:hAnsi="Times New Roman"/>
          <w:color w:val="000000"/>
          <w:sz w:val="28"/>
          <w:szCs w:val="28"/>
          <w:lang w:eastAsia="uk-UA"/>
        </w:rPr>
        <w:t>5рисунків та</w:t>
      </w:r>
      <w:r w:rsidR="000E28FB" w:rsidRPr="005D5E27">
        <w:rPr>
          <w:rFonts w:ascii="Times New Roman" w:hAnsi="Times New Roman"/>
          <w:color w:val="000000"/>
          <w:sz w:val="28"/>
          <w:szCs w:val="28"/>
          <w:lang w:eastAsia="uk-UA"/>
        </w:rPr>
        <w:t xml:space="preserve"> 11 додатків. </w:t>
      </w:r>
      <w:r w:rsidR="001C30E3" w:rsidRPr="005D5E27">
        <w:rPr>
          <w:rFonts w:ascii="Times New Roman" w:hAnsi="Times New Roman"/>
          <w:color w:val="000000"/>
          <w:sz w:val="28"/>
          <w:szCs w:val="28"/>
          <w:lang w:eastAsia="uk-UA"/>
        </w:rPr>
        <w:t>Список</w:t>
      </w:r>
      <w:r w:rsidR="004E4411" w:rsidRPr="005D5E27">
        <w:rPr>
          <w:rFonts w:ascii="Times New Roman" w:hAnsi="Times New Roman"/>
          <w:color w:val="000000"/>
          <w:sz w:val="28"/>
          <w:szCs w:val="28"/>
          <w:lang w:eastAsia="uk-UA"/>
        </w:rPr>
        <w:t xml:space="preserve"> використаних джерел налічує </w:t>
      </w:r>
      <w:r w:rsidR="009E1179">
        <w:rPr>
          <w:rFonts w:ascii="Times New Roman" w:hAnsi="Times New Roman"/>
          <w:color w:val="000000"/>
          <w:sz w:val="28"/>
          <w:szCs w:val="28"/>
          <w:lang w:eastAsia="uk-UA"/>
        </w:rPr>
        <w:br/>
      </w:r>
      <w:r w:rsidR="00FD6720" w:rsidRPr="005D5E27">
        <w:rPr>
          <w:rFonts w:ascii="Times New Roman" w:hAnsi="Times New Roman"/>
          <w:color w:val="000000"/>
          <w:sz w:val="28"/>
          <w:szCs w:val="28"/>
          <w:lang w:eastAsia="uk-UA"/>
        </w:rPr>
        <w:t>286</w:t>
      </w:r>
      <w:r w:rsidR="000E28FB" w:rsidRPr="005D5E27">
        <w:rPr>
          <w:rFonts w:ascii="Times New Roman" w:hAnsi="Times New Roman"/>
          <w:color w:val="000000"/>
          <w:sz w:val="28"/>
          <w:szCs w:val="28"/>
          <w:lang w:eastAsia="uk-UA"/>
        </w:rPr>
        <w:t xml:space="preserve"> найменувань</w:t>
      </w:r>
      <w:r w:rsidR="00046F7D">
        <w:rPr>
          <w:rFonts w:ascii="Times New Roman" w:hAnsi="Times New Roman"/>
          <w:color w:val="000000"/>
          <w:sz w:val="28"/>
          <w:szCs w:val="28"/>
          <w:lang w:eastAsia="uk-UA"/>
        </w:rPr>
        <w:t>, з яких – 20 іноземними мовами</w:t>
      </w:r>
      <w:r w:rsidR="00C040E5" w:rsidRPr="005D5E27">
        <w:rPr>
          <w:rFonts w:ascii="Times New Roman" w:hAnsi="Times New Roman"/>
          <w:color w:val="000000"/>
          <w:sz w:val="28"/>
          <w:szCs w:val="28"/>
          <w:lang w:eastAsia="uk-UA"/>
        </w:rPr>
        <w:t>.</w:t>
      </w:r>
    </w:p>
    <w:p w:rsidR="004B7ABD" w:rsidRPr="0078696C" w:rsidRDefault="00AB2337" w:rsidP="00777752">
      <w:pPr>
        <w:autoSpaceDE w:val="0"/>
        <w:autoSpaceDN w:val="0"/>
        <w:adjustRightInd w:val="0"/>
        <w:spacing w:after="0" w:line="360" w:lineRule="auto"/>
        <w:jc w:val="center"/>
        <w:rPr>
          <w:rFonts w:ascii="Times New Roman" w:hAnsi="Times New Roman"/>
          <w:b/>
          <w:color w:val="000000"/>
          <w:sz w:val="28"/>
          <w:szCs w:val="28"/>
        </w:rPr>
      </w:pPr>
      <w:r w:rsidRPr="0078696C">
        <w:rPr>
          <w:rFonts w:ascii="Times New Roman" w:hAnsi="Times New Roman"/>
          <w:i/>
          <w:color w:val="000000"/>
          <w:sz w:val="28"/>
          <w:szCs w:val="28"/>
        </w:rPr>
        <w:br w:type="page"/>
      </w:r>
      <w:r w:rsidR="004B7ABD" w:rsidRPr="0078696C">
        <w:rPr>
          <w:rFonts w:ascii="Times New Roman" w:hAnsi="Times New Roman"/>
          <w:b/>
          <w:color w:val="000000"/>
          <w:sz w:val="28"/>
          <w:szCs w:val="28"/>
        </w:rPr>
        <w:lastRenderedPageBreak/>
        <w:t>РОЗДІЛ 1</w:t>
      </w:r>
    </w:p>
    <w:p w:rsidR="00AF78D1" w:rsidRPr="0078696C" w:rsidRDefault="00AF78D1" w:rsidP="00777752">
      <w:pPr>
        <w:autoSpaceDE w:val="0"/>
        <w:autoSpaceDN w:val="0"/>
        <w:adjustRightInd w:val="0"/>
        <w:spacing w:after="0" w:line="360" w:lineRule="auto"/>
        <w:jc w:val="center"/>
        <w:rPr>
          <w:rFonts w:ascii="Times New Roman" w:hAnsi="Times New Roman"/>
          <w:b/>
          <w:color w:val="000000"/>
          <w:sz w:val="28"/>
          <w:szCs w:val="28"/>
        </w:rPr>
      </w:pPr>
      <w:r w:rsidRPr="0078696C">
        <w:rPr>
          <w:rFonts w:ascii="Times New Roman" w:hAnsi="Times New Roman"/>
          <w:b/>
          <w:color w:val="000000"/>
          <w:sz w:val="28"/>
          <w:szCs w:val="28"/>
        </w:rPr>
        <w:t>ТЕОРЕТИЧНІ ЗАСАДИ ДОСЛІДЖЕННЯ ДЕРЖАВНОГО УПРАВЛІННЯ ПЕНСІЙНИМ ЗАБЕЗПЕЧЕННЯМ</w:t>
      </w:r>
    </w:p>
    <w:p w:rsidR="00AF78D1" w:rsidRPr="0078696C" w:rsidRDefault="00AF78D1" w:rsidP="00FC1256">
      <w:pPr>
        <w:tabs>
          <w:tab w:val="left" w:pos="1276"/>
        </w:tabs>
        <w:spacing w:after="0" w:line="360" w:lineRule="auto"/>
        <w:ind w:firstLine="709"/>
        <w:contextualSpacing/>
        <w:rPr>
          <w:rFonts w:ascii="Times New Roman" w:hAnsi="Times New Roman"/>
          <w:b/>
          <w:color w:val="000000"/>
          <w:sz w:val="28"/>
          <w:szCs w:val="28"/>
        </w:rPr>
      </w:pPr>
    </w:p>
    <w:p w:rsidR="00F36678" w:rsidRPr="0078696C" w:rsidRDefault="00AF78D1" w:rsidP="0090213B">
      <w:pPr>
        <w:tabs>
          <w:tab w:val="left" w:pos="1276"/>
        </w:tabs>
        <w:spacing w:after="0" w:line="360" w:lineRule="auto"/>
        <w:ind w:firstLine="709"/>
        <w:contextualSpacing/>
        <w:jc w:val="both"/>
        <w:rPr>
          <w:rFonts w:ascii="Times New Roman" w:hAnsi="Times New Roman"/>
          <w:b/>
          <w:color w:val="000000"/>
          <w:sz w:val="28"/>
          <w:szCs w:val="28"/>
        </w:rPr>
      </w:pPr>
      <w:r w:rsidRPr="0078696C">
        <w:rPr>
          <w:rFonts w:ascii="Times New Roman" w:hAnsi="Times New Roman"/>
          <w:b/>
          <w:color w:val="000000"/>
          <w:sz w:val="28"/>
          <w:szCs w:val="28"/>
        </w:rPr>
        <w:t>1.1 Сутність поняття «пенсійного забезпечення» в науковому</w:t>
      </w:r>
      <w:r w:rsidR="002B349A" w:rsidRPr="0078696C">
        <w:rPr>
          <w:rFonts w:ascii="Times New Roman" w:hAnsi="Times New Roman"/>
          <w:b/>
          <w:color w:val="000000"/>
          <w:sz w:val="28"/>
          <w:szCs w:val="28"/>
        </w:rPr>
        <w:t xml:space="preserve"> дискурсі державного управління</w:t>
      </w:r>
    </w:p>
    <w:p w:rsidR="00443353" w:rsidRPr="0078696C" w:rsidRDefault="00AF78D1" w:rsidP="00443353">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Роль пенсійного забезпечення в економіці будь-якої країни постійно привертає увагу громадян, адже пенсійні програми покликані вирішувати проблему матеріальної підтримки пенсіонерів, сприяючи боротьбі з бідністю серед людей похилого віку. </w:t>
      </w:r>
    </w:p>
    <w:p w:rsidR="00443353" w:rsidRPr="0078696C" w:rsidRDefault="00443353" w:rsidP="00443353">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Розглядаючи, в свою чергу, розвиток самої сучасної держави та зміну її функцій, можна визначити, що соціальна складова трансформаційних процесів стає пріоритетною. Це відображене у структурі</w:t>
      </w:r>
      <w:r w:rsidR="008D0464">
        <w:rPr>
          <w:rFonts w:ascii="Times New Roman" w:hAnsi="Times New Roman"/>
          <w:color w:val="000000"/>
          <w:sz w:val="28"/>
          <w:szCs w:val="28"/>
        </w:rPr>
        <w:t xml:space="preserve"> </w:t>
      </w:r>
      <w:r w:rsidRPr="0078696C">
        <w:rPr>
          <w:rFonts w:ascii="Times New Roman" w:hAnsi="Times New Roman"/>
          <w:color w:val="000000"/>
          <w:sz w:val="28"/>
          <w:szCs w:val="28"/>
        </w:rPr>
        <w:t>бюджету останніми роками, у політичних заявах лідерів держави</w:t>
      </w:r>
      <w:r w:rsidRPr="0078696C">
        <w:rPr>
          <w:rStyle w:val="a8"/>
          <w:rFonts w:ascii="Times New Roman" w:hAnsi="Times New Roman"/>
          <w:color w:val="000000"/>
          <w:sz w:val="28"/>
          <w:szCs w:val="28"/>
        </w:rPr>
        <w:footnoteReference w:id="2"/>
      </w:r>
      <w:r w:rsidRPr="0078696C">
        <w:rPr>
          <w:rFonts w:ascii="Times New Roman" w:hAnsi="Times New Roman"/>
          <w:color w:val="000000"/>
          <w:sz w:val="28"/>
          <w:szCs w:val="28"/>
        </w:rPr>
        <w:t>.</w:t>
      </w:r>
      <w:r w:rsidR="008D0464">
        <w:rPr>
          <w:rFonts w:ascii="Times New Roman" w:hAnsi="Times New Roman"/>
          <w:color w:val="000000"/>
          <w:sz w:val="28"/>
          <w:szCs w:val="28"/>
        </w:rPr>
        <w:t xml:space="preserve"> </w:t>
      </w:r>
      <w:r w:rsidR="00AF78D1" w:rsidRPr="0078696C">
        <w:rPr>
          <w:rFonts w:ascii="Times New Roman" w:hAnsi="Times New Roman"/>
          <w:color w:val="000000"/>
          <w:sz w:val="28"/>
          <w:szCs w:val="28"/>
        </w:rPr>
        <w:t>Звідси політика в галузі пенсійного забезпечення є найважливішим важелем державного впливу на економіку.</w:t>
      </w:r>
    </w:p>
    <w:p w:rsidR="00443353" w:rsidRPr="0078696C" w:rsidRDefault="00AF78D1" w:rsidP="00443353">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Пенсійне забезпечення завжди займало і займає одне з ключових, визначальних місць в житті держави і суспільства. Воно безпосередньо залежить від розвитку економіки і тісно пов’язане з політикою та соціальним благополуччям працездатного</w:t>
      </w:r>
      <w:r w:rsidR="00FC1256" w:rsidRPr="0078696C">
        <w:rPr>
          <w:rFonts w:ascii="Times New Roman" w:hAnsi="Times New Roman"/>
          <w:color w:val="000000"/>
          <w:sz w:val="28"/>
          <w:szCs w:val="28"/>
        </w:rPr>
        <w:t xml:space="preserve"> населення та непрацюючих осіб.</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Однак, слід зазначити, що економічні та соціальні питання функціонування та розвитку </w:t>
      </w:r>
      <w:r w:rsidR="00A76D41" w:rsidRPr="0078696C">
        <w:rPr>
          <w:rFonts w:ascii="Times New Roman" w:hAnsi="Times New Roman"/>
          <w:color w:val="000000"/>
          <w:sz w:val="28"/>
          <w:szCs w:val="28"/>
        </w:rPr>
        <w:t>системи пенсійного</w:t>
      </w:r>
      <w:r w:rsidR="008D0464">
        <w:rPr>
          <w:rFonts w:ascii="Times New Roman" w:hAnsi="Times New Roman"/>
          <w:color w:val="000000"/>
          <w:sz w:val="28"/>
          <w:szCs w:val="28"/>
        </w:rPr>
        <w:t xml:space="preserve"> </w:t>
      </w:r>
      <w:r w:rsidR="00A76D41" w:rsidRPr="0078696C">
        <w:rPr>
          <w:rFonts w:ascii="Times New Roman" w:hAnsi="Times New Roman"/>
          <w:color w:val="000000"/>
          <w:sz w:val="28"/>
          <w:szCs w:val="28"/>
        </w:rPr>
        <w:t>забезпечення</w:t>
      </w:r>
      <w:r w:rsidRPr="0078696C">
        <w:rPr>
          <w:rFonts w:ascii="Times New Roman" w:hAnsi="Times New Roman"/>
          <w:color w:val="000000"/>
          <w:sz w:val="28"/>
          <w:szCs w:val="28"/>
        </w:rPr>
        <w:t xml:space="preserve"> потребують більш глибокого вивчення з позиції науки державного управління.</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Зміст поняття пенсійного забезпечення, його параметри, формувалися поступово, з розвитком системи соціального захисту населення в нашій державі.</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 </w:t>
      </w:r>
      <w:r w:rsidR="00ED3600" w:rsidRPr="0078696C">
        <w:rPr>
          <w:rFonts w:ascii="Times New Roman" w:hAnsi="Times New Roman"/>
          <w:color w:val="000000"/>
          <w:sz w:val="28"/>
          <w:szCs w:val="28"/>
        </w:rPr>
        <w:t>сучасній</w:t>
      </w:r>
      <w:r w:rsidRPr="0078696C">
        <w:rPr>
          <w:rFonts w:ascii="Times New Roman" w:hAnsi="Times New Roman"/>
          <w:color w:val="000000"/>
          <w:sz w:val="28"/>
          <w:szCs w:val="28"/>
        </w:rPr>
        <w:t xml:space="preserve"> науці </w:t>
      </w:r>
      <w:r w:rsidR="00ED3600" w:rsidRPr="0078696C">
        <w:rPr>
          <w:rFonts w:ascii="Times New Roman" w:hAnsi="Times New Roman"/>
          <w:color w:val="000000"/>
          <w:sz w:val="28"/>
          <w:szCs w:val="28"/>
        </w:rPr>
        <w:t xml:space="preserve">державного управління </w:t>
      </w:r>
      <w:r w:rsidRPr="0078696C">
        <w:rPr>
          <w:rFonts w:ascii="Times New Roman" w:hAnsi="Times New Roman"/>
          <w:color w:val="000000"/>
          <w:sz w:val="28"/>
          <w:szCs w:val="28"/>
        </w:rPr>
        <w:t xml:space="preserve">поняття пенсійного забезпечення трактується неоднозначно і досі не є загальноприйнятим. Однак, спільним є те, що більшість дослідників відносять пенсійне забезпечення до системи соціального захисту населення, розглядаючи його як найважливіший </w:t>
      </w:r>
      <w:r w:rsidRPr="0078696C">
        <w:rPr>
          <w:rFonts w:ascii="Times New Roman" w:hAnsi="Times New Roman"/>
          <w:color w:val="000000"/>
          <w:sz w:val="28"/>
          <w:szCs w:val="28"/>
        </w:rPr>
        <w:lastRenderedPageBreak/>
        <w:t>компонент державної соціальної політики. Саме в такому контексті вважаємо за доцільне розглянути поняття пенсійного забезпечення з позиції науки державного управління.</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Перш, ніж розкривати поняття пенсійного забезпечення, вважаємо за необхідне дати відповідь на питання що таке пенсійна виплата, чи більш звичне для нас поняття «пенсія».</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Слово «пенсія» (з латинської pension – платіж </w:t>
      </w:r>
      <w:r w:rsidRPr="0078696C">
        <w:rPr>
          <w:rFonts w:ascii="Times New Roman" w:hAnsi="Times New Roman"/>
          <w:color w:val="000000"/>
          <w:sz w:val="28"/>
          <w:szCs w:val="28"/>
          <w:vertAlign w:val="superscript"/>
        </w:rPr>
        <w:footnoteReference w:id="3"/>
      </w:r>
      <w:r w:rsidR="00565D24" w:rsidRPr="0078696C">
        <w:rPr>
          <w:rFonts w:ascii="Times New Roman" w:hAnsi="Times New Roman"/>
          <w:color w:val="000000"/>
          <w:sz w:val="28"/>
          <w:szCs w:val="28"/>
        </w:rPr>
        <w:t>) в науков</w:t>
      </w:r>
      <w:r w:rsidRPr="0078696C">
        <w:rPr>
          <w:rFonts w:ascii="Times New Roman" w:hAnsi="Times New Roman"/>
          <w:color w:val="000000"/>
          <w:sz w:val="28"/>
          <w:szCs w:val="28"/>
        </w:rPr>
        <w:t xml:space="preserve">ій літературі має різні трактування. Традиційно пенсія – це регулярні грошові виплати як форма матеріального забезпечення непрацездатних </w:t>
      </w:r>
      <w:r w:rsidRPr="0078696C">
        <w:rPr>
          <w:rFonts w:ascii="Times New Roman" w:hAnsi="Times New Roman"/>
          <w:color w:val="000000"/>
          <w:sz w:val="28"/>
          <w:szCs w:val="28"/>
          <w:vertAlign w:val="superscript"/>
        </w:rPr>
        <w:footnoteReference w:id="4"/>
      </w:r>
      <w:r w:rsidRPr="0078696C">
        <w:rPr>
          <w:rFonts w:ascii="Times New Roman" w:hAnsi="Times New Roman"/>
          <w:color w:val="000000"/>
          <w:sz w:val="28"/>
          <w:szCs w:val="28"/>
        </w:rPr>
        <w:t xml:space="preserve">. Пенсії – регулярні грошові виплати з державних, громадських чи приватних фондів соціального забезпечення або страхування </w:t>
      </w:r>
      <w:r w:rsidR="00F85749" w:rsidRPr="0078696C">
        <w:rPr>
          <w:rFonts w:ascii="Times New Roman" w:hAnsi="Times New Roman"/>
          <w:color w:val="000000"/>
          <w:sz w:val="28"/>
          <w:szCs w:val="28"/>
        </w:rPr>
        <w:t xml:space="preserve">(асекурації) </w:t>
      </w:r>
      <w:r w:rsidRPr="0078696C">
        <w:rPr>
          <w:rFonts w:ascii="Times New Roman" w:hAnsi="Times New Roman"/>
          <w:color w:val="000000"/>
          <w:sz w:val="28"/>
          <w:szCs w:val="28"/>
        </w:rPr>
        <w:t xml:space="preserve">особам похилого віку, інвалідам, утриманцям і сиротам, а також заслуженим та привілейованим особам </w:t>
      </w:r>
      <w:r w:rsidRPr="0078696C">
        <w:rPr>
          <w:rFonts w:ascii="Times New Roman" w:hAnsi="Times New Roman"/>
          <w:color w:val="000000"/>
          <w:sz w:val="28"/>
          <w:szCs w:val="28"/>
          <w:vertAlign w:val="superscript"/>
        </w:rPr>
        <w:footnoteReference w:id="5"/>
      </w:r>
      <w:r w:rsidRPr="0078696C">
        <w:rPr>
          <w:rFonts w:ascii="Times New Roman" w:hAnsi="Times New Roman"/>
          <w:color w:val="000000"/>
          <w:sz w:val="28"/>
          <w:szCs w:val="28"/>
        </w:rPr>
        <w:t>.</w:t>
      </w:r>
    </w:p>
    <w:p w:rsidR="00E543F3" w:rsidRPr="0078696C" w:rsidRDefault="00E543F3" w:rsidP="00E543F3">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П. розуміє пенсію як регулярну грошову виплату непрацездатним громадянам і як матеріальну допомогу у похилому віці, з інвалідності, за вислугу років, у разі втрати годувальника </w:t>
      </w:r>
      <w:r w:rsidRPr="0078696C">
        <w:rPr>
          <w:rFonts w:ascii="Times New Roman" w:hAnsi="Times New Roman"/>
          <w:color w:val="000000"/>
          <w:sz w:val="28"/>
          <w:szCs w:val="28"/>
          <w:vertAlign w:val="superscript"/>
        </w:rPr>
        <w:footnoteReference w:id="6"/>
      </w:r>
      <w:r w:rsidR="00FC1256" w:rsidRPr="0078696C">
        <w:rPr>
          <w:rFonts w:ascii="Times New Roman" w:hAnsi="Times New Roman"/>
          <w:color w:val="000000"/>
          <w:sz w:val="28"/>
          <w:szCs w:val="28"/>
        </w:rPr>
        <w:t>.</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А. Якимів у монографії «Формування і розвиток системи пенсійного забезпечення в Україні» дає визначення, що пенсія – це форма надання матеріальних благ непрацездатним громадянам з огляду на соціальний фактор </w:t>
      </w:r>
      <w:r w:rsidRPr="0078696C">
        <w:rPr>
          <w:rFonts w:ascii="Times New Roman" w:hAnsi="Times New Roman"/>
          <w:color w:val="000000"/>
          <w:sz w:val="28"/>
          <w:szCs w:val="28"/>
          <w:vertAlign w:val="superscript"/>
        </w:rPr>
        <w:footnoteReference w:id="7"/>
      </w:r>
      <w:r w:rsidRPr="0078696C">
        <w:rPr>
          <w:rFonts w:ascii="Times New Roman" w:hAnsi="Times New Roman"/>
          <w:color w:val="000000"/>
          <w:sz w:val="28"/>
          <w:szCs w:val="28"/>
        </w:rPr>
        <w:t>.</w:t>
      </w:r>
    </w:p>
    <w:p w:rsidR="003135B6" w:rsidRPr="0078696C" w:rsidRDefault="003135B6"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Сучасний український науковець у сфері соціального забезпечення  </w:t>
      </w:r>
      <w:r w:rsidR="00607FB5" w:rsidRPr="0078696C">
        <w:rPr>
          <w:rFonts w:ascii="Times New Roman" w:hAnsi="Times New Roman"/>
          <w:color w:val="000000"/>
          <w:sz w:val="28"/>
          <w:szCs w:val="28"/>
        </w:rPr>
        <w:br/>
      </w:r>
      <w:r w:rsidRPr="0078696C">
        <w:rPr>
          <w:rFonts w:ascii="Times New Roman" w:hAnsi="Times New Roman"/>
          <w:color w:val="000000"/>
          <w:sz w:val="28"/>
          <w:szCs w:val="28"/>
        </w:rPr>
        <w:t xml:space="preserve">Б. Сташків вважає, що пенсія – це встановлена законом чи договором щомісячна (в окремих випадках одноразова) грошова виплата, що надається особі із спеціально створених для цього страхових фондів чи бюджетних коштів в разі досягнення нею пенсійного віку (вислуги років), інвалідності чи втрати сім’єю годувальника у сукупному розмірі не нижче прожиткового </w:t>
      </w:r>
      <w:r w:rsidRPr="0078696C">
        <w:rPr>
          <w:rFonts w:ascii="Times New Roman" w:hAnsi="Times New Roman"/>
          <w:color w:val="000000"/>
          <w:sz w:val="28"/>
          <w:szCs w:val="28"/>
        </w:rPr>
        <w:lastRenderedPageBreak/>
        <w:t xml:space="preserve">мінімуму для осіб, які втратили працездатність, з метою компенсації реально чи ймовірно втрачених засобів до існування </w:t>
      </w:r>
      <w:r w:rsidRPr="0078696C">
        <w:rPr>
          <w:rStyle w:val="a8"/>
          <w:rFonts w:ascii="Times New Roman" w:hAnsi="Times New Roman"/>
          <w:color w:val="000000"/>
          <w:sz w:val="28"/>
          <w:szCs w:val="28"/>
        </w:rPr>
        <w:footnoteReference w:id="8"/>
      </w:r>
      <w:r w:rsidRPr="0078696C">
        <w:rPr>
          <w:rFonts w:ascii="Times New Roman" w:hAnsi="Times New Roman"/>
          <w:color w:val="000000"/>
          <w:sz w:val="28"/>
          <w:szCs w:val="28"/>
        </w:rPr>
        <w:t>.</w:t>
      </w:r>
    </w:p>
    <w:p w:rsidR="00DB6015" w:rsidRPr="0078696C" w:rsidRDefault="00DB6015"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Н. Луговенко, </w:t>
      </w:r>
      <w:r w:rsidR="00156887" w:rsidRPr="0078696C">
        <w:rPr>
          <w:rFonts w:ascii="Times New Roman" w:hAnsi="Times New Roman"/>
          <w:color w:val="000000"/>
          <w:sz w:val="28"/>
          <w:szCs w:val="28"/>
        </w:rPr>
        <w:t xml:space="preserve">науковець у галузі державного управління, </w:t>
      </w:r>
      <w:r w:rsidR="00EB39B3" w:rsidRPr="0078696C">
        <w:rPr>
          <w:rFonts w:ascii="Times New Roman" w:hAnsi="Times New Roman"/>
          <w:color w:val="000000"/>
          <w:sz w:val="28"/>
          <w:szCs w:val="28"/>
        </w:rPr>
        <w:t xml:space="preserve">вважає, по-перше, що пенсія – це грошова винагорода, яка забезпечує достойний рівень життя громадян пенсійного віку і є еквівалентною до попередніх заробітків. Тобто до рівня доходів, які отримував громадянин протягом трудової діяльності. По-друге, пенсія – це грошова допомога в розмірі мінімального прожиткового мінімуму за рахунок державного бюджету для непрацездатних громадян </w:t>
      </w:r>
      <w:r w:rsidR="00EB39B3" w:rsidRPr="0078696C">
        <w:rPr>
          <w:rStyle w:val="a8"/>
          <w:rFonts w:ascii="Times New Roman" w:hAnsi="Times New Roman"/>
          <w:color w:val="000000"/>
          <w:sz w:val="28"/>
          <w:szCs w:val="28"/>
        </w:rPr>
        <w:footnoteReference w:id="9"/>
      </w:r>
      <w:r w:rsidR="00EB39B3" w:rsidRPr="0078696C">
        <w:rPr>
          <w:rFonts w:ascii="Times New Roman" w:hAnsi="Times New Roman"/>
          <w:color w:val="000000"/>
          <w:sz w:val="28"/>
          <w:szCs w:val="28"/>
        </w:rPr>
        <w:t>.</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У статті 1 Закону України «Про загальнообов'язкове державне пенсійне страхування» зазначається, що пенсія – це щомісячна пенсійна виплата в солідарній системі загальнообов'язкового державного пенсійного страхування, яку отримує застрахована особа в разі досягнення нею передбаченого цим Законом пенсійного віку чи визнання її особою з інвалідністю, або отримують члени її сім'ї у випадках, визначених цим Законом </w:t>
      </w:r>
      <w:r w:rsidRPr="0078696C">
        <w:rPr>
          <w:rFonts w:ascii="Times New Roman" w:hAnsi="Times New Roman"/>
          <w:color w:val="000000"/>
          <w:sz w:val="28"/>
          <w:szCs w:val="28"/>
          <w:vertAlign w:val="superscript"/>
        </w:rPr>
        <w:footnoteReference w:id="10"/>
      </w:r>
      <w:r w:rsidRPr="0078696C">
        <w:rPr>
          <w:rFonts w:ascii="Times New Roman" w:hAnsi="Times New Roman"/>
          <w:color w:val="000000"/>
          <w:sz w:val="28"/>
          <w:szCs w:val="28"/>
        </w:rPr>
        <w:t>.</w:t>
      </w:r>
    </w:p>
    <w:p w:rsidR="00EB39B3" w:rsidRPr="0078696C" w:rsidRDefault="00EB39B3"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Таким чином, функціональне призначення пенсійних виплат полягає не лише у наданні засобів для існування у випадку настання непрацездатності (хвороба, нещасний випадок, інвалідність</w:t>
      </w:r>
      <w:r w:rsidR="003B781A" w:rsidRPr="0078696C">
        <w:rPr>
          <w:rFonts w:ascii="Times New Roman" w:hAnsi="Times New Roman"/>
          <w:color w:val="000000"/>
          <w:sz w:val="28"/>
          <w:szCs w:val="28"/>
        </w:rPr>
        <w:t>, літній вік</w:t>
      </w:r>
      <w:r w:rsidRPr="0078696C">
        <w:rPr>
          <w:rFonts w:ascii="Times New Roman" w:hAnsi="Times New Roman"/>
          <w:color w:val="000000"/>
          <w:sz w:val="28"/>
          <w:szCs w:val="28"/>
        </w:rPr>
        <w:t xml:space="preserve"> тощо), але й для підтримки певного рівня життя на період непрацездатності. Отже, соціальні виплати, а у першу чергу – пенсії, мають подвійну природу.</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Термін «пенсійне забезпечення» є досить об’ємним та включає в себе різні форми соціального захисту населення від соціальних ризиків, пов’язаних з настанням старості, інвалідністю, втратою годувальника, втратою професійної працездатності. У широкому сенсі в нього включаються не тільки обов’язкові та додаткові пенсійні програми, а й інші системи, що дозволяють підтримувати </w:t>
      </w:r>
      <w:r w:rsidRPr="0078696C">
        <w:rPr>
          <w:rFonts w:ascii="Times New Roman" w:hAnsi="Times New Roman"/>
          <w:color w:val="000000"/>
          <w:sz w:val="28"/>
          <w:szCs w:val="28"/>
        </w:rPr>
        <w:lastRenderedPageBreak/>
        <w:t xml:space="preserve">певний рівень і стандарти життя в пенсійному віці (наприклад, системи охорони здоров'я, соціального обслуговування та ін.) </w:t>
      </w:r>
      <w:r w:rsidRPr="0078696C">
        <w:rPr>
          <w:rFonts w:ascii="Times New Roman" w:hAnsi="Times New Roman"/>
          <w:color w:val="000000"/>
          <w:sz w:val="28"/>
          <w:szCs w:val="28"/>
          <w:vertAlign w:val="superscript"/>
        </w:rPr>
        <w:footnoteReference w:id="11"/>
      </w:r>
      <w:r w:rsidRPr="0078696C">
        <w:rPr>
          <w:rFonts w:ascii="Times New Roman" w:hAnsi="Times New Roman"/>
          <w:color w:val="000000"/>
          <w:sz w:val="28"/>
          <w:szCs w:val="28"/>
        </w:rPr>
        <w:t>.</w:t>
      </w:r>
    </w:p>
    <w:p w:rsidR="004E3805" w:rsidRPr="0078696C" w:rsidRDefault="00AF78D1" w:rsidP="00AB22BB">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У науковій літературі попри те, що немає єдиного визначення поняття пенсійного забезпечення, все ж відсутні принципові відмінності між поглядами провідних </w:t>
      </w:r>
      <w:r w:rsidR="00C46B3F" w:rsidRPr="0078696C">
        <w:rPr>
          <w:rFonts w:ascii="Times New Roman" w:hAnsi="Times New Roman"/>
          <w:color w:val="000000"/>
          <w:sz w:val="28"/>
          <w:szCs w:val="28"/>
        </w:rPr>
        <w:t>учених на сутність цього явища.</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w:t>
      </w:r>
      <w:r w:rsidR="00AF78D1" w:rsidRPr="0078696C">
        <w:rPr>
          <w:rFonts w:ascii="Times New Roman" w:hAnsi="Times New Roman"/>
          <w:color w:val="000000"/>
          <w:sz w:val="28"/>
          <w:szCs w:val="28"/>
        </w:rPr>
        <w:t>Соломка</w:t>
      </w:r>
      <w:r w:rsidR="004E3805" w:rsidRPr="0078696C">
        <w:rPr>
          <w:rFonts w:ascii="Times New Roman" w:hAnsi="Times New Roman"/>
          <w:color w:val="000000"/>
          <w:sz w:val="28"/>
          <w:szCs w:val="28"/>
        </w:rPr>
        <w:t xml:space="preserve"> вважає, що</w:t>
      </w:r>
      <w:r w:rsidR="00AF78D1" w:rsidRPr="0078696C">
        <w:rPr>
          <w:rFonts w:ascii="Times New Roman" w:hAnsi="Times New Roman"/>
          <w:color w:val="000000"/>
          <w:sz w:val="28"/>
          <w:szCs w:val="28"/>
        </w:rPr>
        <w:t xml:space="preserve"> пенсійне забезпечення – це система інститутів (правил і організацій) та механізмів їх взаємодії, що акумулюють кошти через розподільчий (оподаткування) й нагромаджувальний (страхування) канали, амортизують наслідки соціальних ризиків, що прогнозуються (зміна матеріального стану працюючих та інших категорій громадян унаслідок настання старості, інвалідності, втрати годувальника) відповідно до визначених соціальних технологій і національних правил, які мінімізують наслідки зміни матеріального становища </w:t>
      </w:r>
      <w:r w:rsidR="00AF78D1" w:rsidRPr="0078696C">
        <w:rPr>
          <w:rFonts w:ascii="Times New Roman" w:hAnsi="Times New Roman"/>
          <w:color w:val="000000"/>
          <w:sz w:val="28"/>
          <w:szCs w:val="28"/>
          <w:vertAlign w:val="superscript"/>
        </w:rPr>
        <w:footnoteReference w:id="12"/>
      </w:r>
      <w:r w:rsidR="00570104" w:rsidRPr="0078696C">
        <w:rPr>
          <w:rFonts w:ascii="Times New Roman" w:hAnsi="Times New Roman"/>
          <w:color w:val="000000"/>
          <w:sz w:val="28"/>
          <w:szCs w:val="28"/>
        </w:rPr>
        <w:t>.</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w:t>
      </w:r>
      <w:r w:rsidR="00AF78D1" w:rsidRPr="0078696C">
        <w:rPr>
          <w:rFonts w:ascii="Times New Roman" w:hAnsi="Times New Roman"/>
          <w:color w:val="000000"/>
          <w:sz w:val="28"/>
          <w:szCs w:val="28"/>
        </w:rPr>
        <w:t xml:space="preserve">Бевзенко визначає пенсійне забезпечення як систему заходів та принципів, направлених на забезпечення трудовими (за віком, у зв'язку з інвалідністю, в разі втрати годувальника, за вислугу років) та соціальними пенсіями усіх непрацездатних громадян (за виключенням короткотермінової втрати працездатності у випадку хвороби) за рахунок суспільних фондів споживання чи коштів державного бюджету </w:t>
      </w:r>
      <w:r w:rsidR="00AF78D1" w:rsidRPr="0078696C">
        <w:rPr>
          <w:rFonts w:ascii="Times New Roman" w:hAnsi="Times New Roman"/>
          <w:color w:val="000000"/>
          <w:sz w:val="28"/>
          <w:szCs w:val="28"/>
          <w:vertAlign w:val="superscript"/>
        </w:rPr>
        <w:footnoteReference w:id="13"/>
      </w:r>
      <w:r w:rsidR="00AF78D1" w:rsidRPr="0078696C">
        <w:rPr>
          <w:rFonts w:ascii="Times New Roman" w:hAnsi="Times New Roman"/>
          <w:color w:val="000000"/>
          <w:sz w:val="28"/>
          <w:szCs w:val="28"/>
        </w:rPr>
        <w:t>.</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Доволі широке тлу</w:t>
      </w:r>
      <w:r w:rsidR="00D676EB">
        <w:rPr>
          <w:rFonts w:ascii="Times New Roman" w:hAnsi="Times New Roman"/>
          <w:color w:val="000000"/>
          <w:sz w:val="28"/>
          <w:szCs w:val="28"/>
        </w:rPr>
        <w:t>мачення даному поняттю надає І.</w:t>
      </w:r>
      <w:r w:rsidR="008D0464">
        <w:rPr>
          <w:rFonts w:ascii="Times New Roman" w:hAnsi="Times New Roman"/>
          <w:color w:val="000000"/>
          <w:sz w:val="28"/>
          <w:szCs w:val="28"/>
        </w:rPr>
        <w:t> </w:t>
      </w:r>
      <w:r w:rsidRPr="0078696C">
        <w:rPr>
          <w:rFonts w:ascii="Times New Roman" w:hAnsi="Times New Roman"/>
          <w:color w:val="000000"/>
          <w:sz w:val="28"/>
          <w:szCs w:val="28"/>
        </w:rPr>
        <w:t xml:space="preserve">Жмурко, згідно </w:t>
      </w:r>
      <w:r w:rsidR="00C46B3F" w:rsidRPr="0078696C">
        <w:rPr>
          <w:rFonts w:ascii="Times New Roman" w:hAnsi="Times New Roman"/>
          <w:color w:val="000000"/>
          <w:sz w:val="28"/>
          <w:szCs w:val="28"/>
        </w:rPr>
        <w:t xml:space="preserve">з </w:t>
      </w:r>
      <w:r w:rsidRPr="0078696C">
        <w:rPr>
          <w:rFonts w:ascii="Times New Roman" w:hAnsi="Times New Roman"/>
          <w:color w:val="000000"/>
          <w:sz w:val="28"/>
          <w:szCs w:val="28"/>
        </w:rPr>
        <w:t>тлумачення</w:t>
      </w:r>
      <w:r w:rsidR="00C46B3F" w:rsidRPr="0078696C">
        <w:rPr>
          <w:rFonts w:ascii="Times New Roman" w:hAnsi="Times New Roman"/>
          <w:color w:val="000000"/>
          <w:sz w:val="28"/>
          <w:szCs w:val="28"/>
        </w:rPr>
        <w:t>м</w:t>
      </w:r>
      <w:r w:rsidRPr="0078696C">
        <w:rPr>
          <w:rFonts w:ascii="Times New Roman" w:hAnsi="Times New Roman"/>
          <w:color w:val="000000"/>
          <w:sz w:val="28"/>
          <w:szCs w:val="28"/>
        </w:rPr>
        <w:t xml:space="preserve"> якого, пенсійне забезпечення – це один із основних видів соціального забезпечення непрацездатних громадян, єдине джерело засобів для їх існування, а також один із видів соціального забезпечення населення, який пов'язаний з виплатою щомісячних, і як правило, довічних грошових виплат – пенсій – непрацездатним громадянам у зв'язку з настанням певних найбільш </w:t>
      </w:r>
      <w:r w:rsidRPr="0078696C">
        <w:rPr>
          <w:rFonts w:ascii="Times New Roman" w:hAnsi="Times New Roman"/>
          <w:color w:val="000000"/>
          <w:sz w:val="28"/>
          <w:szCs w:val="28"/>
        </w:rPr>
        <w:lastRenderedPageBreak/>
        <w:t xml:space="preserve">несприятливих соціальних обставин – старості, інвалідності, втрати годувальника та інших, передбачених чинним законодавством </w:t>
      </w:r>
      <w:r w:rsidRPr="0078696C">
        <w:rPr>
          <w:rFonts w:ascii="Times New Roman" w:hAnsi="Times New Roman"/>
          <w:color w:val="000000"/>
          <w:sz w:val="28"/>
          <w:szCs w:val="28"/>
          <w:vertAlign w:val="superscript"/>
        </w:rPr>
        <w:footnoteReference w:id="14"/>
      </w:r>
      <w:r w:rsidRPr="0078696C">
        <w:rPr>
          <w:rFonts w:ascii="Times New Roman" w:hAnsi="Times New Roman"/>
          <w:color w:val="000000"/>
          <w:sz w:val="28"/>
          <w:szCs w:val="28"/>
        </w:rPr>
        <w:t>.</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Науковець у </w:t>
      </w:r>
      <w:r w:rsidR="00D676EB">
        <w:rPr>
          <w:rFonts w:ascii="Times New Roman" w:hAnsi="Times New Roman"/>
          <w:color w:val="000000"/>
          <w:sz w:val="28"/>
          <w:szCs w:val="28"/>
        </w:rPr>
        <w:t>галузі державного управління О.</w:t>
      </w:r>
      <w:r w:rsidRPr="0078696C">
        <w:rPr>
          <w:rFonts w:ascii="Times New Roman" w:hAnsi="Times New Roman"/>
          <w:color w:val="000000"/>
          <w:sz w:val="28"/>
          <w:szCs w:val="28"/>
        </w:rPr>
        <w:t xml:space="preserve">Буряченко наводить наступне визначення поняття пенсійного забезпечення: «процес матеріальної підтримки індивіда, безпосередньо пов'язаний з його трудовою діяльністю, терміни та умови якого залежать від розміру заробітної плати, стажу роботи, умов праці та ін.» </w:t>
      </w:r>
      <w:r w:rsidRPr="0078696C">
        <w:rPr>
          <w:rFonts w:ascii="Times New Roman" w:hAnsi="Times New Roman"/>
          <w:color w:val="000000"/>
          <w:sz w:val="28"/>
          <w:szCs w:val="28"/>
          <w:vertAlign w:val="superscript"/>
        </w:rPr>
        <w:footnoteReference w:id="15"/>
      </w:r>
      <w:r w:rsidRPr="0078696C">
        <w:rPr>
          <w:rFonts w:ascii="Times New Roman" w:hAnsi="Times New Roman"/>
          <w:color w:val="000000"/>
          <w:sz w:val="28"/>
          <w:szCs w:val="28"/>
        </w:rPr>
        <w:t>.</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w:t>
      </w:r>
      <w:r w:rsidR="00AF78D1" w:rsidRPr="0078696C">
        <w:rPr>
          <w:rFonts w:ascii="Times New Roman" w:hAnsi="Times New Roman"/>
          <w:color w:val="000000"/>
          <w:sz w:val="28"/>
          <w:szCs w:val="28"/>
        </w:rPr>
        <w:t xml:space="preserve">Міндова, узагальнюючи існуючі підходи до визначення сутності пенсійного забезпечення, визначає його як систему правових, економічних, організаційно-адміністративних, соціальних, фінансових заходів щодо підтримки та захисту осіб від матеріальної незабезпеченості внаслідок втрати працездатності за віком, інвалідністю або втратою годувальника </w:t>
      </w:r>
      <w:r w:rsidR="00AF78D1" w:rsidRPr="0078696C">
        <w:rPr>
          <w:rFonts w:ascii="Times New Roman" w:hAnsi="Times New Roman"/>
          <w:color w:val="000000"/>
          <w:sz w:val="28"/>
          <w:szCs w:val="28"/>
          <w:vertAlign w:val="superscript"/>
        </w:rPr>
        <w:footnoteReference w:id="16"/>
      </w:r>
      <w:r w:rsidR="00AF78D1" w:rsidRPr="0078696C">
        <w:rPr>
          <w:rFonts w:ascii="Times New Roman" w:hAnsi="Times New Roman"/>
          <w:color w:val="000000"/>
          <w:sz w:val="28"/>
          <w:szCs w:val="28"/>
        </w:rPr>
        <w:t>.</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Т.</w:t>
      </w:r>
      <w:r w:rsidR="00AF78D1" w:rsidRPr="0078696C">
        <w:rPr>
          <w:rFonts w:ascii="Times New Roman" w:hAnsi="Times New Roman"/>
          <w:color w:val="000000"/>
          <w:sz w:val="28"/>
          <w:szCs w:val="28"/>
        </w:rPr>
        <w:t xml:space="preserve">Дідковська визначає пенсійне забезпечення як комплексні організаційно-правові заходи, метою яких є задоволення життєвих потреб шляхом здійснення грошових виплат громадянам, які мають право на їх отримання, а також гарантування пенсіонерам здійснення свого права, державний захист та охорону їхніх прав </w:t>
      </w:r>
      <w:r w:rsidR="00AF78D1" w:rsidRPr="0078696C">
        <w:rPr>
          <w:rFonts w:ascii="Times New Roman" w:hAnsi="Times New Roman"/>
          <w:color w:val="000000"/>
          <w:sz w:val="28"/>
          <w:szCs w:val="28"/>
          <w:vertAlign w:val="superscript"/>
        </w:rPr>
        <w:footnoteReference w:id="17"/>
      </w:r>
      <w:r w:rsidR="00570104" w:rsidRPr="0078696C">
        <w:rPr>
          <w:rFonts w:ascii="Times New Roman" w:hAnsi="Times New Roman"/>
          <w:color w:val="000000"/>
          <w:sz w:val="28"/>
          <w:szCs w:val="28"/>
        </w:rPr>
        <w:t>.</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Власне визначення формулює Т.</w:t>
      </w:r>
      <w:r w:rsidR="00AF78D1" w:rsidRPr="0078696C">
        <w:rPr>
          <w:rFonts w:ascii="Times New Roman" w:hAnsi="Times New Roman"/>
          <w:color w:val="000000"/>
          <w:sz w:val="28"/>
          <w:szCs w:val="28"/>
        </w:rPr>
        <w:t xml:space="preserve">Кравчук: «Пенсійне забезпечення – це форма матеріального забезпечення фізичних осіб – суб'єктів як загальнообов'язкового державного пенсійного страхування, так і недержавного пенсійного забезпечення, у вигляді пенсій та соціальних послуг, які формуються за рахунок страхових внесків, що сплачуються за кошт юридичних та/або фізичних осіб, державного й місцевого бюджетів, цільових фондів, та </w:t>
      </w:r>
      <w:r w:rsidR="00AF78D1" w:rsidRPr="0078696C">
        <w:rPr>
          <w:rFonts w:ascii="Times New Roman" w:hAnsi="Times New Roman"/>
          <w:color w:val="000000"/>
          <w:sz w:val="28"/>
          <w:szCs w:val="28"/>
        </w:rPr>
        <w:lastRenderedPageBreak/>
        <w:t xml:space="preserve">акумулюються на банківських рахунках Пенсійного і Накопичувального фондів, недержавних пенсійних фондів, банківських установ» </w:t>
      </w:r>
      <w:r w:rsidR="00AF78D1" w:rsidRPr="0078696C">
        <w:rPr>
          <w:rFonts w:ascii="Times New Roman" w:hAnsi="Times New Roman"/>
          <w:color w:val="000000"/>
          <w:sz w:val="28"/>
          <w:szCs w:val="28"/>
          <w:vertAlign w:val="superscript"/>
        </w:rPr>
        <w:footnoteReference w:id="18"/>
      </w:r>
      <w:r w:rsidR="00AF78D1" w:rsidRPr="0078696C">
        <w:rPr>
          <w:rFonts w:ascii="Times New Roman" w:hAnsi="Times New Roman"/>
          <w:color w:val="000000"/>
          <w:sz w:val="28"/>
          <w:szCs w:val="28"/>
        </w:rPr>
        <w:t>.</w:t>
      </w:r>
    </w:p>
    <w:p w:rsidR="000F2D06" w:rsidRPr="0078696C" w:rsidRDefault="00D676EB" w:rsidP="000F2D06">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К.</w:t>
      </w:r>
      <w:r w:rsidR="000F2D06" w:rsidRPr="0078696C">
        <w:rPr>
          <w:rFonts w:ascii="Times New Roman" w:hAnsi="Times New Roman"/>
          <w:color w:val="000000"/>
          <w:sz w:val="28"/>
          <w:szCs w:val="28"/>
        </w:rPr>
        <w:t xml:space="preserve">Черненок визначає систему пенсійного забезпечення як сукупність фінансово-економічних, демографічних, інституційно-правових норм та відносин між державними і недержавними інститутами, установами, організаціями, що мають на меті підтримання рівня життя осіб похилого віку за рахунок розподільчого принципу фінансування (задоволення базових потреб) та індивідуального накопичення коштів (задоволення потреб вищих рівнів), а також сприяють соціальній адаптації осіб похилого віку до зміни стилю життя після припинення активної трудової діяльності </w:t>
      </w:r>
      <w:r w:rsidR="000F2D06" w:rsidRPr="0078696C">
        <w:rPr>
          <w:rStyle w:val="a8"/>
          <w:rFonts w:ascii="Times New Roman" w:hAnsi="Times New Roman"/>
          <w:color w:val="000000"/>
          <w:sz w:val="28"/>
          <w:szCs w:val="28"/>
        </w:rPr>
        <w:footnoteReference w:id="19"/>
      </w:r>
      <w:r w:rsidR="000F2D06" w:rsidRPr="0078696C">
        <w:rPr>
          <w:rFonts w:ascii="Times New Roman" w:hAnsi="Times New Roman"/>
          <w:color w:val="000000"/>
          <w:sz w:val="28"/>
          <w:szCs w:val="28"/>
        </w:rPr>
        <w:t>.</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Як видно з наведених визначень, поняття пенсійного забезпечення є складною системою, що шляхом розподілу і перерозподілу валового внутрішнього продукту, а також інших складових національного багатства, забезпечує фінансову підтримку осіб в зв’язку з віковими змінами, втратою професійної працездатності, настання інвалідності або в зв’язку з втратою годувальника.</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 свою чергу, вузьке трактування терміну передбачає, що з пенсійного забезпечення виключається поняття пенсійного страхування. Однак, ситуація ускладнюється тією обставиною, що самі зазначені поняття чітко не визначені, а </w:t>
      </w:r>
      <w:r w:rsidR="003B781A" w:rsidRPr="0078696C">
        <w:rPr>
          <w:rFonts w:ascii="Times New Roman" w:hAnsi="Times New Roman"/>
          <w:color w:val="000000"/>
          <w:sz w:val="28"/>
          <w:szCs w:val="28"/>
        </w:rPr>
        <w:t>межі</w:t>
      </w:r>
      <w:r w:rsidRPr="0078696C">
        <w:rPr>
          <w:rFonts w:ascii="Times New Roman" w:hAnsi="Times New Roman"/>
          <w:color w:val="000000"/>
          <w:sz w:val="28"/>
          <w:szCs w:val="28"/>
        </w:rPr>
        <w:t xml:space="preserve"> між ними рухливі.Досить часто </w:t>
      </w:r>
      <w:r w:rsidR="003B781A" w:rsidRPr="0078696C">
        <w:rPr>
          <w:rFonts w:ascii="Times New Roman" w:hAnsi="Times New Roman"/>
          <w:color w:val="000000"/>
          <w:sz w:val="28"/>
          <w:szCs w:val="28"/>
        </w:rPr>
        <w:t>виникає</w:t>
      </w:r>
      <w:r w:rsidRPr="0078696C">
        <w:rPr>
          <w:rFonts w:ascii="Times New Roman" w:hAnsi="Times New Roman"/>
          <w:color w:val="000000"/>
          <w:sz w:val="28"/>
          <w:szCs w:val="28"/>
        </w:rPr>
        <w:t xml:space="preserve"> питання про паралельне і рівнозначне існування процесів, позначених зазначеними термінами, в залежності від методів фінансування та формування грошових фондів. Зокрема, при фінансуванні у вигляді прямих асигнувань з бюджету використовують термін «пенсійне забезпечення», а при застосуванні страхових методів при формуванні спеціальних фондів – термін «пенсійне страхування»</w:t>
      </w:r>
      <w:r w:rsidRPr="0078696C">
        <w:rPr>
          <w:rFonts w:ascii="Times New Roman" w:hAnsi="Times New Roman"/>
          <w:color w:val="000000"/>
          <w:sz w:val="28"/>
          <w:szCs w:val="28"/>
          <w:vertAlign w:val="superscript"/>
        </w:rPr>
        <w:footnoteReference w:id="20"/>
      </w:r>
      <w:r w:rsidRPr="0078696C">
        <w:rPr>
          <w:rFonts w:ascii="Times New Roman" w:hAnsi="Times New Roman"/>
          <w:color w:val="000000"/>
          <w:sz w:val="28"/>
          <w:szCs w:val="28"/>
        </w:rPr>
        <w:t>.</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В підручнику «Соціальне страхування» </w:t>
      </w:r>
      <w:r w:rsidR="00D676EB">
        <w:rPr>
          <w:rFonts w:ascii="Times New Roman" w:hAnsi="Times New Roman"/>
          <w:color w:val="000000"/>
          <w:sz w:val="28"/>
          <w:szCs w:val="28"/>
        </w:rPr>
        <w:t>(С.Юрій, М.</w:t>
      </w:r>
      <w:r w:rsidR="00426CE9" w:rsidRPr="0078696C">
        <w:rPr>
          <w:rFonts w:ascii="Times New Roman" w:hAnsi="Times New Roman"/>
          <w:color w:val="000000"/>
          <w:sz w:val="28"/>
          <w:szCs w:val="28"/>
        </w:rPr>
        <w:t xml:space="preserve">Шаварина, </w:t>
      </w:r>
      <w:r w:rsidR="00426CE9" w:rsidRPr="0078696C">
        <w:rPr>
          <w:rFonts w:ascii="Times New Roman" w:hAnsi="Times New Roman"/>
          <w:color w:val="000000"/>
          <w:sz w:val="28"/>
          <w:szCs w:val="28"/>
        </w:rPr>
        <w:br/>
      </w:r>
      <w:r w:rsidR="00D676EB">
        <w:rPr>
          <w:rFonts w:ascii="Times New Roman" w:hAnsi="Times New Roman"/>
          <w:color w:val="000000"/>
          <w:sz w:val="28"/>
          <w:szCs w:val="28"/>
        </w:rPr>
        <w:t>Н.</w:t>
      </w:r>
      <w:r w:rsidRPr="0078696C">
        <w:rPr>
          <w:rFonts w:ascii="Times New Roman" w:hAnsi="Times New Roman"/>
          <w:color w:val="000000"/>
          <w:sz w:val="28"/>
          <w:szCs w:val="28"/>
        </w:rPr>
        <w:t xml:space="preserve">Шаманська) поняття «пенсійне страхування» визначено як гарантована </w:t>
      </w:r>
      <w:r w:rsidRPr="0078696C">
        <w:rPr>
          <w:rFonts w:ascii="Times New Roman" w:hAnsi="Times New Roman"/>
          <w:color w:val="000000"/>
          <w:sz w:val="28"/>
          <w:szCs w:val="28"/>
        </w:rPr>
        <w:lastRenderedPageBreak/>
        <w:t xml:space="preserve">державою система заходів щодо забезпечення громадян у старості, на випадок хвороби, втрати працездатності </w:t>
      </w:r>
      <w:r w:rsidRPr="0078696C">
        <w:rPr>
          <w:rFonts w:ascii="Times New Roman" w:hAnsi="Times New Roman"/>
          <w:color w:val="000000"/>
          <w:sz w:val="28"/>
          <w:szCs w:val="28"/>
          <w:vertAlign w:val="superscript"/>
        </w:rPr>
        <w:footnoteReference w:id="21"/>
      </w:r>
      <w:r w:rsidRPr="0078696C">
        <w:rPr>
          <w:rFonts w:ascii="Times New Roman" w:hAnsi="Times New Roman"/>
          <w:color w:val="000000"/>
          <w:sz w:val="28"/>
          <w:szCs w:val="28"/>
        </w:rPr>
        <w:t>. Перевагою цього визначення є його лаконічність і, водночас, чіткість окреслення основних елементів державного пенсійного страхування. Проте застосовувати таке визначення державного пенсійного страхування в спеціальному науковому дослідженні, на нашу думку, недоцільно, оскільки у цій дефініції не зазначено специфічних джерел формування ресурсів забезпечення громадян, а також не конкретизовано словосполучення «випадок хвороби» і «втрати працездатності», що дає змогу трактувати запропонований термін надто широко.</w:t>
      </w:r>
    </w:p>
    <w:p w:rsidR="0023359E"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У розумінні професора В.</w:t>
      </w:r>
      <w:r w:rsidR="0023359E" w:rsidRPr="0078696C">
        <w:rPr>
          <w:rFonts w:ascii="Times New Roman" w:hAnsi="Times New Roman"/>
          <w:color w:val="000000"/>
          <w:sz w:val="28"/>
          <w:szCs w:val="28"/>
        </w:rPr>
        <w:t xml:space="preserve">Антропова, пенсійне забезпечення громадян за віком є страхуванням в сенсі надання захисту від ризику втрати доходу внаслідок повної або часткової втрати працездатності в зв'язку з досягненням пенсійного віку. Однак, як зазначає науковець, економічний механізм здійснення такого захисту все ж таки відрізняється від класичного механізму страхування, а тому, як правило, частіше вживається поняття «пенсійне забезпечення» і рідше – «пенсійне страхування» </w:t>
      </w:r>
      <w:r w:rsidR="0023359E" w:rsidRPr="0078696C">
        <w:rPr>
          <w:rStyle w:val="a8"/>
          <w:rFonts w:ascii="Times New Roman" w:hAnsi="Times New Roman"/>
          <w:color w:val="000000"/>
          <w:sz w:val="28"/>
          <w:szCs w:val="28"/>
        </w:rPr>
        <w:footnoteReference w:id="22"/>
      </w:r>
      <w:r w:rsidR="0023359E" w:rsidRPr="0078696C">
        <w:rPr>
          <w:rFonts w:ascii="Times New Roman" w:hAnsi="Times New Roman"/>
          <w:color w:val="000000"/>
          <w:sz w:val="28"/>
          <w:szCs w:val="28"/>
        </w:rPr>
        <w:t>.</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На думку Л.</w:t>
      </w:r>
      <w:r w:rsidR="003B781A" w:rsidRPr="0078696C">
        <w:rPr>
          <w:rFonts w:ascii="Times New Roman" w:hAnsi="Times New Roman"/>
          <w:color w:val="000000"/>
          <w:sz w:val="28"/>
          <w:szCs w:val="28"/>
        </w:rPr>
        <w:t>Стожок,</w:t>
      </w:r>
      <w:r w:rsidR="008D0464">
        <w:rPr>
          <w:rFonts w:ascii="Times New Roman" w:hAnsi="Times New Roman"/>
          <w:color w:val="000000"/>
          <w:sz w:val="28"/>
          <w:szCs w:val="28"/>
        </w:rPr>
        <w:t xml:space="preserve"> </w:t>
      </w:r>
      <w:r w:rsidR="003B781A" w:rsidRPr="0078696C">
        <w:rPr>
          <w:rFonts w:ascii="Times New Roman" w:hAnsi="Times New Roman"/>
          <w:color w:val="000000"/>
          <w:sz w:val="28"/>
          <w:szCs w:val="28"/>
        </w:rPr>
        <w:t>пенсійне</w:t>
      </w:r>
      <w:r w:rsidR="00AF78D1" w:rsidRPr="0078696C">
        <w:rPr>
          <w:rFonts w:ascii="Times New Roman" w:hAnsi="Times New Roman"/>
          <w:color w:val="000000"/>
          <w:sz w:val="28"/>
          <w:szCs w:val="28"/>
        </w:rPr>
        <w:t xml:space="preserve"> страхування </w:t>
      </w:r>
      <w:r w:rsidR="00FC1256" w:rsidRPr="0078696C">
        <w:rPr>
          <w:rFonts w:ascii="Times New Roman" w:hAnsi="Times New Roman"/>
          <w:color w:val="000000"/>
          <w:sz w:val="28"/>
          <w:szCs w:val="28"/>
        </w:rPr>
        <w:t>– це</w:t>
      </w:r>
      <w:r w:rsidR="00AF78D1" w:rsidRPr="0078696C">
        <w:rPr>
          <w:rFonts w:ascii="Times New Roman" w:hAnsi="Times New Roman"/>
          <w:color w:val="000000"/>
          <w:sz w:val="28"/>
          <w:szCs w:val="28"/>
        </w:rPr>
        <w:t xml:space="preserve"> складн</w:t>
      </w:r>
      <w:r w:rsidR="003B781A" w:rsidRPr="0078696C">
        <w:rPr>
          <w:rFonts w:ascii="Times New Roman" w:hAnsi="Times New Roman"/>
          <w:color w:val="000000"/>
          <w:sz w:val="28"/>
          <w:szCs w:val="28"/>
        </w:rPr>
        <w:t>а підсистема</w:t>
      </w:r>
      <w:r w:rsidR="00AF78D1" w:rsidRPr="0078696C">
        <w:rPr>
          <w:rFonts w:ascii="Times New Roman" w:hAnsi="Times New Roman"/>
          <w:color w:val="000000"/>
          <w:sz w:val="28"/>
          <w:szCs w:val="28"/>
        </w:rPr>
        <w:t xml:space="preserve">, що поєднує економічні, соціальні й правові інститути, призначені для реалізації інтересів і потреб стосовно захисту різних верств населення. З економічної позиції пенсійне страхування виступає як інститут соціальної політики. З соціальної – розглядається як складова системи соціального страхування і як форма соціального захисту, котра дає змогу при настанні соціальних ризиків зберегти необхідні стандарти рівня та якості життя непрацездатного населення. З правових аспектів пенсійне страхування трактується як система юридичних норм, що регулюють соціальний захист населення при настанні страхових випадків, передбачених законодавством </w:t>
      </w:r>
      <w:r w:rsidR="00AF78D1" w:rsidRPr="0078696C">
        <w:rPr>
          <w:rFonts w:ascii="Times New Roman" w:hAnsi="Times New Roman"/>
          <w:color w:val="000000"/>
          <w:sz w:val="28"/>
          <w:szCs w:val="28"/>
          <w:vertAlign w:val="superscript"/>
        </w:rPr>
        <w:footnoteReference w:id="23"/>
      </w:r>
      <w:r w:rsidR="00AF78D1" w:rsidRPr="0078696C">
        <w:rPr>
          <w:rFonts w:ascii="Times New Roman" w:hAnsi="Times New Roman"/>
          <w:color w:val="000000"/>
          <w:sz w:val="28"/>
          <w:szCs w:val="28"/>
        </w:rPr>
        <w:t>.</w:t>
      </w:r>
    </w:p>
    <w:p w:rsidR="00AF78D1" w:rsidRPr="0078696C" w:rsidRDefault="00D676EB" w:rsidP="00AF78D1">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lastRenderedPageBreak/>
        <w:t>Професор М.</w:t>
      </w:r>
      <w:r w:rsidR="00AF78D1" w:rsidRPr="0078696C">
        <w:rPr>
          <w:rFonts w:ascii="Times New Roman" w:hAnsi="Times New Roman"/>
          <w:color w:val="000000"/>
          <w:sz w:val="28"/>
          <w:szCs w:val="28"/>
        </w:rPr>
        <w:t xml:space="preserve">Шумило визначає пенсійне страхування як особливий вид соціально-економічного, особистого страхування, що базується на засадах загальнообов’язковості та добровільності, об’єктом якого є пенсійно-страховий випадок, настання якого дає право особі на отримання пенсійної виплати </w:t>
      </w:r>
      <w:r w:rsidR="00AF78D1" w:rsidRPr="0078696C">
        <w:rPr>
          <w:rFonts w:ascii="Times New Roman" w:hAnsi="Times New Roman"/>
          <w:color w:val="000000"/>
          <w:sz w:val="28"/>
          <w:szCs w:val="28"/>
          <w:vertAlign w:val="superscript"/>
        </w:rPr>
        <w:footnoteReference w:id="24"/>
      </w:r>
      <w:r w:rsidR="00AF78D1" w:rsidRPr="0078696C">
        <w:rPr>
          <w:rFonts w:ascii="Times New Roman" w:hAnsi="Times New Roman"/>
          <w:color w:val="000000"/>
          <w:sz w:val="28"/>
          <w:szCs w:val="28"/>
        </w:rPr>
        <w:t>.</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 зв’язку з розглянутою темою цікавий підхід</w:t>
      </w:r>
      <w:r w:rsidR="003B781A" w:rsidRPr="0078696C">
        <w:rPr>
          <w:rFonts w:ascii="Times New Roman" w:hAnsi="Times New Roman"/>
          <w:color w:val="000000"/>
          <w:sz w:val="28"/>
          <w:szCs w:val="28"/>
        </w:rPr>
        <w:t xml:space="preserve"> було</w:t>
      </w:r>
      <w:r w:rsidRPr="0078696C">
        <w:rPr>
          <w:rFonts w:ascii="Times New Roman" w:hAnsi="Times New Roman"/>
          <w:color w:val="000000"/>
          <w:sz w:val="28"/>
          <w:szCs w:val="28"/>
        </w:rPr>
        <w:t xml:space="preserve"> запропонован</w:t>
      </w:r>
      <w:r w:rsidR="003B781A" w:rsidRPr="0078696C">
        <w:rPr>
          <w:rFonts w:ascii="Times New Roman" w:hAnsi="Times New Roman"/>
          <w:color w:val="000000"/>
          <w:sz w:val="28"/>
          <w:szCs w:val="28"/>
        </w:rPr>
        <w:t>о</w:t>
      </w:r>
      <w:r w:rsidRPr="0078696C">
        <w:rPr>
          <w:rFonts w:ascii="Times New Roman" w:hAnsi="Times New Roman"/>
          <w:color w:val="000000"/>
          <w:sz w:val="28"/>
          <w:szCs w:val="28"/>
        </w:rPr>
        <w:t xml:space="preserve"> Ю.Фіногеновою, </w:t>
      </w:r>
      <w:r w:rsidR="008D0464">
        <w:rPr>
          <w:rFonts w:ascii="Times New Roman" w:hAnsi="Times New Roman"/>
          <w:color w:val="000000"/>
          <w:sz w:val="28"/>
          <w:szCs w:val="28"/>
        </w:rPr>
        <w:t xml:space="preserve"> </w:t>
      </w:r>
      <w:r w:rsidRPr="0078696C">
        <w:rPr>
          <w:rFonts w:ascii="Times New Roman" w:hAnsi="Times New Roman"/>
          <w:color w:val="000000"/>
          <w:sz w:val="28"/>
          <w:szCs w:val="28"/>
        </w:rPr>
        <w:t xml:space="preserve">яка пише, що пенсійне забезпечення – це поняття, що охоплює призначення і виплату всіх існуючих видів пенсій, а пенсійне страхування є формою пенсійного забезпечення громадян, і дані поняття відносяться як загальне до частки </w:t>
      </w:r>
      <w:r w:rsidRPr="0078696C">
        <w:rPr>
          <w:rFonts w:ascii="Times New Roman" w:hAnsi="Times New Roman"/>
          <w:color w:val="000000"/>
          <w:sz w:val="28"/>
          <w:szCs w:val="28"/>
          <w:vertAlign w:val="superscript"/>
        </w:rPr>
        <w:footnoteReference w:id="25"/>
      </w:r>
      <w:r w:rsidRPr="0078696C">
        <w:rPr>
          <w:rFonts w:ascii="Times New Roman" w:hAnsi="Times New Roman"/>
          <w:color w:val="000000"/>
          <w:sz w:val="28"/>
          <w:szCs w:val="28"/>
        </w:rPr>
        <w:t>. На наш погляд, цей підхід дозволяє розглянути всі види пенсій в рамках пенсійної системи, з’єднавши ті, які формуються і виплачуються державою, фінансуються роботодавцями (шляхом відшкодування витрат на виплату і доставку пільгових пенсій) та самими громадянами (недержавне, або добровільне пенсійне забезпечення).</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вважаємо, що термін «пенсійне забезпечення» доцільно розглядати в широкому тлумаченні, який включає в себе всі види пенсій, які формуються і виплачуються в рамках пенсійної системи, з урахуванням виплат із солідарного та накопичувального рівнів, а також за рахунок внесків до недержавних пенсійних фондів.</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В свою чергу, пенсійне страхування, на нашу думку, – це важлива складова соціального страхування, яка характеризується специфічним суб’єктним складом учасників відносин, чіткими часовими рамками взаємодії та фіксованою фінансовою складовою.</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Згідно </w:t>
      </w:r>
      <w:r w:rsidR="00570104" w:rsidRPr="0078696C">
        <w:rPr>
          <w:rFonts w:ascii="Times New Roman" w:hAnsi="Times New Roman"/>
          <w:color w:val="000000"/>
          <w:sz w:val="28"/>
          <w:szCs w:val="28"/>
        </w:rPr>
        <w:t xml:space="preserve">з </w:t>
      </w:r>
      <w:r w:rsidRPr="0078696C">
        <w:rPr>
          <w:rFonts w:ascii="Times New Roman" w:hAnsi="Times New Roman"/>
          <w:color w:val="000000"/>
          <w:sz w:val="28"/>
          <w:szCs w:val="28"/>
        </w:rPr>
        <w:t>ст. 2 Закону України «Про загальнообов’язкове державне пенсійне страхування» система пенсійного забезпечення в Укра</w:t>
      </w:r>
      <w:r w:rsidR="00570104" w:rsidRPr="0078696C">
        <w:rPr>
          <w:rFonts w:ascii="Times New Roman" w:hAnsi="Times New Roman"/>
          <w:color w:val="000000"/>
          <w:sz w:val="28"/>
          <w:szCs w:val="28"/>
        </w:rPr>
        <w:t>їні складається з трьох рівнів:</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Перший рівень – солідарна система загальнообов'язкового державного пенсійного страхування, що базується на засадах солідарності і субсидування та </w:t>
      </w:r>
      <w:r w:rsidRPr="0078696C">
        <w:rPr>
          <w:rFonts w:ascii="Times New Roman" w:hAnsi="Times New Roman"/>
          <w:color w:val="000000"/>
          <w:sz w:val="28"/>
          <w:szCs w:val="28"/>
        </w:rPr>
        <w:lastRenderedPageBreak/>
        <w:t>здійснення виплати пенсій і надання соціальних послуг за рахунок коштів Пенсійного фонду на умовах та в порядку, передбачених цим Законом.</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Другий рівень – накопичувальна система загальнообов'язкового державного пенсійного страхування, що базується на засадах накопичення коштів застрахованих осіб у Накопичувальному фонді або у відповідних недержавних пенсійних фондах – суб'єктах другого рівня системи пенсійного забезпечення та здійснення фінансування витрат на оплату договорів страхування довічних пенсій і одноразових виплат на умовах та в порядку, передбачених законом.</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Третій рівень – система недержавного пенсійного забезпечення, що базується на засадах добровільної участі громадян, роботодавців та їх об'єднань у формуванні пенсійних накопичень з метою отримання громадянами пенсійних виплат на умовах та в порядку, передбачених законодавством про недержавне пенсійне забезпечення </w:t>
      </w:r>
      <w:r w:rsidRPr="0078696C">
        <w:rPr>
          <w:rFonts w:ascii="Times New Roman" w:hAnsi="Times New Roman"/>
          <w:color w:val="000000"/>
          <w:sz w:val="28"/>
          <w:szCs w:val="28"/>
          <w:vertAlign w:val="superscript"/>
        </w:rPr>
        <w:footnoteReference w:id="26"/>
      </w:r>
      <w:r w:rsidRPr="0078696C">
        <w:rPr>
          <w:rFonts w:ascii="Times New Roman" w:hAnsi="Times New Roman"/>
          <w:color w:val="000000"/>
          <w:sz w:val="28"/>
          <w:szCs w:val="28"/>
        </w:rPr>
        <w:t>.</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Як можна зробити висновок, недержавне пенсійне забезпечення в структурі національної пенсійної системи розглядається як додаткове по відношенню до державного і може здійснюватися як у формі додаткових професійних пенсійних систем окремих організацій та роботодавців, а також їх об’єднань, так і в формі особистого пенсійного страхування громадян, які здійснюють накопичення коштів на додаткове пенсійне забезпечення в страхових компаніях, банках або пенсійних фондах.</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Деякі автори вважають, що застосування терміна «недержавне пенсійне забезпечення» щодо основної діяльності недержавних пенсійних фондів, страхових компаній (в разі тих чи інших форм пенсійного страхування) не цілком обґрунтоване, так як організація недержавного пенсійного забезпечення відбувається на страхових принципах. Тому коректніше було б назвати це системою недержавного пенсійного страхування </w:t>
      </w:r>
      <w:r w:rsidRPr="0078696C">
        <w:rPr>
          <w:rFonts w:ascii="Times New Roman" w:hAnsi="Times New Roman"/>
          <w:color w:val="000000"/>
          <w:sz w:val="28"/>
          <w:szCs w:val="28"/>
          <w:vertAlign w:val="superscript"/>
        </w:rPr>
        <w:footnoteReference w:id="27"/>
      </w:r>
      <w:r w:rsidR="00570104" w:rsidRPr="0078696C">
        <w:rPr>
          <w:rFonts w:ascii="Times New Roman" w:hAnsi="Times New Roman"/>
          <w:color w:val="000000"/>
          <w:sz w:val="28"/>
          <w:szCs w:val="28"/>
        </w:rPr>
        <w:t xml:space="preserve">. На наш погляд, </w:t>
      </w:r>
      <w:r w:rsidR="00570104" w:rsidRPr="0078696C">
        <w:rPr>
          <w:rFonts w:ascii="Times New Roman" w:hAnsi="Times New Roman"/>
          <w:color w:val="000000"/>
          <w:sz w:val="28"/>
          <w:szCs w:val="28"/>
        </w:rPr>
        <w:lastRenderedPageBreak/>
        <w:t>допустиме</w:t>
      </w:r>
      <w:r w:rsidRPr="0078696C">
        <w:rPr>
          <w:rFonts w:ascii="Times New Roman" w:hAnsi="Times New Roman"/>
          <w:color w:val="000000"/>
          <w:sz w:val="28"/>
          <w:szCs w:val="28"/>
        </w:rPr>
        <w:t xml:space="preserve">вживання обох термінів, у контексті того, що «пенсійне забезпечення» (як нами зазначалося вище згідно </w:t>
      </w:r>
      <w:r w:rsidR="00570104" w:rsidRPr="0078696C">
        <w:rPr>
          <w:rFonts w:ascii="Times New Roman" w:hAnsi="Times New Roman"/>
          <w:color w:val="000000"/>
          <w:sz w:val="28"/>
          <w:szCs w:val="28"/>
        </w:rPr>
        <w:t>з підходом</w:t>
      </w:r>
      <w:r w:rsidR="00D676EB">
        <w:rPr>
          <w:rFonts w:ascii="Times New Roman" w:hAnsi="Times New Roman"/>
          <w:color w:val="000000"/>
          <w:sz w:val="28"/>
          <w:szCs w:val="28"/>
        </w:rPr>
        <w:t xml:space="preserve"> Ю.</w:t>
      </w:r>
      <w:r w:rsidRPr="0078696C">
        <w:rPr>
          <w:rFonts w:ascii="Times New Roman" w:hAnsi="Times New Roman"/>
          <w:color w:val="000000"/>
          <w:sz w:val="28"/>
          <w:szCs w:val="28"/>
        </w:rPr>
        <w:t>Фіногенової) – це родове поняття, а «пенсійне страхування» – поняття, що відображає одну з форм пенсійного забезпечення.</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У теоретико-методологічному аспекті важливо і розкрити співвідношення понять «загальнообов'язкове пенсійне забезпечення»та«добровільне пенсійне забезпечення». Іншими словами, чи включаються обов'язкові форми пенсійного забезпечення в систему недержавного пенсійного забезпечення?</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Вирішення зазначеного питання має не тільки теоретико-пізнавальний, а й практичний інтерес. Так, у зв'язку з законодавчо закріпленою можливістю участі українських недержавних пенсійних фондів в обов'язковому пенсійному страхуванні (на другому рівні)</w:t>
      </w:r>
      <w:r w:rsidR="00D676EB">
        <w:rPr>
          <w:rFonts w:ascii="Times New Roman" w:hAnsi="Times New Roman"/>
          <w:color w:val="000000"/>
          <w:sz w:val="28"/>
          <w:szCs w:val="28"/>
        </w:rPr>
        <w:t>,</w:t>
      </w:r>
      <w:r w:rsidRPr="0078696C">
        <w:rPr>
          <w:rFonts w:ascii="Times New Roman" w:hAnsi="Times New Roman"/>
          <w:color w:val="000000"/>
          <w:sz w:val="28"/>
          <w:szCs w:val="28"/>
        </w:rPr>
        <w:t xml:space="preserve"> виникає питання про включення даного виду страхування до складу недержавного пенсійного забезпечення. Незважаючи на юридичні аспекти переходу права власності на кошти пенсійних накопичень від держави до недержавних пенсійних фондам, обов'язкове пенсійне страхування в даному випадку є складовою частиною державного пенсійного страхування, де в особі страхувальника виступає приватний інститут – недержавний пенсійний фонд. Проте питання про право власності на пенсійні резерви і накопичення є дискусійним і впливає на неоднозначність не тільки в трактуванні понятійного словника в сфері пенсійного забезпечення, але й у сфері податкової політики.</w:t>
      </w:r>
    </w:p>
    <w:p w:rsidR="007B59E0" w:rsidRPr="0078696C" w:rsidRDefault="007B59E0" w:rsidP="007B59E0">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З даного пр</w:t>
      </w:r>
      <w:r w:rsidR="004347E1" w:rsidRPr="0078696C">
        <w:rPr>
          <w:rFonts w:ascii="Times New Roman" w:hAnsi="Times New Roman"/>
          <w:color w:val="000000"/>
          <w:sz w:val="28"/>
          <w:szCs w:val="28"/>
        </w:rPr>
        <w:t xml:space="preserve">иводу важливий висновок робить </w:t>
      </w:r>
      <w:r w:rsidR="003B781A" w:rsidRPr="0078696C">
        <w:rPr>
          <w:rFonts w:ascii="Times New Roman" w:hAnsi="Times New Roman"/>
          <w:color w:val="000000"/>
          <w:sz w:val="28"/>
          <w:szCs w:val="28"/>
        </w:rPr>
        <w:t xml:space="preserve">професор </w:t>
      </w:r>
      <w:r w:rsidR="00D676EB">
        <w:rPr>
          <w:rFonts w:ascii="Times New Roman" w:hAnsi="Times New Roman"/>
          <w:color w:val="000000"/>
          <w:sz w:val="28"/>
          <w:szCs w:val="28"/>
        </w:rPr>
        <w:t>В.</w:t>
      </w:r>
      <w:r w:rsidRPr="0078696C">
        <w:rPr>
          <w:rFonts w:ascii="Times New Roman" w:hAnsi="Times New Roman"/>
          <w:color w:val="000000"/>
          <w:sz w:val="28"/>
          <w:szCs w:val="28"/>
        </w:rPr>
        <w:t>Толуб’як, доктор наук з державного управління: «</w:t>
      </w:r>
      <w:r w:rsidR="00804D11" w:rsidRPr="0078696C">
        <w:rPr>
          <w:rFonts w:ascii="Times New Roman" w:hAnsi="Times New Roman"/>
          <w:color w:val="000000"/>
          <w:sz w:val="28"/>
          <w:szCs w:val="28"/>
        </w:rPr>
        <w:t>Д</w:t>
      </w:r>
      <w:r w:rsidRPr="0078696C">
        <w:rPr>
          <w:rFonts w:ascii="Times New Roman" w:hAnsi="Times New Roman"/>
          <w:color w:val="000000"/>
          <w:sz w:val="28"/>
          <w:szCs w:val="28"/>
        </w:rPr>
        <w:t>ержавне регулювання системи пенсійного забезпечення полягає у сукупності форм, методів та інструментів, за допомогою яких держава впливає на діяльність суб’єктів господарювання і ринкову кон’юнктуру з метою формування та розподілу необхідних фінансових ресурсів для виплати пенсій</w:t>
      </w:r>
      <w:r w:rsidR="00804D11" w:rsidRPr="0078696C">
        <w:rPr>
          <w:rFonts w:ascii="Times New Roman" w:hAnsi="Times New Roman"/>
          <w:color w:val="000000"/>
          <w:sz w:val="28"/>
          <w:szCs w:val="28"/>
        </w:rPr>
        <w:t>. Г</w:t>
      </w:r>
      <w:r w:rsidRPr="0078696C">
        <w:rPr>
          <w:rFonts w:ascii="Times New Roman" w:hAnsi="Times New Roman"/>
          <w:color w:val="000000"/>
          <w:sz w:val="28"/>
          <w:szCs w:val="28"/>
        </w:rPr>
        <w:t xml:space="preserve">оловною метою державного регулювання фінансових механізмів пенсійного забезпечення є реалізація ефективної та </w:t>
      </w:r>
      <w:r w:rsidRPr="0078696C">
        <w:rPr>
          <w:rFonts w:ascii="Times New Roman" w:hAnsi="Times New Roman"/>
          <w:color w:val="000000"/>
          <w:sz w:val="28"/>
          <w:szCs w:val="28"/>
        </w:rPr>
        <w:lastRenderedPageBreak/>
        <w:t>зрозумілої пенсійної політики, спрямованої на забезпечення гідного рівня життя людей похилого віку, адекватного їхнім життєвим потребам»</w:t>
      </w:r>
      <w:r w:rsidR="00804D11" w:rsidRPr="0078696C">
        <w:rPr>
          <w:rStyle w:val="a8"/>
          <w:rFonts w:ascii="Times New Roman" w:hAnsi="Times New Roman"/>
          <w:color w:val="000000"/>
          <w:sz w:val="28"/>
          <w:szCs w:val="28"/>
        </w:rPr>
        <w:footnoteReference w:id="28"/>
      </w:r>
      <w:r w:rsidR="00804D11" w:rsidRPr="0078696C">
        <w:rPr>
          <w:rFonts w:ascii="Times New Roman" w:hAnsi="Times New Roman"/>
          <w:color w:val="000000"/>
          <w:sz w:val="28"/>
          <w:szCs w:val="28"/>
        </w:rPr>
        <w:t>.</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Метою пенсійного забезпечення виступає захист осіб від ризиків незабезпеченості в старості, настання інвалідності та в разі втрати годувальника. Сутність категорії «пенсійне забезпечення» проявляється в </w:t>
      </w:r>
      <w:r w:rsidR="00F33D50" w:rsidRPr="0078696C">
        <w:rPr>
          <w:rFonts w:ascii="Times New Roman" w:hAnsi="Times New Roman"/>
          <w:color w:val="000000"/>
          <w:sz w:val="28"/>
          <w:szCs w:val="28"/>
        </w:rPr>
        <w:t xml:space="preserve">його </w:t>
      </w:r>
      <w:r w:rsidRPr="0078696C">
        <w:rPr>
          <w:rFonts w:ascii="Times New Roman" w:hAnsi="Times New Roman"/>
          <w:color w:val="000000"/>
          <w:sz w:val="28"/>
          <w:szCs w:val="28"/>
        </w:rPr>
        <w:t>функціях, якими є:</w:t>
      </w:r>
    </w:p>
    <w:p w:rsidR="00AF78D1" w:rsidRPr="0078696C" w:rsidRDefault="009A27CB" w:rsidP="000E323C">
      <w:pPr>
        <w:numPr>
          <w:ilvl w:val="0"/>
          <w:numId w:val="4"/>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Е</w:t>
      </w:r>
      <w:r w:rsidR="00AF78D1" w:rsidRPr="0078696C">
        <w:rPr>
          <w:rFonts w:ascii="Times New Roman" w:hAnsi="Times New Roman"/>
          <w:color w:val="000000"/>
          <w:sz w:val="28"/>
          <w:szCs w:val="28"/>
        </w:rPr>
        <w:t xml:space="preserve">кономічна – полягає в </w:t>
      </w:r>
      <w:r w:rsidRPr="0078696C">
        <w:rPr>
          <w:rFonts w:ascii="Times New Roman" w:hAnsi="Times New Roman"/>
          <w:color w:val="000000"/>
          <w:sz w:val="28"/>
          <w:szCs w:val="28"/>
        </w:rPr>
        <w:t>компенсації особі</w:t>
      </w:r>
      <w:r w:rsidR="00AF78D1" w:rsidRPr="0078696C">
        <w:rPr>
          <w:rFonts w:ascii="Times New Roman" w:hAnsi="Times New Roman"/>
          <w:color w:val="000000"/>
          <w:sz w:val="28"/>
          <w:szCs w:val="28"/>
        </w:rPr>
        <w:t xml:space="preserve"> тимчасово або постійно втрачених доходів </w:t>
      </w:r>
      <w:r w:rsidRPr="0078696C">
        <w:rPr>
          <w:rFonts w:ascii="Times New Roman" w:hAnsi="Times New Roman"/>
          <w:color w:val="000000"/>
          <w:sz w:val="28"/>
          <w:szCs w:val="28"/>
        </w:rPr>
        <w:t>в зв’язку з</w:t>
      </w:r>
      <w:r w:rsidR="00AF78D1" w:rsidRPr="0078696C">
        <w:rPr>
          <w:rFonts w:ascii="Times New Roman" w:hAnsi="Times New Roman"/>
          <w:color w:val="000000"/>
          <w:sz w:val="28"/>
          <w:szCs w:val="28"/>
        </w:rPr>
        <w:t xml:space="preserve"> ризик</w:t>
      </w:r>
      <w:r w:rsidRPr="0078696C">
        <w:rPr>
          <w:rFonts w:ascii="Times New Roman" w:hAnsi="Times New Roman"/>
          <w:color w:val="000000"/>
          <w:sz w:val="28"/>
          <w:szCs w:val="28"/>
        </w:rPr>
        <w:t>ами</w:t>
      </w:r>
      <w:r w:rsidR="00F33D50" w:rsidRPr="0078696C">
        <w:rPr>
          <w:rFonts w:ascii="Times New Roman" w:hAnsi="Times New Roman"/>
          <w:color w:val="000000"/>
          <w:sz w:val="28"/>
          <w:szCs w:val="28"/>
        </w:rPr>
        <w:t xml:space="preserve"> втрати працездатності. Крім цього, дана функція полягає</w:t>
      </w:r>
      <w:r w:rsidR="00AF78D1" w:rsidRPr="0078696C">
        <w:rPr>
          <w:rFonts w:ascii="Times New Roman" w:hAnsi="Times New Roman"/>
          <w:color w:val="000000"/>
          <w:sz w:val="28"/>
          <w:szCs w:val="28"/>
        </w:rPr>
        <w:t xml:space="preserve"> в розподілі </w:t>
      </w:r>
      <w:r w:rsidR="00F33D50" w:rsidRPr="0078696C">
        <w:rPr>
          <w:rFonts w:ascii="Times New Roman" w:hAnsi="Times New Roman"/>
          <w:color w:val="000000"/>
          <w:sz w:val="28"/>
          <w:szCs w:val="28"/>
        </w:rPr>
        <w:t xml:space="preserve">страхових внесків  працюючого населення, </w:t>
      </w:r>
      <w:r w:rsidRPr="0078696C">
        <w:rPr>
          <w:rFonts w:ascii="Times New Roman" w:hAnsi="Times New Roman"/>
          <w:color w:val="000000"/>
          <w:sz w:val="28"/>
          <w:szCs w:val="28"/>
        </w:rPr>
        <w:t xml:space="preserve">коштів </w:t>
      </w:r>
      <w:r w:rsidR="00F33D50" w:rsidRPr="0078696C">
        <w:rPr>
          <w:rFonts w:ascii="Times New Roman" w:hAnsi="Times New Roman"/>
          <w:color w:val="000000"/>
          <w:sz w:val="28"/>
          <w:szCs w:val="28"/>
        </w:rPr>
        <w:t>страхувальників</w:t>
      </w:r>
      <w:r w:rsidRPr="0078696C">
        <w:rPr>
          <w:rFonts w:ascii="Times New Roman" w:hAnsi="Times New Roman"/>
          <w:color w:val="000000"/>
          <w:sz w:val="28"/>
          <w:szCs w:val="28"/>
        </w:rPr>
        <w:t xml:space="preserve"> та </w:t>
      </w:r>
      <w:r w:rsidR="00F33D50" w:rsidRPr="0078696C">
        <w:rPr>
          <w:rFonts w:ascii="Times New Roman" w:hAnsi="Times New Roman"/>
          <w:color w:val="000000"/>
          <w:sz w:val="28"/>
          <w:szCs w:val="28"/>
        </w:rPr>
        <w:t>Державного бюджету</w:t>
      </w:r>
      <w:r w:rsidR="00AF78D1" w:rsidRPr="0078696C">
        <w:rPr>
          <w:rFonts w:ascii="Times New Roman" w:hAnsi="Times New Roman"/>
          <w:color w:val="000000"/>
          <w:sz w:val="28"/>
          <w:szCs w:val="28"/>
        </w:rPr>
        <w:t xml:space="preserve"> на виплату пенсій нинішнім пенсіонерам</w:t>
      </w:r>
      <w:r w:rsidR="00C57327" w:rsidRPr="0078696C">
        <w:rPr>
          <w:rFonts w:ascii="Times New Roman" w:hAnsi="Times New Roman"/>
          <w:color w:val="000000"/>
          <w:sz w:val="28"/>
          <w:szCs w:val="28"/>
        </w:rPr>
        <w:t>.</w:t>
      </w:r>
    </w:p>
    <w:p w:rsidR="00AF78D1" w:rsidRPr="0078696C" w:rsidRDefault="009A27CB" w:rsidP="000E323C">
      <w:pPr>
        <w:numPr>
          <w:ilvl w:val="0"/>
          <w:numId w:val="4"/>
        </w:numPr>
        <w:tabs>
          <w:tab w:val="left" w:pos="0"/>
        </w:tabs>
        <w:spacing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w:t>
      </w:r>
      <w:r w:rsidR="00AF78D1" w:rsidRPr="0078696C">
        <w:rPr>
          <w:rFonts w:ascii="Times New Roman" w:hAnsi="Times New Roman"/>
          <w:color w:val="000000"/>
          <w:sz w:val="28"/>
          <w:szCs w:val="28"/>
        </w:rPr>
        <w:t xml:space="preserve">оціальна – </w:t>
      </w:r>
      <w:r w:rsidRPr="0078696C">
        <w:rPr>
          <w:rFonts w:ascii="Times New Roman" w:hAnsi="Times New Roman"/>
          <w:color w:val="000000"/>
          <w:sz w:val="28"/>
          <w:szCs w:val="28"/>
        </w:rPr>
        <w:t>спрямована на</w:t>
      </w:r>
      <w:r w:rsidR="00AF78D1" w:rsidRPr="0078696C">
        <w:rPr>
          <w:rFonts w:ascii="Times New Roman" w:hAnsi="Times New Roman"/>
          <w:color w:val="000000"/>
          <w:sz w:val="28"/>
          <w:szCs w:val="28"/>
        </w:rPr>
        <w:t xml:space="preserve"> забезпечення </w:t>
      </w:r>
      <w:r w:rsidRPr="0078696C">
        <w:rPr>
          <w:rFonts w:ascii="Times New Roman" w:hAnsi="Times New Roman"/>
          <w:color w:val="000000"/>
          <w:sz w:val="28"/>
          <w:szCs w:val="28"/>
        </w:rPr>
        <w:t>достойного</w:t>
      </w:r>
      <w:r w:rsidR="00AF78D1" w:rsidRPr="0078696C">
        <w:rPr>
          <w:rFonts w:ascii="Times New Roman" w:hAnsi="Times New Roman"/>
          <w:color w:val="000000"/>
          <w:sz w:val="28"/>
          <w:szCs w:val="28"/>
        </w:rPr>
        <w:t xml:space="preserve"> рівня життяпенсіонерам. Крім того, </w:t>
      </w:r>
      <w:r w:rsidR="00F33D50" w:rsidRPr="0078696C">
        <w:rPr>
          <w:rFonts w:ascii="Times New Roman" w:hAnsi="Times New Roman"/>
          <w:color w:val="000000"/>
          <w:sz w:val="28"/>
          <w:szCs w:val="28"/>
        </w:rPr>
        <w:t>вона</w:t>
      </w:r>
      <w:r w:rsidR="00AF78D1" w:rsidRPr="0078696C">
        <w:rPr>
          <w:rFonts w:ascii="Times New Roman" w:hAnsi="Times New Roman"/>
          <w:color w:val="000000"/>
          <w:sz w:val="28"/>
          <w:szCs w:val="28"/>
        </w:rPr>
        <w:t xml:space="preserve"> передбачає </w:t>
      </w:r>
      <w:r w:rsidR="00F33D50" w:rsidRPr="0078696C">
        <w:rPr>
          <w:rFonts w:ascii="Times New Roman" w:hAnsi="Times New Roman"/>
          <w:color w:val="000000"/>
          <w:sz w:val="28"/>
          <w:szCs w:val="28"/>
        </w:rPr>
        <w:t>взаємодію</w:t>
      </w:r>
      <w:r w:rsidR="00AF78D1" w:rsidRPr="0078696C">
        <w:rPr>
          <w:rFonts w:ascii="Times New Roman" w:hAnsi="Times New Roman"/>
          <w:color w:val="000000"/>
          <w:sz w:val="28"/>
          <w:szCs w:val="28"/>
        </w:rPr>
        <w:t>, з одного боку, між працюючими і непрацюючими членами суспільства, а з іншого – мі</w:t>
      </w:r>
      <w:r w:rsidR="00FC1256" w:rsidRPr="0078696C">
        <w:rPr>
          <w:rFonts w:ascii="Times New Roman" w:hAnsi="Times New Roman"/>
          <w:color w:val="000000"/>
          <w:sz w:val="28"/>
          <w:szCs w:val="28"/>
        </w:rPr>
        <w:t>ж молодим і літнім поколіннями.</w:t>
      </w:r>
    </w:p>
    <w:p w:rsidR="00AF78D1" w:rsidRPr="0078696C" w:rsidRDefault="009A27CB" w:rsidP="000E323C">
      <w:pPr>
        <w:numPr>
          <w:ilvl w:val="0"/>
          <w:numId w:val="4"/>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w:t>
      </w:r>
      <w:r w:rsidR="00AF78D1" w:rsidRPr="0078696C">
        <w:rPr>
          <w:rFonts w:ascii="Times New Roman" w:hAnsi="Times New Roman"/>
          <w:color w:val="000000"/>
          <w:sz w:val="28"/>
          <w:szCs w:val="28"/>
        </w:rPr>
        <w:t>олітична – передбачає виконання гарантованих норм соціального захисту, підтримання соціальної стабільності в суспільстві.</w:t>
      </w:r>
    </w:p>
    <w:p w:rsidR="00AF78D1" w:rsidRPr="0078696C" w:rsidRDefault="009A27CB" w:rsidP="000E323C">
      <w:pPr>
        <w:numPr>
          <w:ilvl w:val="0"/>
          <w:numId w:val="4"/>
        </w:numPr>
        <w:tabs>
          <w:tab w:val="left" w:pos="0"/>
        </w:tabs>
        <w:spacing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w:t>
      </w:r>
      <w:r w:rsidR="00AF78D1" w:rsidRPr="0078696C">
        <w:rPr>
          <w:rFonts w:ascii="Times New Roman" w:hAnsi="Times New Roman"/>
          <w:color w:val="000000"/>
          <w:sz w:val="28"/>
          <w:szCs w:val="28"/>
        </w:rPr>
        <w:t>ерерозпод</w:t>
      </w:r>
      <w:r w:rsidR="00570104" w:rsidRPr="0078696C">
        <w:rPr>
          <w:rFonts w:ascii="Times New Roman" w:hAnsi="Times New Roman"/>
          <w:color w:val="000000"/>
          <w:sz w:val="28"/>
          <w:szCs w:val="28"/>
        </w:rPr>
        <w:t>ільна – забезпечує перерозподіл</w:t>
      </w:r>
      <w:r w:rsidR="00AF78D1" w:rsidRPr="0078696C">
        <w:rPr>
          <w:rFonts w:ascii="Times New Roman" w:hAnsi="Times New Roman"/>
          <w:color w:val="000000"/>
          <w:sz w:val="28"/>
          <w:szCs w:val="28"/>
        </w:rPr>
        <w:t xml:space="preserve"> національного доходу між працюючими і пенсіонерами; пенсійними фондами і суб'єктами господарської діяльності; пенсійними і страховими фондами та економічно активним населенням, особами, як</w:t>
      </w:r>
      <w:r w:rsidR="00570104" w:rsidRPr="0078696C">
        <w:rPr>
          <w:rFonts w:ascii="Times New Roman" w:hAnsi="Times New Roman"/>
          <w:color w:val="000000"/>
          <w:sz w:val="28"/>
          <w:szCs w:val="28"/>
        </w:rPr>
        <w:t>і втратили працездатність тощо.</w:t>
      </w:r>
    </w:p>
    <w:p w:rsidR="00AF78D1" w:rsidRPr="0078696C" w:rsidRDefault="009A27CB" w:rsidP="000E323C">
      <w:pPr>
        <w:numPr>
          <w:ilvl w:val="0"/>
          <w:numId w:val="4"/>
        </w:numPr>
        <w:tabs>
          <w:tab w:val="left" w:pos="0"/>
        </w:tabs>
        <w:spacing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Р</w:t>
      </w:r>
      <w:r w:rsidR="00AF78D1" w:rsidRPr="0078696C">
        <w:rPr>
          <w:rFonts w:ascii="Times New Roman" w:hAnsi="Times New Roman"/>
          <w:color w:val="000000"/>
          <w:sz w:val="28"/>
          <w:szCs w:val="28"/>
        </w:rPr>
        <w:t xml:space="preserve">егулююча – </w:t>
      </w:r>
      <w:r w:rsidRPr="0078696C">
        <w:rPr>
          <w:rFonts w:ascii="Times New Roman" w:hAnsi="Times New Roman"/>
          <w:color w:val="000000"/>
          <w:sz w:val="28"/>
          <w:szCs w:val="28"/>
        </w:rPr>
        <w:t xml:space="preserve">забезпечує поєднання </w:t>
      </w:r>
      <w:r w:rsidR="00AF78D1" w:rsidRPr="0078696C">
        <w:rPr>
          <w:rFonts w:ascii="Times New Roman" w:hAnsi="Times New Roman"/>
          <w:color w:val="000000"/>
          <w:sz w:val="28"/>
          <w:szCs w:val="28"/>
        </w:rPr>
        <w:t xml:space="preserve">економічного і соціального відтворення на рівні підприємства, регіону, країни, людини; забезпечує вирівнювання споживання протягом усього життя; сприяє підвищенню продуктивності праці, </w:t>
      </w:r>
      <w:r w:rsidR="00C57327" w:rsidRPr="0078696C">
        <w:rPr>
          <w:rFonts w:ascii="Times New Roman" w:hAnsi="Times New Roman"/>
          <w:color w:val="000000"/>
          <w:sz w:val="28"/>
          <w:szCs w:val="28"/>
        </w:rPr>
        <w:t>плануванню доходів і витрат громадян</w:t>
      </w:r>
      <w:r w:rsidR="00570104" w:rsidRPr="0078696C">
        <w:rPr>
          <w:rFonts w:ascii="Times New Roman" w:hAnsi="Times New Roman"/>
          <w:color w:val="000000"/>
          <w:sz w:val="28"/>
          <w:szCs w:val="28"/>
        </w:rPr>
        <w:t>.</w:t>
      </w:r>
    </w:p>
    <w:p w:rsidR="00AF78D1" w:rsidRPr="0078696C" w:rsidRDefault="00C57327" w:rsidP="000E323C">
      <w:pPr>
        <w:numPr>
          <w:ilvl w:val="0"/>
          <w:numId w:val="4"/>
        </w:numPr>
        <w:tabs>
          <w:tab w:val="left" w:pos="0"/>
        </w:tabs>
        <w:spacing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Компенсаційна</w:t>
      </w:r>
      <w:r w:rsidR="00AF78D1" w:rsidRPr="0078696C">
        <w:rPr>
          <w:rFonts w:ascii="Times New Roman" w:hAnsi="Times New Roman"/>
          <w:color w:val="000000"/>
          <w:sz w:val="28"/>
          <w:szCs w:val="28"/>
        </w:rPr>
        <w:t xml:space="preserve"> – </w:t>
      </w:r>
      <w:r w:rsidRPr="0078696C">
        <w:rPr>
          <w:rFonts w:ascii="Times New Roman" w:hAnsi="Times New Roman"/>
          <w:color w:val="000000"/>
          <w:sz w:val="28"/>
          <w:szCs w:val="28"/>
        </w:rPr>
        <w:t xml:space="preserve">полягає у гарантованому </w:t>
      </w:r>
      <w:r w:rsidR="00AF78D1" w:rsidRPr="0078696C">
        <w:rPr>
          <w:rFonts w:ascii="Times New Roman" w:hAnsi="Times New Roman"/>
          <w:color w:val="000000"/>
          <w:sz w:val="28"/>
          <w:szCs w:val="28"/>
        </w:rPr>
        <w:t>матеріальн</w:t>
      </w:r>
      <w:r w:rsidRPr="0078696C">
        <w:rPr>
          <w:rFonts w:ascii="Times New Roman" w:hAnsi="Times New Roman"/>
          <w:color w:val="000000"/>
          <w:sz w:val="28"/>
          <w:szCs w:val="28"/>
        </w:rPr>
        <w:t>ому</w:t>
      </w:r>
      <w:r w:rsidR="00AF78D1" w:rsidRPr="0078696C">
        <w:rPr>
          <w:rFonts w:ascii="Times New Roman" w:hAnsi="Times New Roman"/>
          <w:color w:val="000000"/>
          <w:sz w:val="28"/>
          <w:szCs w:val="28"/>
        </w:rPr>
        <w:t xml:space="preserve"> забезпеченн</w:t>
      </w:r>
      <w:r w:rsidRPr="0078696C">
        <w:rPr>
          <w:rFonts w:ascii="Times New Roman" w:hAnsi="Times New Roman"/>
          <w:color w:val="000000"/>
          <w:sz w:val="28"/>
          <w:szCs w:val="28"/>
        </w:rPr>
        <w:t>і особи</w:t>
      </w:r>
      <w:r w:rsidR="00AF78D1" w:rsidRPr="0078696C">
        <w:rPr>
          <w:rFonts w:ascii="Times New Roman" w:hAnsi="Times New Roman"/>
          <w:color w:val="000000"/>
          <w:sz w:val="28"/>
          <w:szCs w:val="28"/>
        </w:rPr>
        <w:t xml:space="preserve"> у випадку втрат</w:t>
      </w:r>
      <w:r w:rsidRPr="0078696C">
        <w:rPr>
          <w:rFonts w:ascii="Times New Roman" w:hAnsi="Times New Roman"/>
          <w:color w:val="000000"/>
          <w:sz w:val="28"/>
          <w:szCs w:val="28"/>
        </w:rPr>
        <w:t>и працездатності шляхом виплати пенсії, розмір якої залежить від отримуваного особою доходу та сплаченого із нього внеску на соціальне страхування</w:t>
      </w:r>
      <w:r w:rsidR="00AF78D1" w:rsidRPr="0078696C">
        <w:rPr>
          <w:rFonts w:ascii="Times New Roman" w:hAnsi="Times New Roman"/>
          <w:color w:val="000000"/>
          <w:sz w:val="28"/>
          <w:szCs w:val="28"/>
        </w:rPr>
        <w:t>.</w:t>
      </w:r>
    </w:p>
    <w:p w:rsidR="00AF78D1" w:rsidRPr="0078696C" w:rsidRDefault="009A27CB" w:rsidP="000E323C">
      <w:pPr>
        <w:numPr>
          <w:ilvl w:val="0"/>
          <w:numId w:val="4"/>
        </w:numPr>
        <w:tabs>
          <w:tab w:val="left" w:pos="0"/>
        </w:tabs>
        <w:spacing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І</w:t>
      </w:r>
      <w:r w:rsidR="00AF78D1" w:rsidRPr="0078696C">
        <w:rPr>
          <w:rFonts w:ascii="Times New Roman" w:hAnsi="Times New Roman"/>
          <w:color w:val="000000"/>
          <w:sz w:val="28"/>
          <w:szCs w:val="28"/>
        </w:rPr>
        <w:t>нвестиційна – додатковий дохід на пенсійні накопичення, враховуючи довгостроковий період між індивідуальними внесками та виплатами по пенсійному страхуванню, є базовим механізмом сучасного пенсійного забезпечення; кошти пенсійного фонду є джерелом фінансових ресурсів для інвестуванн</w:t>
      </w:r>
      <w:r w:rsidR="00570104" w:rsidRPr="0078696C">
        <w:rPr>
          <w:rFonts w:ascii="Times New Roman" w:hAnsi="Times New Roman"/>
          <w:color w:val="000000"/>
          <w:sz w:val="28"/>
          <w:szCs w:val="28"/>
        </w:rPr>
        <w:t>я економічного розвитку країни.</w:t>
      </w:r>
    </w:p>
    <w:p w:rsidR="00E42AA6" w:rsidRPr="0078696C" w:rsidRDefault="00AF78D1" w:rsidP="00E42AA6">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пенсійне забезпечення у функціональному аспекті є складовою соціального забезпечення населення й виступає як державна базова гарантія розвитку суспільства, оскільки охоплює одночасно інтереси як працездатного, так і непрацездатного населення, є особливою складовою соціальної функції держави і, разом з тим, сукупністю методів задоволення матеріальних потреб тих верств населення, які, відповідно до чинного законодавства, мають право на отримання пенсії.</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Підсумовуючи викладене, вважаємо, що з позиції науки державного управління пенсійне забезпечення слід розгля</w:t>
      </w:r>
      <w:r w:rsidR="00570104" w:rsidRPr="0078696C">
        <w:rPr>
          <w:rFonts w:ascii="Times New Roman" w:hAnsi="Times New Roman"/>
          <w:color w:val="000000"/>
          <w:sz w:val="28"/>
          <w:szCs w:val="28"/>
        </w:rPr>
        <w:t>дати в трьох основних аспектах:</w:t>
      </w:r>
    </w:p>
    <w:p w:rsidR="00AF78D1" w:rsidRPr="0078696C" w:rsidRDefault="00570104" w:rsidP="000E323C">
      <w:pPr>
        <w:numPr>
          <w:ilvl w:val="0"/>
          <w:numId w:val="3"/>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я</w:t>
      </w:r>
      <w:r w:rsidR="00AF78D1" w:rsidRPr="0078696C">
        <w:rPr>
          <w:rFonts w:ascii="Times New Roman" w:hAnsi="Times New Roman"/>
          <w:color w:val="000000"/>
          <w:sz w:val="28"/>
          <w:szCs w:val="28"/>
        </w:rPr>
        <w:t xml:space="preserve">к конституційну гарантію, закріплену на найвищому законодавчому рівні держави (ст. 46 Конституції України), згідно </w:t>
      </w:r>
      <w:r w:rsidRPr="0078696C">
        <w:rPr>
          <w:rFonts w:ascii="Times New Roman" w:hAnsi="Times New Roman"/>
          <w:color w:val="000000"/>
          <w:sz w:val="28"/>
          <w:szCs w:val="28"/>
        </w:rPr>
        <w:t>з якою</w:t>
      </w:r>
      <w:r w:rsidR="00AF78D1" w:rsidRPr="0078696C">
        <w:rPr>
          <w:rFonts w:ascii="Times New Roman" w:hAnsi="Times New Roman"/>
          <w:color w:val="000000"/>
          <w:sz w:val="28"/>
          <w:szCs w:val="28"/>
        </w:rPr>
        <w:t xml:space="preserve">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w:t>
      </w:r>
      <w:r w:rsidR="00AF78D1" w:rsidRPr="0078696C">
        <w:rPr>
          <w:rFonts w:ascii="Times New Roman" w:hAnsi="Times New Roman"/>
          <w:color w:val="000000"/>
          <w:sz w:val="28"/>
          <w:szCs w:val="28"/>
          <w:vertAlign w:val="superscript"/>
        </w:rPr>
        <w:footnoteReference w:id="29"/>
      </w:r>
      <w:r w:rsidR="00AF78D1" w:rsidRPr="0078696C">
        <w:rPr>
          <w:rFonts w:ascii="Times New Roman" w:hAnsi="Times New Roman"/>
          <w:color w:val="000000"/>
          <w:sz w:val="28"/>
          <w:szCs w:val="28"/>
        </w:rPr>
        <w:t>.</w:t>
      </w:r>
    </w:p>
    <w:p w:rsidR="00AF78D1" w:rsidRPr="0078696C" w:rsidRDefault="00570104" w:rsidP="000E323C">
      <w:pPr>
        <w:numPr>
          <w:ilvl w:val="0"/>
          <w:numId w:val="3"/>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я</w:t>
      </w:r>
      <w:r w:rsidR="00AF78D1" w:rsidRPr="0078696C">
        <w:rPr>
          <w:rFonts w:ascii="Times New Roman" w:hAnsi="Times New Roman"/>
          <w:color w:val="000000"/>
          <w:sz w:val="28"/>
          <w:szCs w:val="28"/>
        </w:rPr>
        <w:t>к гуманітарну складову державної політики, що полягає в матеріальній підтримці державою непрацездатних громадян за умов настання різних соціальних ризиків (втрата працездатності, інвалідність, смерть годувальника), які призводять до зникнення або суттєвого зниження доходів людини, що дозволяє реалізувати найбільшу цінність на</w:t>
      </w:r>
      <w:r w:rsidRPr="0078696C">
        <w:rPr>
          <w:rFonts w:ascii="Times New Roman" w:hAnsi="Times New Roman"/>
          <w:color w:val="000000"/>
          <w:sz w:val="28"/>
          <w:szCs w:val="28"/>
        </w:rPr>
        <w:t xml:space="preserve"> землі – право людини на життя.</w:t>
      </w:r>
    </w:p>
    <w:p w:rsidR="00AF78D1" w:rsidRPr="0078696C" w:rsidRDefault="00570104" w:rsidP="00D9582D">
      <w:pPr>
        <w:numPr>
          <w:ilvl w:val="0"/>
          <w:numId w:val="3"/>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я</w:t>
      </w:r>
      <w:r w:rsidR="00AF78D1" w:rsidRPr="0078696C">
        <w:rPr>
          <w:rFonts w:ascii="Times New Roman" w:hAnsi="Times New Roman"/>
          <w:color w:val="000000"/>
          <w:sz w:val="28"/>
          <w:szCs w:val="28"/>
        </w:rPr>
        <w:t xml:space="preserve">к фінансову складову державної політики, яка передбачає фінансове, організаційно-правове регулювання, заходи щодо матеріального забезпечення непрацездатних громадян. Фінансування пенсійного забезпечення </w:t>
      </w:r>
      <w:r w:rsidR="00AF78D1" w:rsidRPr="0078696C">
        <w:rPr>
          <w:rFonts w:ascii="Times New Roman" w:hAnsi="Times New Roman"/>
          <w:color w:val="000000"/>
          <w:sz w:val="28"/>
          <w:szCs w:val="28"/>
        </w:rPr>
        <w:lastRenderedPageBreak/>
        <w:t>– це економічний процес адміністрування, акумулювання та постачання грошей до кінцевого споживача – пенсіонера. У процесі фінансування найповніше розкривається призначення пенсійного забезпечення, його спрямованість на виконання функцій соціального забезпечення населення країни, рівень корисності цих функцій для суспільства. Складний сучасний соціально-економічний стан країни та стратегія розвитку, спрямована на розбудову соціальної ринкової економіки, вимагають виваженого підходу до управління державними фінансами, визначення раціональних методів фінансового забезпечення вітчизняної пенсійної системи як вагомого інструменту реалізації економічної та соціальної політики держави.</w:t>
      </w:r>
    </w:p>
    <w:p w:rsidR="00D9582D" w:rsidRPr="0078696C" w:rsidRDefault="00D9582D" w:rsidP="00FC1256">
      <w:pPr>
        <w:tabs>
          <w:tab w:val="left" w:pos="0"/>
        </w:tabs>
        <w:spacing w:after="0" w:line="360" w:lineRule="auto"/>
        <w:contextualSpacing/>
        <w:jc w:val="both"/>
        <w:rPr>
          <w:rFonts w:ascii="Times New Roman" w:hAnsi="Times New Roman"/>
          <w:color w:val="000000"/>
          <w:sz w:val="28"/>
          <w:szCs w:val="28"/>
        </w:rPr>
      </w:pPr>
    </w:p>
    <w:p w:rsidR="00E020F8" w:rsidRPr="0078696C" w:rsidRDefault="00AF78D1" w:rsidP="0090213B">
      <w:pPr>
        <w:tabs>
          <w:tab w:val="left" w:pos="0"/>
        </w:tabs>
        <w:spacing w:after="0" w:line="360" w:lineRule="auto"/>
        <w:ind w:firstLine="709"/>
        <w:contextualSpacing/>
        <w:jc w:val="both"/>
        <w:rPr>
          <w:rFonts w:ascii="Times New Roman" w:hAnsi="Times New Roman"/>
          <w:b/>
          <w:color w:val="000000"/>
          <w:sz w:val="28"/>
          <w:szCs w:val="28"/>
        </w:rPr>
      </w:pPr>
      <w:r w:rsidRPr="0078696C">
        <w:rPr>
          <w:rFonts w:ascii="Times New Roman" w:hAnsi="Times New Roman"/>
          <w:b/>
          <w:color w:val="000000"/>
          <w:sz w:val="28"/>
          <w:szCs w:val="28"/>
        </w:rPr>
        <w:t>1.2 Джерельна база системи пенсійного забезпечення</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 сучасному суспільстві система пенсійного забезпечення входить до числа найбільш важливих соціально-економічних інститутів, оскільки в її надійності та стійкості проявляється соціальний та економічний рівень розвитку держави. І саме держава відіграє визначальну роль при побудові моделі </w:t>
      </w:r>
      <w:r w:rsidR="00F57117" w:rsidRPr="0078696C">
        <w:rPr>
          <w:rFonts w:ascii="Times New Roman" w:hAnsi="Times New Roman"/>
          <w:color w:val="000000"/>
          <w:sz w:val="28"/>
          <w:szCs w:val="28"/>
        </w:rPr>
        <w:t>с</w:t>
      </w:r>
      <w:r w:rsidR="00FC1256" w:rsidRPr="0078696C">
        <w:rPr>
          <w:rFonts w:ascii="Times New Roman" w:hAnsi="Times New Roman"/>
          <w:color w:val="000000"/>
          <w:sz w:val="28"/>
          <w:szCs w:val="28"/>
        </w:rPr>
        <w:t>истеми пенсійного забезпечення.</w:t>
      </w:r>
    </w:p>
    <w:p w:rsidR="00AF78D1" w:rsidRPr="0078696C" w:rsidRDefault="00F57117"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w:t>
      </w:r>
      <w:r w:rsidR="00AF78D1" w:rsidRPr="0078696C">
        <w:rPr>
          <w:rFonts w:ascii="Times New Roman" w:hAnsi="Times New Roman"/>
          <w:color w:val="000000"/>
          <w:sz w:val="28"/>
          <w:szCs w:val="28"/>
        </w:rPr>
        <w:t xml:space="preserve">истема </w:t>
      </w:r>
      <w:r w:rsidRPr="0078696C">
        <w:rPr>
          <w:rFonts w:ascii="Times New Roman" w:hAnsi="Times New Roman"/>
          <w:color w:val="000000"/>
          <w:sz w:val="28"/>
          <w:szCs w:val="28"/>
        </w:rPr>
        <w:t xml:space="preserve">пенсійного забезпечення, </w:t>
      </w:r>
      <w:r w:rsidR="00AF78D1" w:rsidRPr="0078696C">
        <w:rPr>
          <w:rFonts w:ascii="Times New Roman" w:hAnsi="Times New Roman"/>
          <w:color w:val="000000"/>
          <w:sz w:val="28"/>
          <w:szCs w:val="28"/>
        </w:rPr>
        <w:t>в найбільш загальному сенсі</w:t>
      </w:r>
      <w:r w:rsidRPr="0078696C">
        <w:rPr>
          <w:rFonts w:ascii="Times New Roman" w:hAnsi="Times New Roman"/>
          <w:color w:val="000000"/>
          <w:sz w:val="28"/>
          <w:szCs w:val="28"/>
        </w:rPr>
        <w:t>,</w:t>
      </w:r>
      <w:r w:rsidR="00AF78D1" w:rsidRPr="0078696C">
        <w:rPr>
          <w:rFonts w:ascii="Times New Roman" w:hAnsi="Times New Roman"/>
          <w:color w:val="000000"/>
          <w:sz w:val="28"/>
          <w:szCs w:val="28"/>
        </w:rPr>
        <w:t xml:space="preserve"> є сукупністю правових, фінансових, соціальних та економічних інститутів і норм, спрямованих на акумулювання, нарощування і роз</w:t>
      </w:r>
      <w:r w:rsidRPr="0078696C">
        <w:rPr>
          <w:rFonts w:ascii="Times New Roman" w:hAnsi="Times New Roman"/>
          <w:color w:val="000000"/>
          <w:sz w:val="28"/>
          <w:szCs w:val="28"/>
        </w:rPr>
        <w:t xml:space="preserve">поділ пенсійних ресурсів у часі, </w:t>
      </w:r>
      <w:r w:rsidR="00AF78D1" w:rsidRPr="0078696C">
        <w:rPr>
          <w:rFonts w:ascii="Times New Roman" w:hAnsi="Times New Roman"/>
          <w:color w:val="000000"/>
          <w:sz w:val="28"/>
          <w:szCs w:val="28"/>
        </w:rPr>
        <w:t>просторі</w:t>
      </w:r>
      <w:r w:rsidRPr="0078696C">
        <w:rPr>
          <w:rFonts w:ascii="Times New Roman" w:hAnsi="Times New Roman"/>
          <w:color w:val="000000"/>
          <w:sz w:val="28"/>
          <w:szCs w:val="28"/>
        </w:rPr>
        <w:t xml:space="preserve"> та за колом осіб</w:t>
      </w:r>
      <w:r w:rsidR="00AF78D1" w:rsidRPr="0078696C">
        <w:rPr>
          <w:rFonts w:ascii="Times New Roman" w:hAnsi="Times New Roman"/>
          <w:color w:val="000000"/>
          <w:sz w:val="28"/>
          <w:szCs w:val="28"/>
        </w:rPr>
        <w:t>. У сучасному світі вона охоплює інтереси не тільки людей похилого віку, а й осіб, які втратили працездатність у молодому віці; членів сімей, що залишилися без годувальника; працюючого населення в контексті забезпечення майбутньої пенсії; господарюючих суб'єктів.</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Оскільки </w:t>
      </w:r>
      <w:r w:rsidR="00F57117" w:rsidRPr="0078696C">
        <w:rPr>
          <w:rFonts w:ascii="Times New Roman" w:hAnsi="Times New Roman"/>
          <w:color w:val="000000"/>
          <w:sz w:val="28"/>
          <w:szCs w:val="28"/>
        </w:rPr>
        <w:t xml:space="preserve">система пенсійного забезпечення </w:t>
      </w:r>
      <w:r w:rsidRPr="0078696C">
        <w:rPr>
          <w:rFonts w:ascii="Times New Roman" w:hAnsi="Times New Roman"/>
          <w:color w:val="000000"/>
          <w:sz w:val="28"/>
          <w:szCs w:val="28"/>
        </w:rPr>
        <w:t>є сукупністю правових інститутів та норм, тому, вважаємо, що дослідження</w:t>
      </w:r>
      <w:r w:rsidR="00F57117" w:rsidRPr="0078696C">
        <w:rPr>
          <w:rFonts w:ascii="Times New Roman" w:hAnsi="Times New Roman"/>
          <w:color w:val="000000"/>
          <w:sz w:val="28"/>
          <w:szCs w:val="28"/>
        </w:rPr>
        <w:t xml:space="preserve"> її</w:t>
      </w:r>
      <w:r w:rsidRPr="0078696C">
        <w:rPr>
          <w:rFonts w:ascii="Times New Roman" w:hAnsi="Times New Roman"/>
          <w:color w:val="000000"/>
          <w:sz w:val="28"/>
          <w:szCs w:val="28"/>
        </w:rPr>
        <w:t xml:space="preserve"> джерельної бази </w:t>
      </w:r>
      <w:r w:rsidR="00F57117" w:rsidRPr="0078696C">
        <w:rPr>
          <w:rFonts w:ascii="Times New Roman" w:hAnsi="Times New Roman"/>
          <w:color w:val="000000"/>
          <w:sz w:val="28"/>
          <w:szCs w:val="28"/>
        </w:rPr>
        <w:t>слід проводити</w:t>
      </w:r>
      <w:r w:rsidRPr="0078696C">
        <w:rPr>
          <w:rFonts w:ascii="Times New Roman" w:hAnsi="Times New Roman"/>
          <w:color w:val="000000"/>
          <w:sz w:val="28"/>
          <w:szCs w:val="28"/>
        </w:rPr>
        <w:t xml:space="preserve"> в контексті </w:t>
      </w:r>
      <w:r w:rsidR="00F57117" w:rsidRPr="0078696C">
        <w:rPr>
          <w:rFonts w:ascii="Times New Roman" w:hAnsi="Times New Roman"/>
          <w:color w:val="000000"/>
          <w:sz w:val="28"/>
          <w:szCs w:val="28"/>
        </w:rPr>
        <w:t>аналізу</w:t>
      </w:r>
      <w:r w:rsidRPr="0078696C">
        <w:rPr>
          <w:rFonts w:ascii="Times New Roman" w:hAnsi="Times New Roman"/>
          <w:color w:val="000000"/>
          <w:sz w:val="28"/>
          <w:szCs w:val="28"/>
        </w:rPr>
        <w:t xml:space="preserve"> джерел її правового та державного регулювання.</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 юридичній науці існують різні точки зору на визначення джерел права. Так, під цим терміном зазвичай розуміють зовнішню форму та спосіб об’єктивізації правових норм; способи офіційного вираження й закріплення </w:t>
      </w:r>
      <w:r w:rsidRPr="0078696C">
        <w:rPr>
          <w:rFonts w:ascii="Times New Roman" w:hAnsi="Times New Roman"/>
          <w:color w:val="000000"/>
          <w:sz w:val="28"/>
          <w:szCs w:val="28"/>
        </w:rPr>
        <w:lastRenderedPageBreak/>
        <w:t xml:space="preserve">правових норм; джерело інформації, що визначає, де саме знаходиться те чи інше правило поведінки, як ним керуватись та застосовувати на практиці </w:t>
      </w:r>
      <w:r w:rsidRPr="0078696C">
        <w:rPr>
          <w:rFonts w:ascii="Times New Roman" w:hAnsi="Times New Roman"/>
          <w:color w:val="000000"/>
          <w:sz w:val="28"/>
          <w:szCs w:val="28"/>
          <w:vertAlign w:val="superscript"/>
        </w:rPr>
        <w:footnoteReference w:id="30"/>
      </w:r>
      <w:r w:rsidRPr="0078696C">
        <w:rPr>
          <w:rFonts w:ascii="Times New Roman" w:hAnsi="Times New Roman"/>
          <w:color w:val="000000"/>
          <w:sz w:val="28"/>
          <w:szCs w:val="28"/>
        </w:rPr>
        <w:t xml:space="preserve">; матеріали, що взяті за основу того чи іншого законодавства; підготовчі документи, проекти нормативно-правових актів, які використовуються в процесі тлумачення юридичних текстів </w:t>
      </w:r>
      <w:r w:rsidRPr="0078696C">
        <w:rPr>
          <w:rFonts w:ascii="Times New Roman" w:hAnsi="Times New Roman"/>
          <w:color w:val="000000"/>
          <w:sz w:val="28"/>
          <w:szCs w:val="28"/>
          <w:vertAlign w:val="superscript"/>
        </w:rPr>
        <w:footnoteReference w:id="31"/>
      </w:r>
      <w:r w:rsidRPr="0078696C">
        <w:rPr>
          <w:rFonts w:ascii="Times New Roman" w:hAnsi="Times New Roman"/>
          <w:color w:val="000000"/>
          <w:sz w:val="28"/>
          <w:szCs w:val="28"/>
        </w:rPr>
        <w:t xml:space="preserve">; діяльність суб’єктів правовідносин, у результаті якої реалізуються їх потреби та задовольняються інтереси </w:t>
      </w:r>
      <w:r w:rsidRPr="0078696C">
        <w:rPr>
          <w:rFonts w:ascii="Times New Roman" w:hAnsi="Times New Roman"/>
          <w:color w:val="000000"/>
          <w:sz w:val="28"/>
          <w:szCs w:val="28"/>
          <w:vertAlign w:val="superscript"/>
        </w:rPr>
        <w:footnoteReference w:id="32"/>
      </w:r>
      <w:r w:rsidRPr="0078696C">
        <w:rPr>
          <w:rFonts w:ascii="Times New Roman" w:hAnsi="Times New Roman"/>
          <w:color w:val="000000"/>
          <w:sz w:val="28"/>
          <w:szCs w:val="28"/>
        </w:rPr>
        <w:t xml:space="preserve">; політичні, економічні, соціальні, культурні та інші фактори, які породжують чи об’єктивно зумовлюють виникнення норм права; умови формування права, фактори правотворчості та суспільні цінності, що безпосередньо впливають на процес формування й функціонування права; різноманітні пам’ятки історії, літописи та звичаї, що існували історично, в певний проміжок часу, мають юридичний зміст та визначають основні напрями становлення права конкретної держави </w:t>
      </w:r>
      <w:r w:rsidRPr="0078696C">
        <w:rPr>
          <w:rFonts w:ascii="Times New Roman" w:hAnsi="Times New Roman"/>
          <w:color w:val="000000"/>
          <w:sz w:val="28"/>
          <w:szCs w:val="28"/>
          <w:vertAlign w:val="superscript"/>
        </w:rPr>
        <w:footnoteReference w:id="33"/>
      </w:r>
      <w:r w:rsidRPr="0078696C">
        <w:rPr>
          <w:rFonts w:ascii="Times New Roman" w:hAnsi="Times New Roman"/>
          <w:color w:val="000000"/>
          <w:sz w:val="28"/>
          <w:szCs w:val="28"/>
        </w:rPr>
        <w:t>; своєрідну силу, що створює право</w:t>
      </w:r>
      <w:r w:rsidRPr="0078696C">
        <w:rPr>
          <w:rFonts w:ascii="Times New Roman" w:hAnsi="Times New Roman"/>
          <w:color w:val="000000"/>
          <w:sz w:val="28"/>
          <w:szCs w:val="28"/>
          <w:vertAlign w:val="superscript"/>
        </w:rPr>
        <w:footnoteReference w:id="34"/>
      </w:r>
      <w:r w:rsidR="00570104" w:rsidRPr="0078696C">
        <w:rPr>
          <w:rFonts w:ascii="Times New Roman" w:hAnsi="Times New Roman"/>
          <w:color w:val="000000"/>
          <w:sz w:val="28"/>
          <w:szCs w:val="28"/>
        </w:rPr>
        <w:t xml:space="preserve"> тощо.</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 Алєксандров під джерелами права розуміє діяльність держави, яка полягає у встановленні нових юридичних норм або визнанні вже існуючих </w:t>
      </w:r>
      <w:r w:rsidRPr="0078696C">
        <w:rPr>
          <w:rFonts w:ascii="Times New Roman" w:hAnsi="Times New Roman"/>
          <w:color w:val="000000"/>
          <w:sz w:val="28"/>
          <w:szCs w:val="28"/>
          <w:vertAlign w:val="superscript"/>
        </w:rPr>
        <w:footnoteReference w:id="35"/>
      </w:r>
      <w:r w:rsidRPr="0078696C">
        <w:rPr>
          <w:rFonts w:ascii="Times New Roman" w:hAnsi="Times New Roman"/>
          <w:color w:val="000000"/>
          <w:sz w:val="28"/>
          <w:szCs w:val="28"/>
        </w:rPr>
        <w:t>. На думку М. Вопленка, джерелами права є офіційно прийняті способи і форми зведення в закон державної волі, що</w:t>
      </w:r>
      <w:r w:rsidR="00FC7FBD" w:rsidRPr="0078696C">
        <w:rPr>
          <w:rFonts w:ascii="Times New Roman" w:hAnsi="Times New Roman"/>
          <w:color w:val="000000"/>
          <w:sz w:val="28"/>
          <w:szCs w:val="28"/>
        </w:rPr>
        <w:t xml:space="preserve"> розрахована на неодноразове </w:t>
      </w:r>
      <w:r w:rsidR="00E42AA6" w:rsidRPr="0078696C">
        <w:rPr>
          <w:rFonts w:ascii="Times New Roman" w:hAnsi="Times New Roman"/>
          <w:color w:val="000000"/>
          <w:sz w:val="28"/>
          <w:szCs w:val="28"/>
        </w:rPr>
        <w:br/>
      </w:r>
      <w:r w:rsidRPr="0078696C">
        <w:rPr>
          <w:rFonts w:ascii="Times New Roman" w:hAnsi="Times New Roman"/>
          <w:color w:val="000000"/>
          <w:sz w:val="28"/>
          <w:szCs w:val="28"/>
        </w:rPr>
        <w:t xml:space="preserve">застосування </w:t>
      </w:r>
      <w:r w:rsidRPr="0078696C">
        <w:rPr>
          <w:rFonts w:ascii="Times New Roman" w:hAnsi="Times New Roman"/>
          <w:color w:val="000000"/>
          <w:sz w:val="28"/>
          <w:szCs w:val="28"/>
          <w:vertAlign w:val="superscript"/>
        </w:rPr>
        <w:footnoteReference w:id="36"/>
      </w:r>
      <w:r w:rsidR="00FC7FBD" w:rsidRPr="0078696C">
        <w:rPr>
          <w:rFonts w:ascii="Times New Roman" w:hAnsi="Times New Roman"/>
          <w:color w:val="000000"/>
          <w:sz w:val="28"/>
          <w:szCs w:val="28"/>
        </w:rPr>
        <w:t>.</w:t>
      </w:r>
    </w:p>
    <w:p w:rsidR="00214AF4"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 думку відомого російського науковця В. Нерсесянца, тлумачення терміну «джерело права» певною мірою є умовним, адже дане поняття може мати безліч значень, наприклад, під джерелами права можуть розумітися різні </w:t>
      </w:r>
      <w:r w:rsidRPr="0078696C">
        <w:rPr>
          <w:rFonts w:ascii="Times New Roman" w:hAnsi="Times New Roman"/>
          <w:color w:val="000000"/>
          <w:sz w:val="28"/>
          <w:szCs w:val="28"/>
        </w:rPr>
        <w:lastRenderedPageBreak/>
        <w:t xml:space="preserve">соціальні чинники чи безпосередня сила, яка створює право або ж певне джерело інформації про нього </w:t>
      </w:r>
      <w:r w:rsidRPr="0078696C">
        <w:rPr>
          <w:rFonts w:ascii="Times New Roman" w:hAnsi="Times New Roman"/>
          <w:color w:val="000000"/>
          <w:sz w:val="28"/>
          <w:szCs w:val="28"/>
          <w:vertAlign w:val="superscript"/>
        </w:rPr>
        <w:footnoteReference w:id="37"/>
      </w:r>
      <w:r w:rsidRPr="0078696C">
        <w:rPr>
          <w:rFonts w:ascii="Times New Roman" w:hAnsi="Times New Roman"/>
          <w:color w:val="000000"/>
          <w:sz w:val="28"/>
          <w:szCs w:val="28"/>
        </w:rPr>
        <w:t>.</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 контексті дослідження джерел пенсійного забезпечення варто звернутися до визначення, наведеного у навчальному посібнику «Пенсійне забезпече</w:t>
      </w:r>
      <w:r w:rsidR="00C25937">
        <w:rPr>
          <w:rFonts w:ascii="Times New Roman" w:hAnsi="Times New Roman"/>
          <w:color w:val="000000"/>
          <w:sz w:val="28"/>
          <w:szCs w:val="28"/>
        </w:rPr>
        <w:t>ння» під загальною редакцією В.</w:t>
      </w:r>
      <w:r w:rsidRPr="0078696C">
        <w:rPr>
          <w:rFonts w:ascii="Times New Roman" w:hAnsi="Times New Roman"/>
          <w:color w:val="000000"/>
          <w:sz w:val="28"/>
          <w:szCs w:val="28"/>
        </w:rPr>
        <w:t xml:space="preserve">Жернакова, згідно </w:t>
      </w:r>
      <w:r w:rsidR="0090213B" w:rsidRPr="0078696C">
        <w:rPr>
          <w:rFonts w:ascii="Times New Roman" w:hAnsi="Times New Roman"/>
          <w:color w:val="000000"/>
          <w:sz w:val="28"/>
          <w:szCs w:val="28"/>
        </w:rPr>
        <w:t>з яким</w:t>
      </w:r>
      <w:r w:rsidRPr="0078696C">
        <w:rPr>
          <w:rFonts w:ascii="Times New Roman" w:hAnsi="Times New Roman"/>
          <w:color w:val="000000"/>
          <w:sz w:val="28"/>
          <w:szCs w:val="28"/>
        </w:rPr>
        <w:t xml:space="preserve"> автор зазначає, що під джерелом пенсійного забезпечення слід розуміти способи (форми) вираження норм права, що приймаються компетентними органами державної влади та призначені для регулювання відносин в галузі пенсійного забезпечення непрацездатних громадян </w:t>
      </w:r>
      <w:r w:rsidRPr="0078696C">
        <w:rPr>
          <w:rFonts w:ascii="Times New Roman" w:hAnsi="Times New Roman"/>
          <w:color w:val="000000"/>
          <w:sz w:val="28"/>
          <w:szCs w:val="28"/>
          <w:vertAlign w:val="superscript"/>
        </w:rPr>
        <w:footnoteReference w:id="38"/>
      </w:r>
      <w:r w:rsidRPr="0078696C">
        <w:rPr>
          <w:rFonts w:ascii="Times New Roman" w:hAnsi="Times New Roman"/>
          <w:color w:val="000000"/>
          <w:sz w:val="28"/>
          <w:szCs w:val="28"/>
        </w:rPr>
        <w:t>.</w:t>
      </w:r>
    </w:p>
    <w:p w:rsidR="009D1F32" w:rsidRPr="0078696C" w:rsidRDefault="00AF78D1" w:rsidP="00A52DA0">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Класифікаці</w:t>
      </w:r>
      <w:r w:rsidR="00801505" w:rsidRPr="0078696C">
        <w:rPr>
          <w:rFonts w:ascii="Times New Roman" w:hAnsi="Times New Roman"/>
          <w:color w:val="000000"/>
          <w:sz w:val="28"/>
          <w:szCs w:val="28"/>
        </w:rPr>
        <w:t>ю</w:t>
      </w:r>
      <w:r w:rsidRPr="0078696C">
        <w:rPr>
          <w:rFonts w:ascii="Times New Roman" w:hAnsi="Times New Roman"/>
          <w:color w:val="000000"/>
          <w:sz w:val="28"/>
          <w:szCs w:val="28"/>
        </w:rPr>
        <w:t xml:space="preserve"> джерел пенсійного </w:t>
      </w:r>
      <w:r w:rsidR="00394715" w:rsidRPr="0078696C">
        <w:rPr>
          <w:rFonts w:ascii="Times New Roman" w:hAnsi="Times New Roman"/>
          <w:color w:val="000000"/>
          <w:sz w:val="28"/>
          <w:szCs w:val="28"/>
        </w:rPr>
        <w:t xml:space="preserve">забезпечення </w:t>
      </w:r>
      <w:r w:rsidR="00801505" w:rsidRPr="0078696C">
        <w:rPr>
          <w:rFonts w:ascii="Times New Roman" w:hAnsi="Times New Roman"/>
          <w:color w:val="000000"/>
          <w:sz w:val="28"/>
          <w:szCs w:val="28"/>
        </w:rPr>
        <w:t>наводимо на рисунку 1.1</w:t>
      </w:r>
      <w:r w:rsidR="00F2205E" w:rsidRPr="0078696C">
        <w:rPr>
          <w:rFonts w:ascii="Times New Roman" w:hAnsi="Times New Roman"/>
          <w:color w:val="000000"/>
          <w:sz w:val="28"/>
          <w:szCs w:val="28"/>
        </w:rPr>
        <w:t>.</w:t>
      </w:r>
    </w:p>
    <w:p w:rsidR="00FC1256" w:rsidRDefault="0055017C" w:rsidP="00C25937">
      <w:pPr>
        <w:tabs>
          <w:tab w:val="left" w:pos="0"/>
        </w:tabs>
        <w:spacing w:after="0" w:line="360" w:lineRule="auto"/>
        <w:contextualSpacing/>
        <w:jc w:val="center"/>
        <w:rPr>
          <w:rFonts w:ascii="Times New Roman" w:hAnsi="Times New Roman"/>
          <w:b/>
          <w:color w:val="000000"/>
          <w:sz w:val="28"/>
        </w:rPr>
      </w:pPr>
      <w:r w:rsidRPr="0078696C">
        <w:rPr>
          <w:noProof/>
          <w:color w:val="000000"/>
          <w:lang w:eastAsia="uk-UA"/>
        </w:rPr>
        <w:drawing>
          <wp:inline distT="0" distB="0" distL="0" distR="0">
            <wp:extent cx="6037580" cy="4654550"/>
            <wp:effectExtent l="76200" t="38100" r="0" b="0"/>
            <wp:docPr id="1" name="Схема 1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sidR="00FC1256" w:rsidRPr="00D676EB">
        <w:rPr>
          <w:rFonts w:ascii="Times New Roman" w:hAnsi="Times New Roman"/>
          <w:b/>
          <w:color w:val="000000"/>
          <w:sz w:val="28"/>
        </w:rPr>
        <w:t>Рисунок 1.1 Джерела пенсійного забезпечення</w:t>
      </w:r>
    </w:p>
    <w:p w:rsidR="00C25937" w:rsidRPr="00C25937" w:rsidRDefault="00C25937" w:rsidP="00C25937">
      <w:pPr>
        <w:tabs>
          <w:tab w:val="left" w:pos="0"/>
        </w:tabs>
        <w:spacing w:after="0" w:line="360" w:lineRule="auto"/>
        <w:contextualSpacing/>
        <w:jc w:val="center"/>
        <w:rPr>
          <w:rFonts w:ascii="Times New Roman" w:hAnsi="Times New Roman"/>
          <w:color w:val="000000"/>
          <w:sz w:val="28"/>
          <w:szCs w:val="28"/>
          <w:lang w:val="ru-RU"/>
        </w:rPr>
      </w:pPr>
      <w:r w:rsidRPr="00C25937">
        <w:rPr>
          <w:rFonts w:ascii="Times New Roman" w:hAnsi="Times New Roman"/>
          <w:color w:val="000000"/>
          <w:sz w:val="28"/>
        </w:rPr>
        <w:t xml:space="preserve">Джерело: складено автором на основі </w:t>
      </w:r>
      <w:r w:rsidRPr="00C25937">
        <w:rPr>
          <w:rFonts w:ascii="Times New Roman" w:hAnsi="Times New Roman"/>
          <w:color w:val="000000"/>
          <w:sz w:val="28"/>
          <w:lang w:val="ru-RU"/>
        </w:rPr>
        <w:t>[</w:t>
      </w:r>
      <w:r w:rsidR="006517DD">
        <w:rPr>
          <w:rFonts w:ascii="Times New Roman" w:hAnsi="Times New Roman"/>
          <w:color w:val="000000"/>
          <w:sz w:val="28"/>
          <w:lang w:val="ru-RU"/>
        </w:rPr>
        <w:t>100</w:t>
      </w:r>
      <w:r w:rsidRPr="00C25937">
        <w:rPr>
          <w:rFonts w:ascii="Times New Roman" w:hAnsi="Times New Roman"/>
          <w:color w:val="000000"/>
          <w:sz w:val="28"/>
          <w:lang w:val="ru-RU"/>
        </w:rPr>
        <w:t>]</w:t>
      </w:r>
    </w:p>
    <w:p w:rsidR="00AF78D1" w:rsidRPr="0078696C" w:rsidRDefault="00AF78D1" w:rsidP="00394715">
      <w:pPr>
        <w:numPr>
          <w:ilvl w:val="0"/>
          <w:numId w:val="5"/>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lastRenderedPageBreak/>
        <w:t>За юридично</w:t>
      </w:r>
      <w:r w:rsidR="00394715" w:rsidRPr="0078696C">
        <w:rPr>
          <w:rFonts w:ascii="Times New Roman" w:hAnsi="Times New Roman"/>
          <w:i/>
          <w:color w:val="000000"/>
          <w:sz w:val="28"/>
          <w:szCs w:val="28"/>
        </w:rPr>
        <w:t>ю</w:t>
      </w:r>
      <w:r w:rsidRPr="0078696C">
        <w:rPr>
          <w:rFonts w:ascii="Times New Roman" w:hAnsi="Times New Roman"/>
          <w:i/>
          <w:color w:val="000000"/>
          <w:sz w:val="28"/>
          <w:szCs w:val="28"/>
        </w:rPr>
        <w:t xml:space="preserve"> силою</w:t>
      </w:r>
      <w:r w:rsidRPr="0078696C">
        <w:rPr>
          <w:rFonts w:ascii="Times New Roman" w:hAnsi="Times New Roman"/>
          <w:color w:val="000000"/>
          <w:sz w:val="28"/>
          <w:szCs w:val="28"/>
        </w:rPr>
        <w:t>:</w:t>
      </w:r>
    </w:p>
    <w:p w:rsidR="007C0265" w:rsidRPr="0078696C" w:rsidRDefault="00AF78D1" w:rsidP="0079156F">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Конституція України</w:t>
      </w:r>
      <w:r w:rsidRPr="0078696C">
        <w:rPr>
          <w:rFonts w:ascii="Times New Roman" w:hAnsi="Times New Roman"/>
          <w:color w:val="000000"/>
          <w:sz w:val="28"/>
          <w:szCs w:val="28"/>
        </w:rPr>
        <w:t xml:space="preserve"> – нормативно-правовий акт найвищої юридичної сили</w:t>
      </w:r>
      <w:r w:rsidR="0079156F" w:rsidRPr="0078696C">
        <w:rPr>
          <w:rFonts w:ascii="Times New Roman" w:hAnsi="Times New Roman"/>
          <w:color w:val="000000"/>
          <w:sz w:val="28"/>
          <w:szCs w:val="28"/>
        </w:rPr>
        <w:t>, норми якого є нормами прямої дії</w:t>
      </w:r>
      <w:r w:rsidRPr="0078696C">
        <w:rPr>
          <w:rFonts w:ascii="Times New Roman" w:hAnsi="Times New Roman"/>
          <w:color w:val="000000"/>
          <w:sz w:val="28"/>
          <w:szCs w:val="28"/>
        </w:rPr>
        <w:t>. Визначає цілі та зміст всіх інших нормативно-правових актів, спрямованість діяльності органів законодавчої й виконавчої гілок влади, органів місцевого самоврядування.</w:t>
      </w:r>
      <w:r w:rsidR="0079156F" w:rsidRPr="0078696C">
        <w:rPr>
          <w:rFonts w:ascii="Times New Roman" w:hAnsi="Times New Roman"/>
          <w:color w:val="000000"/>
          <w:sz w:val="28"/>
          <w:szCs w:val="28"/>
        </w:rPr>
        <w:t xml:space="preserve"> Згідно </w:t>
      </w:r>
      <w:r w:rsidR="00C46B3F" w:rsidRPr="0078696C">
        <w:rPr>
          <w:rFonts w:ascii="Times New Roman" w:hAnsi="Times New Roman"/>
          <w:color w:val="000000"/>
          <w:sz w:val="28"/>
          <w:szCs w:val="28"/>
        </w:rPr>
        <w:t xml:space="preserve">з </w:t>
      </w:r>
      <w:r w:rsidR="007C0265" w:rsidRPr="0078696C">
        <w:rPr>
          <w:rFonts w:ascii="Times New Roman" w:hAnsi="Times New Roman"/>
          <w:color w:val="000000"/>
          <w:sz w:val="28"/>
          <w:szCs w:val="28"/>
        </w:rPr>
        <w:t>ч. 2 ст. 19 Конституції, органи державної влади, в тому числі Верховна Рада України, Президент України, Кабінет Міністрів України, органи Пенсійного фонду повинні діяти на підставі і лише в межах повноважень, передбачених Конституцією та законами</w:t>
      </w:r>
      <w:r w:rsidR="0079156F" w:rsidRPr="0078696C">
        <w:rPr>
          <w:rFonts w:ascii="Times New Roman" w:hAnsi="Times New Roman"/>
          <w:color w:val="000000"/>
          <w:sz w:val="28"/>
          <w:szCs w:val="28"/>
        </w:rPr>
        <w:t xml:space="preserve"> України </w:t>
      </w:r>
      <w:r w:rsidR="0079156F" w:rsidRPr="0078696C">
        <w:rPr>
          <w:rStyle w:val="a8"/>
          <w:rFonts w:ascii="Times New Roman" w:hAnsi="Times New Roman"/>
          <w:color w:val="000000"/>
          <w:sz w:val="28"/>
          <w:szCs w:val="28"/>
        </w:rPr>
        <w:footnoteReference w:id="39"/>
      </w:r>
      <w:r w:rsidR="007C0265" w:rsidRPr="0078696C">
        <w:rPr>
          <w:rFonts w:ascii="Times New Roman" w:hAnsi="Times New Roman"/>
          <w:color w:val="000000"/>
          <w:sz w:val="28"/>
          <w:szCs w:val="28"/>
        </w:rPr>
        <w:t>.</w:t>
      </w:r>
    </w:p>
    <w:p w:rsidR="0079156F" w:rsidRPr="0078696C" w:rsidRDefault="00005CFA" w:rsidP="00005CFA">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Конституційні норми щодо соціального забезпечення діють не прямо, а через поточне законодавство, яким передбачено надання окремих видів соціального забезпеченню. Норми Конституції України окреслили рамки соціальної політики, її пріоритети, визначили основні завдання держави в соціальній сфері, встановили обов’язки державних органів щодо людини, її соціального забезпечення і соціального захисту</w:t>
      </w:r>
      <w:r w:rsidR="0079156F" w:rsidRPr="0078696C">
        <w:rPr>
          <w:rStyle w:val="a8"/>
          <w:rFonts w:ascii="Times New Roman" w:hAnsi="Times New Roman"/>
          <w:color w:val="000000"/>
          <w:sz w:val="28"/>
          <w:szCs w:val="28"/>
        </w:rPr>
        <w:footnoteReference w:id="40"/>
      </w:r>
      <w:r w:rsidRPr="0078696C">
        <w:rPr>
          <w:rFonts w:ascii="Times New Roman" w:hAnsi="Times New Roman"/>
          <w:color w:val="000000"/>
          <w:sz w:val="28"/>
          <w:szCs w:val="28"/>
        </w:rPr>
        <w:t>.</w:t>
      </w:r>
    </w:p>
    <w:p w:rsidR="0079156F" w:rsidRPr="0078696C" w:rsidRDefault="0079156F" w:rsidP="00724193">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Згідно </w:t>
      </w:r>
      <w:r w:rsidR="00C46B3F" w:rsidRPr="0078696C">
        <w:rPr>
          <w:rFonts w:ascii="Times New Roman" w:hAnsi="Times New Roman"/>
          <w:color w:val="000000"/>
          <w:sz w:val="28"/>
          <w:szCs w:val="28"/>
        </w:rPr>
        <w:t xml:space="preserve">з </w:t>
      </w:r>
      <w:r w:rsidRPr="0078696C">
        <w:rPr>
          <w:rFonts w:ascii="Times New Roman" w:hAnsi="Times New Roman"/>
          <w:color w:val="000000"/>
          <w:sz w:val="28"/>
          <w:szCs w:val="28"/>
        </w:rPr>
        <w:t xml:space="preserve">ст. 46 Конституції України,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w:t>
      </w:r>
      <w:r w:rsidRPr="0078696C">
        <w:rPr>
          <w:rFonts w:ascii="Times New Roman" w:hAnsi="Times New Roman"/>
          <w:color w:val="000000"/>
          <w:sz w:val="28"/>
          <w:szCs w:val="28"/>
          <w:vertAlign w:val="superscript"/>
        </w:rPr>
        <w:footnoteReference w:id="41"/>
      </w:r>
      <w:r w:rsidRPr="0078696C">
        <w:rPr>
          <w:rFonts w:ascii="Times New Roman" w:hAnsi="Times New Roman"/>
          <w:color w:val="000000"/>
          <w:sz w:val="28"/>
          <w:szCs w:val="28"/>
        </w:rPr>
        <w:t>.</w:t>
      </w:r>
    </w:p>
    <w:p w:rsidR="00005CFA" w:rsidRPr="0078696C" w:rsidRDefault="00005CFA" w:rsidP="00005CFA">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Положення Конституції України деталізовані в поточному законодавстві. Саме в ньому конкретизовані права людини в соціальному забезпеченні. На підставі норм Конституції України оновлюється законодавство щодо соціального забезпечення громадян, створюється ефективна система соціального захисту населення, проводиться кодифікація норм певних правових </w:t>
      </w:r>
      <w:r w:rsidRPr="0078696C">
        <w:rPr>
          <w:rFonts w:ascii="Times New Roman" w:hAnsi="Times New Roman"/>
          <w:color w:val="000000"/>
          <w:sz w:val="28"/>
          <w:szCs w:val="28"/>
        </w:rPr>
        <w:lastRenderedPageBreak/>
        <w:t xml:space="preserve">інститутів, розробляються державні соціальні стандарти, вдосконалюються форми зовнішнього вираження норм права соціального забезпечення </w:t>
      </w:r>
      <w:r w:rsidRPr="0078696C">
        <w:rPr>
          <w:rStyle w:val="a8"/>
          <w:rFonts w:ascii="Times New Roman" w:hAnsi="Times New Roman"/>
          <w:color w:val="000000"/>
          <w:sz w:val="28"/>
          <w:szCs w:val="28"/>
        </w:rPr>
        <w:footnoteReference w:id="42"/>
      </w:r>
      <w:r w:rsidRPr="0078696C">
        <w:rPr>
          <w:rFonts w:ascii="Times New Roman" w:hAnsi="Times New Roman"/>
          <w:color w:val="000000"/>
          <w:sz w:val="28"/>
          <w:szCs w:val="28"/>
        </w:rPr>
        <w:t>.</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Міжнародні договори у сфері пенсійного забезпечення</w:t>
      </w:r>
      <w:r w:rsidRPr="0078696C">
        <w:rPr>
          <w:rFonts w:ascii="Times New Roman" w:hAnsi="Times New Roman"/>
          <w:color w:val="000000"/>
          <w:sz w:val="28"/>
          <w:szCs w:val="28"/>
        </w:rPr>
        <w:t xml:space="preserve">, ратифіковані Україною (згідно </w:t>
      </w:r>
      <w:r w:rsidR="00FC7FBD" w:rsidRPr="0078696C">
        <w:rPr>
          <w:rFonts w:ascii="Times New Roman" w:hAnsi="Times New Roman"/>
          <w:color w:val="000000"/>
          <w:sz w:val="28"/>
          <w:szCs w:val="28"/>
        </w:rPr>
        <w:t xml:space="preserve">з </w:t>
      </w:r>
      <w:r w:rsidRPr="0078696C">
        <w:rPr>
          <w:rFonts w:ascii="Times New Roman" w:hAnsi="Times New Roman"/>
          <w:color w:val="000000"/>
          <w:sz w:val="28"/>
          <w:szCs w:val="28"/>
        </w:rPr>
        <w:t xml:space="preserve">ст. 9 Конституції України міжнародні договори, згода на обов’язковість яких надана Верховною Радою України, є частиною національного законодавства України </w:t>
      </w:r>
      <w:r w:rsidRPr="0078696C">
        <w:rPr>
          <w:rFonts w:ascii="Times New Roman" w:hAnsi="Times New Roman"/>
          <w:color w:val="000000"/>
          <w:sz w:val="28"/>
          <w:szCs w:val="28"/>
          <w:vertAlign w:val="superscript"/>
        </w:rPr>
        <w:footnoteReference w:id="43"/>
      </w:r>
      <w:r w:rsidRPr="0078696C">
        <w:rPr>
          <w:rFonts w:ascii="Times New Roman" w:hAnsi="Times New Roman"/>
          <w:color w:val="000000"/>
          <w:sz w:val="28"/>
          <w:szCs w:val="28"/>
        </w:rPr>
        <w:t>).</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Міжнародні договори (угоди), в частині призначення та виплати пенсій, розподіляються на два види:</w:t>
      </w:r>
    </w:p>
    <w:p w:rsidR="00AF78D1" w:rsidRPr="0078696C" w:rsidRDefault="00AF78D1" w:rsidP="00C25937">
      <w:pPr>
        <w:numPr>
          <w:ilvl w:val="0"/>
          <w:numId w:val="6"/>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Договори, за якими витрати на виплату пенсій здійснює держава, на території якої проживає отримувач (</w:t>
      </w:r>
      <w:r w:rsidRPr="0078696C">
        <w:rPr>
          <w:rFonts w:ascii="Times New Roman" w:hAnsi="Times New Roman"/>
          <w:i/>
          <w:color w:val="000000"/>
          <w:sz w:val="28"/>
          <w:szCs w:val="28"/>
        </w:rPr>
        <w:t>територіальний принцип</w:t>
      </w:r>
      <w:r w:rsidRPr="0078696C">
        <w:rPr>
          <w:rFonts w:ascii="Times New Roman" w:hAnsi="Times New Roman"/>
          <w:color w:val="000000"/>
          <w:sz w:val="28"/>
          <w:szCs w:val="28"/>
        </w:rPr>
        <w:t>):</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Угода про гарантії прав громадян держав-учасниць Співдружності Незалежних Держав в галузі пенсійного забезпечення від 13 березня 1992 року, вступила в силу з дня підписання (підписана між: Білоруссю, Вірменією, Казахстаном, Киргизстаном, Російською Федерацією, Таджикистаном, Туркменістаном, Узбекистаном, Україною)</w:t>
      </w:r>
      <w:r w:rsidR="00857E70" w:rsidRPr="0078696C">
        <w:rPr>
          <w:rStyle w:val="a8"/>
          <w:rFonts w:ascii="Times New Roman" w:hAnsi="Times New Roman"/>
          <w:color w:val="000000"/>
          <w:sz w:val="28"/>
          <w:szCs w:val="28"/>
        </w:rPr>
        <w:footnoteReference w:id="44"/>
      </w:r>
      <w:r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Угода між Урядом України та Урядом Республіки Білорусь про гарантії прав громадян в галузі пенсійного забезпечення, підписана 14.12.1995 р., ратифікована 22.11.1996 р., набула чинності з 11 лютого 1997 року </w:t>
      </w:r>
      <w:r w:rsidRPr="0078696C">
        <w:rPr>
          <w:rStyle w:val="a8"/>
          <w:rFonts w:ascii="Times New Roman" w:hAnsi="Times New Roman"/>
          <w:color w:val="000000"/>
          <w:sz w:val="28"/>
          <w:szCs w:val="28"/>
        </w:rPr>
        <w:footnoteReference w:id="45"/>
      </w:r>
      <w:r w:rsidRPr="0078696C">
        <w:rPr>
          <w:rFonts w:ascii="Times New Roman" w:hAnsi="Times New Roman"/>
          <w:color w:val="000000"/>
          <w:sz w:val="28"/>
          <w:szCs w:val="28"/>
        </w:rPr>
        <w:t>.</w:t>
      </w:r>
    </w:p>
    <w:p w:rsidR="00214AF4" w:rsidRPr="0078696C" w:rsidRDefault="00AF78D1" w:rsidP="005471B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Угода між Урядом України та Урядом Республіки Молдова про гарантії прав громадян в галузі пенсійного забезпечення, підписана 29.08.1995 р., ратифікована ВРУ 29.10.1996 р., набула чинності з 19 грудня 1996 року</w:t>
      </w:r>
      <w:r w:rsidR="00883707" w:rsidRPr="0078696C">
        <w:rPr>
          <w:rStyle w:val="a8"/>
          <w:rFonts w:ascii="Times New Roman" w:hAnsi="Times New Roman"/>
          <w:color w:val="000000"/>
          <w:sz w:val="28"/>
          <w:szCs w:val="28"/>
        </w:rPr>
        <w:footnoteReference w:id="46"/>
      </w:r>
      <w:r w:rsidR="00214AF4"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Угода між Урядом України і Урядом Азербайджанської Республіки про співробітництво в галузі пенсійного забезпечення, підписана 28.07.1995 р., ратифікована ВРУ 07.05.1996 р., набула чинності з 2 листопада 1996 року </w:t>
      </w:r>
      <w:r w:rsidRPr="0078696C">
        <w:rPr>
          <w:rStyle w:val="a8"/>
          <w:rFonts w:ascii="Times New Roman" w:hAnsi="Times New Roman"/>
          <w:color w:val="000000"/>
          <w:sz w:val="28"/>
          <w:szCs w:val="28"/>
        </w:rPr>
        <w:footnoteReference w:id="47"/>
      </w:r>
      <w:r w:rsidRPr="0078696C">
        <w:rPr>
          <w:rFonts w:ascii="Times New Roman" w:hAnsi="Times New Roman"/>
          <w:color w:val="000000"/>
          <w:sz w:val="28"/>
          <w:szCs w:val="28"/>
        </w:rPr>
        <w:t>;</w:t>
      </w:r>
    </w:p>
    <w:p w:rsidR="002D1916" w:rsidRPr="0078696C" w:rsidRDefault="00AF78D1" w:rsidP="005471B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Угода між Урядом України і Урядом Республіки Грузія про співробітництво в галузі пенсійного забезпечення підписана 09.01.1995 р., р</w:t>
      </w:r>
      <w:r w:rsidR="00A73281" w:rsidRPr="0078696C">
        <w:rPr>
          <w:rFonts w:ascii="Times New Roman" w:hAnsi="Times New Roman"/>
          <w:color w:val="000000"/>
          <w:sz w:val="28"/>
          <w:szCs w:val="28"/>
        </w:rPr>
        <w:t xml:space="preserve">атифікована ВРУ 22.11.1995 р., набула </w:t>
      </w:r>
      <w:r w:rsidRPr="0078696C">
        <w:rPr>
          <w:rFonts w:ascii="Times New Roman" w:hAnsi="Times New Roman"/>
          <w:color w:val="000000"/>
          <w:sz w:val="28"/>
          <w:szCs w:val="28"/>
        </w:rPr>
        <w:t>чинності з 22 грудня 1995 року</w:t>
      </w:r>
      <w:r w:rsidR="002D1916" w:rsidRPr="0078696C">
        <w:rPr>
          <w:rStyle w:val="a8"/>
          <w:rFonts w:ascii="Times New Roman" w:hAnsi="Times New Roman"/>
          <w:color w:val="000000"/>
          <w:sz w:val="28"/>
          <w:szCs w:val="28"/>
        </w:rPr>
        <w:footnoteReference w:id="48"/>
      </w:r>
      <w:r w:rsidRPr="0078696C">
        <w:rPr>
          <w:rFonts w:ascii="Times New Roman" w:hAnsi="Times New Roman"/>
          <w:color w:val="000000"/>
          <w:sz w:val="28"/>
          <w:szCs w:val="28"/>
        </w:rPr>
        <w:t>;</w:t>
      </w:r>
    </w:p>
    <w:p w:rsidR="00881543" w:rsidRPr="0078696C" w:rsidRDefault="00AF78D1" w:rsidP="005471B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Угода між СРСР і Монгольською народною Республікою про співробітництво в галузі соціального забезпечення, підписана 06.04.1981 р., ратифікована </w:t>
      </w:r>
      <w:r w:rsidR="003879F6" w:rsidRPr="0078696C">
        <w:rPr>
          <w:rFonts w:ascii="Times New Roman" w:hAnsi="Times New Roman"/>
          <w:color w:val="000000"/>
          <w:sz w:val="28"/>
          <w:szCs w:val="28"/>
        </w:rPr>
        <w:t xml:space="preserve">02.12.1981 р., набула чинності </w:t>
      </w:r>
      <w:r w:rsidRPr="0078696C">
        <w:rPr>
          <w:rFonts w:ascii="Times New Roman" w:hAnsi="Times New Roman"/>
          <w:color w:val="000000"/>
          <w:sz w:val="28"/>
          <w:szCs w:val="28"/>
        </w:rPr>
        <w:t>з 28 січня 1982 року</w:t>
      </w:r>
      <w:r w:rsidR="00881543" w:rsidRPr="0078696C">
        <w:rPr>
          <w:rStyle w:val="a8"/>
          <w:rFonts w:ascii="Times New Roman" w:hAnsi="Times New Roman"/>
          <w:color w:val="000000"/>
          <w:sz w:val="28"/>
          <w:szCs w:val="28"/>
        </w:rPr>
        <w:footnoteReference w:id="49"/>
      </w:r>
      <w:r w:rsidR="00881543"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Угода між Союзом РСР і Угорською Народною Республікою про співробітництво в галузі соціального забезпечення, підписана 20.12.1962 р., ратифікована 31.05.1963 р., набула чинності з 12 квітня 1963 року </w:t>
      </w:r>
      <w:r w:rsidRPr="0078696C">
        <w:rPr>
          <w:rStyle w:val="a8"/>
          <w:rFonts w:ascii="Times New Roman" w:hAnsi="Times New Roman"/>
          <w:color w:val="000000"/>
          <w:sz w:val="28"/>
          <w:szCs w:val="28"/>
        </w:rPr>
        <w:footnoteReference w:id="50"/>
      </w:r>
      <w:r w:rsidRPr="0078696C">
        <w:rPr>
          <w:rFonts w:ascii="Times New Roman" w:hAnsi="Times New Roman"/>
          <w:color w:val="000000"/>
          <w:sz w:val="28"/>
          <w:szCs w:val="28"/>
        </w:rPr>
        <w:t xml:space="preserve">; </w:t>
      </w:r>
    </w:p>
    <w:p w:rsidR="00881543" w:rsidRPr="0078696C" w:rsidRDefault="00AF78D1" w:rsidP="005471B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Угода між Союзом РСР і Румунською Народною Республікою про співробітництво в галузі соціального забезпечення, підписа</w:t>
      </w:r>
      <w:r w:rsidR="0090213B" w:rsidRPr="0078696C">
        <w:rPr>
          <w:rFonts w:ascii="Times New Roman" w:hAnsi="Times New Roman"/>
          <w:color w:val="000000"/>
          <w:sz w:val="28"/>
          <w:szCs w:val="28"/>
        </w:rPr>
        <w:t xml:space="preserve">на 24.12.1960 р., ратифікована </w:t>
      </w:r>
      <w:r w:rsidRPr="0078696C">
        <w:rPr>
          <w:rFonts w:ascii="Times New Roman" w:hAnsi="Times New Roman"/>
          <w:color w:val="000000"/>
          <w:sz w:val="28"/>
          <w:szCs w:val="28"/>
        </w:rPr>
        <w:t>10.05.1961 р., набула чинності з 27 червня 1961 року</w:t>
      </w:r>
      <w:r w:rsidR="00881543" w:rsidRPr="0078696C">
        <w:rPr>
          <w:rStyle w:val="a8"/>
          <w:rFonts w:ascii="Times New Roman" w:hAnsi="Times New Roman"/>
          <w:color w:val="000000"/>
          <w:sz w:val="28"/>
          <w:szCs w:val="28"/>
        </w:rPr>
        <w:footnoteReference w:id="51"/>
      </w:r>
      <w:r w:rsidR="00611944" w:rsidRPr="0078696C">
        <w:rPr>
          <w:rFonts w:ascii="Times New Roman" w:hAnsi="Times New Roman"/>
          <w:color w:val="000000"/>
          <w:sz w:val="28"/>
          <w:szCs w:val="28"/>
        </w:rPr>
        <w:t>;</w:t>
      </w:r>
    </w:p>
    <w:p w:rsidR="00AF78D1" w:rsidRPr="002C3BFC" w:rsidRDefault="00AF78D1" w:rsidP="002C3BFC">
      <w:pPr>
        <w:pStyle w:val="a3"/>
        <w:numPr>
          <w:ilvl w:val="0"/>
          <w:numId w:val="6"/>
        </w:numPr>
        <w:tabs>
          <w:tab w:val="left" w:pos="0"/>
        </w:tabs>
        <w:spacing w:after="0" w:line="360" w:lineRule="auto"/>
        <w:ind w:left="0" w:firstLine="709"/>
        <w:jc w:val="both"/>
        <w:rPr>
          <w:rFonts w:ascii="Times New Roman" w:hAnsi="Times New Roman"/>
          <w:i/>
          <w:color w:val="000000"/>
          <w:sz w:val="28"/>
          <w:szCs w:val="28"/>
        </w:rPr>
      </w:pPr>
      <w:r w:rsidRPr="002C3BFC">
        <w:rPr>
          <w:rFonts w:ascii="Times New Roman" w:hAnsi="Times New Roman"/>
          <w:color w:val="000000"/>
          <w:sz w:val="28"/>
          <w:szCs w:val="28"/>
        </w:rPr>
        <w:t xml:space="preserve">Договори, за якими кожна договірна сторона призначає та виплачує пенсію за відповідний страховий (трудовий) стаж, набутий на території держави цієї сторони </w:t>
      </w:r>
      <w:r w:rsidRPr="002C3BFC">
        <w:rPr>
          <w:rFonts w:ascii="Times New Roman" w:hAnsi="Times New Roman"/>
          <w:i/>
          <w:color w:val="000000"/>
          <w:sz w:val="28"/>
          <w:szCs w:val="28"/>
        </w:rPr>
        <w:t>(пропорційний принцип):</w:t>
      </w:r>
    </w:p>
    <w:p w:rsidR="00F57117" w:rsidRPr="0078696C" w:rsidRDefault="00F57117" w:rsidP="00F57117">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Угода між Україною та Республікою Польща про соціальне забезпечення, ратифікована ВРУ 05.09.2013</w:t>
      </w:r>
      <w:r w:rsidRPr="0078696C">
        <w:rPr>
          <w:rFonts w:ascii="Times New Roman" w:hAnsi="Times New Roman"/>
          <w:color w:val="000000"/>
          <w:sz w:val="28"/>
          <w:szCs w:val="28"/>
        </w:rPr>
        <w:t xml:space="preserve"> р.</w:t>
      </w:r>
      <w:r w:rsidRPr="0078696C">
        <w:rPr>
          <w:rFonts w:ascii="Times New Roman" w:eastAsia="Times New Roman" w:hAnsi="Times New Roman"/>
          <w:color w:val="000000"/>
          <w:sz w:val="28"/>
          <w:szCs w:val="28"/>
          <w:lang w:eastAsia="uk-UA"/>
        </w:rPr>
        <w:t xml:space="preserve">, вступила в силу з 1 січня 2014 року </w:t>
      </w:r>
      <w:r w:rsidRPr="0078696C">
        <w:rPr>
          <w:rStyle w:val="a8"/>
          <w:rFonts w:ascii="Times New Roman" w:eastAsia="Times New Roman" w:hAnsi="Times New Roman"/>
          <w:color w:val="000000"/>
          <w:sz w:val="28"/>
          <w:szCs w:val="28"/>
          <w:lang w:eastAsia="uk-UA"/>
        </w:rPr>
        <w:footnoteReference w:id="52"/>
      </w:r>
      <w:r w:rsidRPr="0078696C">
        <w:rPr>
          <w:rFonts w:ascii="Times New Roman" w:eastAsia="Times New Roman" w:hAnsi="Times New Roman"/>
          <w:color w:val="000000"/>
          <w:sz w:val="28"/>
          <w:szCs w:val="28"/>
          <w:lang w:eastAsia="uk-UA"/>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Угода між Україною та Португальською Республікою про соціальне забезпечення, підписана 07.07.2009 р., ратифікована ВРУ 21.12.2011 р., набрала чинності 1 березня 2012 року </w:t>
      </w:r>
      <w:r w:rsidRPr="0078696C">
        <w:rPr>
          <w:rStyle w:val="a8"/>
          <w:rFonts w:ascii="Times New Roman" w:hAnsi="Times New Roman"/>
          <w:color w:val="000000"/>
          <w:sz w:val="28"/>
          <w:szCs w:val="28"/>
        </w:rPr>
        <w:footnoteReference w:id="53"/>
      </w:r>
      <w:r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Угода між Україною та Естонською Республікою у сфері соціального забезпечення</w:t>
      </w:r>
      <w:r w:rsidRPr="0078696C">
        <w:rPr>
          <w:rStyle w:val="a8"/>
          <w:rFonts w:ascii="Times New Roman" w:hAnsi="Times New Roman"/>
          <w:color w:val="000000"/>
          <w:sz w:val="28"/>
          <w:szCs w:val="28"/>
          <w:vertAlign w:val="baseline"/>
        </w:rPr>
        <w:t xml:space="preserve">, </w:t>
      </w:r>
      <w:r w:rsidRPr="0078696C">
        <w:rPr>
          <w:rFonts w:ascii="Times New Roman" w:hAnsi="Times New Roman"/>
          <w:color w:val="000000"/>
          <w:sz w:val="28"/>
          <w:szCs w:val="28"/>
        </w:rPr>
        <w:t xml:space="preserve">підписана 05.10.2010 р., </w:t>
      </w:r>
      <w:r w:rsidRPr="0078696C">
        <w:rPr>
          <w:rStyle w:val="a8"/>
          <w:rFonts w:ascii="Times New Roman" w:hAnsi="Times New Roman"/>
          <w:color w:val="000000"/>
          <w:sz w:val="28"/>
          <w:szCs w:val="28"/>
          <w:vertAlign w:val="baseline"/>
        </w:rPr>
        <w:t xml:space="preserve">ратифікована </w:t>
      </w:r>
      <w:r w:rsidRPr="0078696C">
        <w:rPr>
          <w:rFonts w:ascii="Times New Roman" w:hAnsi="Times New Roman"/>
          <w:color w:val="000000"/>
          <w:sz w:val="28"/>
          <w:szCs w:val="28"/>
        </w:rPr>
        <w:t xml:space="preserve">ВРУ 02.11.2011 р., набула чинності 01.02.2012 р. </w:t>
      </w:r>
      <w:r w:rsidRPr="0078696C">
        <w:rPr>
          <w:rStyle w:val="a8"/>
          <w:rFonts w:ascii="Times New Roman" w:hAnsi="Times New Roman"/>
          <w:color w:val="000000"/>
          <w:sz w:val="28"/>
          <w:szCs w:val="28"/>
        </w:rPr>
        <w:footnoteReference w:id="54"/>
      </w:r>
      <w:r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Договір між Україною та Чеською Республікою про соціальне забезпечення, підписаний 04.07.2001 року, ратифікований ВРУ 22.11.2002 р., набув чинності з 1 квітня 2003 року </w:t>
      </w:r>
      <w:r w:rsidRPr="0078696C">
        <w:rPr>
          <w:rStyle w:val="a8"/>
          <w:rFonts w:ascii="Times New Roman" w:hAnsi="Times New Roman"/>
          <w:color w:val="000000"/>
          <w:sz w:val="28"/>
          <w:szCs w:val="28"/>
        </w:rPr>
        <w:footnoteReference w:id="55"/>
      </w:r>
      <w:r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Договір між Україною та Республікою Болгарією про соціальне забезпечення, підписаний 04.09.2001 року, ратифікований ВРУ 22.11.2002 р., набув чинності з 1 квітня 2003 року </w:t>
      </w:r>
      <w:r w:rsidRPr="0078696C">
        <w:rPr>
          <w:rStyle w:val="a8"/>
          <w:rFonts w:ascii="Times New Roman" w:hAnsi="Times New Roman"/>
          <w:color w:val="000000"/>
          <w:sz w:val="28"/>
          <w:szCs w:val="28"/>
        </w:rPr>
        <w:footnoteReference w:id="56"/>
      </w:r>
      <w:r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Договір між Україною та Литовською Республікою про соціальне забезпечення, підписаний 23.04.2001 р., ратифікований ВРУ 10.01.2002 р., набув чинності з 8 лютого 2002 року </w:t>
      </w:r>
      <w:r w:rsidRPr="0078696C">
        <w:rPr>
          <w:rStyle w:val="a8"/>
          <w:rFonts w:ascii="Times New Roman" w:hAnsi="Times New Roman"/>
          <w:color w:val="000000"/>
          <w:sz w:val="28"/>
          <w:szCs w:val="28"/>
        </w:rPr>
        <w:footnoteReference w:id="57"/>
      </w:r>
      <w:r w:rsidRPr="0078696C">
        <w:rPr>
          <w:rFonts w:ascii="Times New Roman" w:hAnsi="Times New Roman"/>
          <w:color w:val="000000"/>
          <w:sz w:val="28"/>
          <w:szCs w:val="28"/>
        </w:rPr>
        <w:t>;</w:t>
      </w:r>
    </w:p>
    <w:p w:rsidR="00F57117" w:rsidRPr="0078696C" w:rsidRDefault="00F57117" w:rsidP="00F57117">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Договір між Україною та Словацькою Республікою про соціальне забезпечення, підписаний 05.12.2000 р., ратифікований ВРУ 20.09.2001 р., набув чинності з 1 січня 2002 року </w:t>
      </w:r>
      <w:r w:rsidRPr="0078696C">
        <w:rPr>
          <w:rStyle w:val="a8"/>
          <w:rFonts w:ascii="Times New Roman" w:hAnsi="Times New Roman"/>
          <w:color w:val="000000"/>
          <w:sz w:val="28"/>
          <w:szCs w:val="28"/>
        </w:rPr>
        <w:footnoteReference w:id="58"/>
      </w:r>
      <w:r w:rsidRPr="0078696C">
        <w:rPr>
          <w:rFonts w:ascii="Times New Roman" w:hAnsi="Times New Roman"/>
          <w:color w:val="000000"/>
          <w:sz w:val="28"/>
          <w:szCs w:val="28"/>
        </w:rPr>
        <w:t>;</w:t>
      </w:r>
    </w:p>
    <w:p w:rsidR="00D61D1B" w:rsidRPr="0078696C" w:rsidRDefault="00AF78D1" w:rsidP="005471B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Договір між Україною і Латвійською Республікою про співробітництво в галузі соціального забезпечення, підписаний 26.02.1998 р., ратифікований ВРУ 19.03.1999 р., набув чинності з 11 червня 1999 року</w:t>
      </w:r>
      <w:r w:rsidR="00F952AF" w:rsidRPr="0078696C">
        <w:rPr>
          <w:rStyle w:val="a8"/>
          <w:rFonts w:ascii="Times New Roman" w:hAnsi="Times New Roman"/>
          <w:color w:val="000000"/>
          <w:sz w:val="28"/>
          <w:szCs w:val="28"/>
        </w:rPr>
        <w:footnoteReference w:id="59"/>
      </w:r>
      <w:r w:rsidRPr="0078696C">
        <w:rPr>
          <w:rFonts w:ascii="Times New Roman" w:hAnsi="Times New Roman"/>
          <w:color w:val="000000"/>
          <w:sz w:val="28"/>
          <w:szCs w:val="28"/>
        </w:rPr>
        <w:t>;</w:t>
      </w:r>
    </w:p>
    <w:p w:rsidR="00AF78D1" w:rsidRPr="0078696C" w:rsidRDefault="00AF78D1" w:rsidP="005471B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Угода між Україною і Королівством Іспанія про соціальне забезпечення, громадян підписана 07.10.1996 р., ратифікована ВРУ 17.12.1997 р., набула чинності з 27 березня 1998 року</w:t>
      </w:r>
      <w:r w:rsidR="00F952AF" w:rsidRPr="0078696C">
        <w:rPr>
          <w:rStyle w:val="a8"/>
          <w:rFonts w:ascii="Times New Roman" w:hAnsi="Times New Roman"/>
          <w:color w:val="000000"/>
          <w:sz w:val="28"/>
          <w:szCs w:val="28"/>
        </w:rPr>
        <w:footnoteReference w:id="60"/>
      </w:r>
      <w:r w:rsidR="00F57117" w:rsidRPr="0078696C">
        <w:rPr>
          <w:rFonts w:ascii="Times New Roman" w:hAnsi="Times New Roman"/>
          <w:color w:val="000000"/>
          <w:sz w:val="28"/>
          <w:szCs w:val="28"/>
        </w:rPr>
        <w:t>.</w:t>
      </w:r>
    </w:p>
    <w:p w:rsidR="00157232" w:rsidRPr="0078696C" w:rsidRDefault="00AF78D1" w:rsidP="00AF78D1">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lastRenderedPageBreak/>
        <w:t>Закони України.</w:t>
      </w:r>
      <w:r w:rsidRPr="0078696C">
        <w:rPr>
          <w:rFonts w:ascii="Times New Roman" w:eastAsia="Times New Roman" w:hAnsi="Times New Roman"/>
          <w:color w:val="000000"/>
          <w:sz w:val="28"/>
          <w:szCs w:val="28"/>
          <w:lang w:eastAsia="uk-UA"/>
        </w:rPr>
        <w:t xml:space="preserve"> Згідн</w:t>
      </w:r>
      <w:r w:rsidR="00F952AF" w:rsidRPr="0078696C">
        <w:rPr>
          <w:rFonts w:ascii="Times New Roman" w:eastAsia="Times New Roman" w:hAnsi="Times New Roman"/>
          <w:color w:val="000000"/>
          <w:sz w:val="28"/>
          <w:szCs w:val="28"/>
          <w:lang w:eastAsia="uk-UA"/>
        </w:rPr>
        <w:t xml:space="preserve">о із ст. 92 Конституції України, </w:t>
      </w:r>
      <w:r w:rsidRPr="0078696C">
        <w:rPr>
          <w:rFonts w:ascii="Times New Roman" w:eastAsia="Times New Roman" w:hAnsi="Times New Roman"/>
          <w:color w:val="000000"/>
          <w:sz w:val="28"/>
          <w:szCs w:val="28"/>
          <w:lang w:eastAsia="uk-UA"/>
        </w:rPr>
        <w:t xml:space="preserve">основи соціального захисту, форми і види пенсійного забезпечення визначаються виключно законами України </w:t>
      </w:r>
      <w:r w:rsidRPr="0078696C">
        <w:rPr>
          <w:rFonts w:ascii="Times New Roman" w:eastAsia="Times New Roman" w:hAnsi="Times New Roman"/>
          <w:color w:val="000000"/>
          <w:sz w:val="28"/>
          <w:szCs w:val="28"/>
          <w:vertAlign w:val="superscript"/>
          <w:lang w:eastAsia="uk-UA"/>
        </w:rPr>
        <w:footnoteReference w:id="61"/>
      </w:r>
      <w:r w:rsidRPr="0078696C">
        <w:rPr>
          <w:rFonts w:ascii="Times New Roman" w:eastAsia="Times New Roman" w:hAnsi="Times New Roman"/>
          <w:color w:val="000000"/>
          <w:sz w:val="28"/>
          <w:szCs w:val="28"/>
          <w:lang w:eastAsia="uk-UA"/>
        </w:rPr>
        <w:t>.</w:t>
      </w:r>
    </w:p>
    <w:p w:rsidR="00724193" w:rsidRPr="0078696C" w:rsidRDefault="008F16D7" w:rsidP="00724193">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Основним законодавчим актом, який утворює всю систему пенсійного забезпечення громадян є Закон України «Про загальнообов’язкове державне пенсійне страхування»</w:t>
      </w:r>
      <w:r w:rsidRPr="0078696C">
        <w:rPr>
          <w:rFonts w:ascii="Times New Roman" w:eastAsia="Times New Roman" w:hAnsi="Times New Roman"/>
          <w:color w:val="000000"/>
          <w:sz w:val="28"/>
          <w:szCs w:val="28"/>
          <w:vertAlign w:val="superscript"/>
          <w:lang w:eastAsia="uk-UA"/>
        </w:rPr>
        <w:footnoteReference w:id="62"/>
      </w:r>
      <w:r w:rsidRPr="0078696C">
        <w:rPr>
          <w:rFonts w:ascii="Times New Roman" w:eastAsia="Times New Roman" w:hAnsi="Times New Roman"/>
          <w:color w:val="000000"/>
          <w:sz w:val="28"/>
          <w:szCs w:val="28"/>
          <w:lang w:eastAsia="uk-UA"/>
        </w:rPr>
        <w:t xml:space="preserve">, прийнятий Верховною </w:t>
      </w:r>
      <w:r w:rsidR="00F57117" w:rsidRPr="0078696C">
        <w:rPr>
          <w:rFonts w:ascii="Times New Roman" w:eastAsia="Times New Roman" w:hAnsi="Times New Roman"/>
          <w:color w:val="000000"/>
          <w:sz w:val="28"/>
          <w:szCs w:val="28"/>
          <w:lang w:eastAsia="uk-UA"/>
        </w:rPr>
        <w:t>Р</w:t>
      </w:r>
      <w:r w:rsidRPr="0078696C">
        <w:rPr>
          <w:rFonts w:ascii="Times New Roman" w:eastAsia="Times New Roman" w:hAnsi="Times New Roman"/>
          <w:color w:val="000000"/>
          <w:sz w:val="28"/>
          <w:szCs w:val="28"/>
          <w:lang w:eastAsia="uk-UA"/>
        </w:rPr>
        <w:t>адою України 09.07.2003 року. Він визначає принципи, засади і механізми функціонування системи загальнообов’язкового державного пенсійного страхування, призначення, перерахунку і виплати пенсій, надання соціальних послуг з коштів Пенсійного фонду, що формуються за рахунок страхових внесків роботодавців, бюджетних та інших джерел, передбачених Законом, а також регулює порядок формування Накопичувального пенсійного фонду та фінансування за рахунок його коштів видатків на оплату договорів страхування довічних пенсій або одноразових виплат застрахованим особам, членам їхніх сімей та іншим особам, передбаченим Законом.</w:t>
      </w:r>
    </w:p>
    <w:p w:rsidR="00724193" w:rsidRPr="0078696C" w:rsidRDefault="008F16D7" w:rsidP="008F16D7">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Важливим у Законі </w:t>
      </w:r>
      <w:r w:rsidRPr="0078696C">
        <w:rPr>
          <w:rFonts w:ascii="Times New Roman" w:eastAsia="Times New Roman" w:hAnsi="Times New Roman"/>
          <w:b/>
          <w:color w:val="000000"/>
          <w:sz w:val="28"/>
          <w:szCs w:val="28"/>
          <w:lang w:eastAsia="uk-UA"/>
        </w:rPr>
        <w:t>«</w:t>
      </w:r>
      <w:r w:rsidRPr="0078696C">
        <w:rPr>
          <w:rFonts w:ascii="Times New Roman" w:eastAsia="Times New Roman" w:hAnsi="Times New Roman"/>
          <w:color w:val="000000"/>
          <w:sz w:val="28"/>
          <w:szCs w:val="28"/>
          <w:lang w:eastAsia="uk-UA"/>
        </w:rPr>
        <w:t>Про загальнообов'язкове державне пенсійне страхування» є те, що вперше було визначено поняття пенсійного законодавства та предмет й</w:t>
      </w:r>
      <w:r w:rsidR="00FC1256" w:rsidRPr="0078696C">
        <w:rPr>
          <w:rFonts w:ascii="Times New Roman" w:eastAsia="Times New Roman" w:hAnsi="Times New Roman"/>
          <w:color w:val="000000"/>
          <w:sz w:val="28"/>
          <w:szCs w:val="28"/>
          <w:lang w:eastAsia="uk-UA"/>
        </w:rPr>
        <w:t>ого правового регулювання.</w:t>
      </w:r>
    </w:p>
    <w:p w:rsidR="00724193" w:rsidRPr="0078696C" w:rsidRDefault="00724193" w:rsidP="000C7E75">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Згідно </w:t>
      </w:r>
      <w:r w:rsidR="00FC1256" w:rsidRPr="0078696C">
        <w:rPr>
          <w:rFonts w:ascii="Times New Roman" w:hAnsi="Times New Roman"/>
          <w:color w:val="000000"/>
          <w:sz w:val="28"/>
          <w:szCs w:val="28"/>
        </w:rPr>
        <w:t xml:space="preserve">з </w:t>
      </w:r>
      <w:r w:rsidRPr="0078696C">
        <w:rPr>
          <w:rFonts w:ascii="Times New Roman" w:hAnsi="Times New Roman"/>
          <w:color w:val="000000"/>
          <w:sz w:val="28"/>
          <w:szCs w:val="28"/>
        </w:rPr>
        <w:t>ст. 4 ЗУ «Про загальнообов’язкове державне пенсійне страхування» законодавство про пенсійне забезпечення базується на Конституції України, складається з Основ законодавства України про загальнообов'язкове державне соціальне страхування</w:t>
      </w:r>
      <w:r w:rsidR="00A6453D" w:rsidRPr="0078696C">
        <w:rPr>
          <w:rFonts w:ascii="Times New Roman" w:hAnsi="Times New Roman"/>
          <w:color w:val="000000"/>
          <w:sz w:val="28"/>
          <w:szCs w:val="28"/>
        </w:rPr>
        <w:t xml:space="preserve"> (1998 р.)</w:t>
      </w:r>
      <w:r w:rsidRPr="0078696C">
        <w:rPr>
          <w:rFonts w:ascii="Times New Roman" w:hAnsi="Times New Roman"/>
          <w:color w:val="000000"/>
          <w:sz w:val="28"/>
          <w:szCs w:val="28"/>
        </w:rPr>
        <w:t>, цього Закону</w:t>
      </w:r>
      <w:r w:rsidR="00A6453D" w:rsidRPr="0078696C">
        <w:rPr>
          <w:rFonts w:ascii="Times New Roman" w:hAnsi="Times New Roman"/>
          <w:color w:val="000000"/>
          <w:sz w:val="28"/>
          <w:szCs w:val="28"/>
        </w:rPr>
        <w:t xml:space="preserve"> (2003 р.)</w:t>
      </w:r>
      <w:r w:rsidRPr="0078696C">
        <w:rPr>
          <w:rFonts w:ascii="Times New Roman" w:hAnsi="Times New Roman"/>
          <w:color w:val="000000"/>
          <w:sz w:val="28"/>
          <w:szCs w:val="28"/>
        </w:rPr>
        <w:t>, законів України «Про недержавне пенсійне забезпечення»</w:t>
      </w:r>
      <w:r w:rsidR="00A6453D" w:rsidRPr="0078696C">
        <w:rPr>
          <w:rFonts w:ascii="Times New Roman" w:hAnsi="Times New Roman"/>
          <w:color w:val="000000"/>
          <w:sz w:val="28"/>
          <w:szCs w:val="28"/>
        </w:rPr>
        <w:t xml:space="preserve"> (2003 р.)</w:t>
      </w:r>
      <w:r w:rsidRPr="0078696C">
        <w:rPr>
          <w:rFonts w:ascii="Times New Roman" w:hAnsi="Times New Roman"/>
          <w:color w:val="000000"/>
          <w:sz w:val="28"/>
          <w:szCs w:val="28"/>
        </w:rPr>
        <w:t>, «Про статус і соціальний захист громадян, які постраждали внаслідок Чорнобильської катастрофи»</w:t>
      </w:r>
      <w:r w:rsidR="00A6453D" w:rsidRPr="0078696C">
        <w:rPr>
          <w:rFonts w:ascii="Times New Roman" w:hAnsi="Times New Roman"/>
          <w:color w:val="000000"/>
          <w:sz w:val="28"/>
          <w:szCs w:val="28"/>
        </w:rPr>
        <w:t xml:space="preserve"> (1991 р.)</w:t>
      </w:r>
      <w:r w:rsidRPr="0078696C">
        <w:rPr>
          <w:rFonts w:ascii="Times New Roman" w:hAnsi="Times New Roman"/>
          <w:color w:val="000000"/>
          <w:sz w:val="28"/>
          <w:szCs w:val="28"/>
        </w:rPr>
        <w:t>, «Про пенсійне забезпечення осіб, звільнених з військової служби, та деяких інших осіб»</w:t>
      </w:r>
      <w:r w:rsidR="00A6453D" w:rsidRPr="0078696C">
        <w:rPr>
          <w:rFonts w:ascii="Times New Roman" w:hAnsi="Times New Roman"/>
          <w:color w:val="000000"/>
          <w:sz w:val="28"/>
          <w:szCs w:val="28"/>
        </w:rPr>
        <w:t xml:space="preserve"> (1992 р.)</w:t>
      </w:r>
      <w:r w:rsidRPr="0078696C">
        <w:rPr>
          <w:rFonts w:ascii="Times New Roman" w:hAnsi="Times New Roman"/>
          <w:color w:val="000000"/>
          <w:sz w:val="28"/>
          <w:szCs w:val="28"/>
        </w:rPr>
        <w:t xml:space="preserve">, міжнародних договорів з пенсійного забезпечення, згода на обов'язковість яких надана Верховною Радою України, а також інших законів та нормативно-правових </w:t>
      </w:r>
      <w:r w:rsidRPr="0078696C">
        <w:rPr>
          <w:rFonts w:ascii="Times New Roman" w:hAnsi="Times New Roman"/>
          <w:color w:val="000000"/>
          <w:sz w:val="28"/>
          <w:szCs w:val="28"/>
        </w:rPr>
        <w:lastRenderedPageBreak/>
        <w:t>актів, прийнятих відповідно до законів про пенсійне забезпечення, що регулюють відносини у сфері пенсійного забезпечення в Україні</w:t>
      </w:r>
      <w:r w:rsidRPr="0078696C">
        <w:rPr>
          <w:rStyle w:val="a8"/>
          <w:rFonts w:ascii="Times New Roman" w:hAnsi="Times New Roman"/>
          <w:color w:val="000000"/>
          <w:sz w:val="28"/>
          <w:szCs w:val="28"/>
        </w:rPr>
        <w:footnoteReference w:id="63"/>
      </w:r>
      <w:r w:rsidRPr="0078696C">
        <w:rPr>
          <w:rFonts w:ascii="Times New Roman" w:hAnsi="Times New Roman"/>
          <w:color w:val="000000"/>
          <w:sz w:val="28"/>
          <w:szCs w:val="28"/>
        </w:rPr>
        <w:t>.</w:t>
      </w:r>
    </w:p>
    <w:p w:rsidR="008F16D7" w:rsidRPr="0078696C" w:rsidRDefault="008F16D7" w:rsidP="008F16D7">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Слід звернути увагу, що пенсійне законодавство складається не тільки із Закону «Про загальнообов'язкове державне пенсійне страхування», а й з інших законодавчих актів, які встановлюють умови пенсійного забезпечення, відмінні </w:t>
      </w:r>
      <w:r w:rsidR="00724193" w:rsidRPr="0078696C">
        <w:rPr>
          <w:rFonts w:ascii="Times New Roman" w:eastAsia="Times New Roman" w:hAnsi="Times New Roman"/>
          <w:color w:val="000000"/>
          <w:sz w:val="28"/>
          <w:szCs w:val="28"/>
          <w:lang w:eastAsia="uk-UA"/>
        </w:rPr>
        <w:t>від умов пенсійного страхування – так зване спеціальне законодавство</w:t>
      </w:r>
      <w:r w:rsidR="000C7E75" w:rsidRPr="0078696C">
        <w:rPr>
          <w:rFonts w:ascii="Times New Roman" w:eastAsia="Times New Roman" w:hAnsi="Times New Roman"/>
          <w:color w:val="000000"/>
          <w:sz w:val="28"/>
          <w:szCs w:val="28"/>
          <w:lang w:eastAsia="uk-UA"/>
        </w:rPr>
        <w:t>, (детальніший аналіз наводимо нижче по тексту)</w:t>
      </w:r>
      <w:r w:rsidR="00724193" w:rsidRPr="0078696C">
        <w:rPr>
          <w:rFonts w:ascii="Times New Roman" w:eastAsia="Times New Roman" w:hAnsi="Times New Roman"/>
          <w:color w:val="000000"/>
          <w:sz w:val="28"/>
          <w:szCs w:val="28"/>
          <w:lang w:eastAsia="uk-UA"/>
        </w:rPr>
        <w:t>.</w:t>
      </w:r>
    </w:p>
    <w:p w:rsidR="00157232" w:rsidRPr="0078696C" w:rsidRDefault="008F16D7" w:rsidP="008F16D7">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Наявність багаточисленної кількості нормативних актів, які регулюють пенсійне забезпечення окремих категорій громадян України, передбачають різні підходи до визначення розмірів пенсій та призводить до виникнення необґрунтованої диспропорції між ними. В свою чергу, це створює соціальну напругу в суспільстві, ускладнює практичне застосування пенсійного законодавства.</w:t>
      </w:r>
    </w:p>
    <w:p w:rsidR="00AF78D1" w:rsidRPr="0078696C" w:rsidRDefault="00AF78D1" w:rsidP="00AF78D1">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Нормативно-правові акти Президента України</w:t>
      </w:r>
      <w:r w:rsidRPr="0078696C">
        <w:rPr>
          <w:rFonts w:ascii="Times New Roman" w:eastAsia="Times New Roman" w:hAnsi="Times New Roman"/>
          <w:color w:val="000000"/>
          <w:sz w:val="28"/>
          <w:szCs w:val="28"/>
          <w:lang w:eastAsia="uk-UA"/>
        </w:rPr>
        <w:t>. Укази становлять другий за важливістю вид нормативних актів. Вони приймаються з питань, вирішення яких віднесено до компетенції Президента.</w:t>
      </w:r>
    </w:p>
    <w:p w:rsidR="007371B5"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eastAsia="Times New Roman" w:hAnsi="Times New Roman"/>
          <w:color w:val="000000"/>
          <w:sz w:val="28"/>
          <w:szCs w:val="28"/>
          <w:lang w:eastAsia="uk-UA"/>
        </w:rPr>
        <w:t>Серед важливих указів Президента України у сфері пенсійного забезпечення варто виділити</w:t>
      </w:r>
      <w:r w:rsidR="00BA1CDE">
        <w:rPr>
          <w:rFonts w:ascii="Times New Roman" w:eastAsia="Times New Roman" w:hAnsi="Times New Roman"/>
          <w:color w:val="000000"/>
          <w:sz w:val="28"/>
          <w:szCs w:val="28"/>
          <w:lang w:eastAsia="uk-UA"/>
        </w:rPr>
        <w:t xml:space="preserve"> </w:t>
      </w:r>
      <w:r w:rsidRPr="0078696C">
        <w:rPr>
          <w:rFonts w:ascii="Times New Roman" w:hAnsi="Times New Roman"/>
          <w:color w:val="000000"/>
          <w:sz w:val="28"/>
          <w:szCs w:val="28"/>
        </w:rPr>
        <w:t>Указ від 13 квітня 1998 р. «Про Основні напрями реформування пенсійного забезпечення в Україні»</w:t>
      </w:r>
      <w:r w:rsidR="00F952AF" w:rsidRPr="0078696C">
        <w:rPr>
          <w:rStyle w:val="a8"/>
          <w:rFonts w:ascii="Times New Roman" w:hAnsi="Times New Roman"/>
          <w:color w:val="000000"/>
          <w:sz w:val="28"/>
          <w:szCs w:val="28"/>
        </w:rPr>
        <w:footnoteReference w:id="64"/>
      </w:r>
      <w:r w:rsidR="00F952AF" w:rsidRPr="0078696C">
        <w:rPr>
          <w:rFonts w:ascii="Times New Roman" w:hAnsi="Times New Roman"/>
          <w:color w:val="000000"/>
          <w:sz w:val="28"/>
          <w:szCs w:val="28"/>
        </w:rPr>
        <w:t>.</w:t>
      </w:r>
      <w:r w:rsidRPr="0078696C">
        <w:rPr>
          <w:rFonts w:ascii="Times New Roman" w:hAnsi="Times New Roman"/>
          <w:color w:val="000000"/>
          <w:sz w:val="28"/>
          <w:szCs w:val="28"/>
        </w:rPr>
        <w:t xml:space="preserve"> Цим актом були визначені етапи здійснення важливої для суспільства реформи та основні її завдання: 1) забезпечення своєчасності виплати пенсій; 2) введення персоніфікованого обліку зборів (внесків) на загальнообов'язкове державне пенсійне страхування; 3) законодавче встановлення розмірів пенсій залежно від тривалості трудового (страхового) стажу та розміру заробітної плати (доходу), з якого сплачувалися страхові внески; 4) підготовка законопроекту про диференціацію розміру пенсії, у разі продовження роботи після виходу на пенсію; 5) створення стимулів для продовження працездатного віку з метою зменшення демографічного навантаження на фінансову основу пенсійного забезпечення; 6) </w:t>
      </w:r>
      <w:r w:rsidRPr="0078696C">
        <w:rPr>
          <w:rFonts w:ascii="Times New Roman" w:hAnsi="Times New Roman"/>
          <w:color w:val="000000"/>
          <w:sz w:val="28"/>
          <w:szCs w:val="28"/>
        </w:rPr>
        <w:lastRenderedPageBreak/>
        <w:t>сприяння легалізації доходів і скороченню неформальної зайнятості населення; 7) розподіл соціального захисту малозабезпечених верств населення; 8) перегляд законодавства в частині впорядкування надання пільг окремим категоріям громадян щодо пенсійного забезпечення; 9) запровадження добровільного недержавного пенсійного страхування; 10) вдосконалення організаційної структури Пенсійного фонду України і зменшення адміністративних витрат, пов'язаних з виплатою та доставкою пенсій.</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Нормативно-правові акти Кабінету Міністрів України</w:t>
      </w:r>
      <w:r w:rsidRPr="0078696C">
        <w:rPr>
          <w:rFonts w:ascii="Times New Roman" w:hAnsi="Times New Roman"/>
          <w:color w:val="000000"/>
          <w:sz w:val="28"/>
          <w:szCs w:val="28"/>
        </w:rPr>
        <w:t>. За дорученнями, що містяться в законах України та указах Президента України, Кабінетом Міністрів України у галузі пенсійного забезпечення було прийнято ряд постанов, серед яких: «Про затвердження Положення про медико-соціальну експертизу»</w:t>
      </w:r>
      <w:r w:rsidR="00A8619D" w:rsidRPr="0078696C">
        <w:rPr>
          <w:rStyle w:val="a8"/>
          <w:rFonts w:ascii="Times New Roman" w:hAnsi="Times New Roman"/>
          <w:color w:val="000000"/>
          <w:sz w:val="28"/>
          <w:szCs w:val="28"/>
        </w:rPr>
        <w:footnoteReference w:id="65"/>
      </w:r>
      <w:r w:rsidRPr="0078696C">
        <w:rPr>
          <w:rFonts w:ascii="Times New Roman" w:hAnsi="Times New Roman"/>
          <w:color w:val="000000"/>
          <w:sz w:val="28"/>
          <w:szCs w:val="28"/>
        </w:rPr>
        <w:t>, «</w:t>
      </w:r>
      <w:r w:rsidR="00F82CB7" w:rsidRPr="0078696C">
        <w:rPr>
          <w:rFonts w:ascii="Times New Roman" w:hAnsi="Times New Roman"/>
          <w:color w:val="000000"/>
          <w:sz w:val="28"/>
          <w:szCs w:val="28"/>
        </w:rPr>
        <w:t>Про затвердження списків виробництв, робіт, професій, посад і показників, зайнятість в яких дає право на пенсію за віком на пільгових умовах</w:t>
      </w:r>
      <w:r w:rsidRPr="0078696C">
        <w:rPr>
          <w:rFonts w:ascii="Times New Roman" w:hAnsi="Times New Roman"/>
          <w:color w:val="000000"/>
          <w:sz w:val="28"/>
          <w:szCs w:val="28"/>
        </w:rPr>
        <w:t>»</w:t>
      </w:r>
      <w:r w:rsidR="00A8619D" w:rsidRPr="0078696C">
        <w:rPr>
          <w:rStyle w:val="a8"/>
          <w:rFonts w:ascii="Times New Roman" w:hAnsi="Times New Roman"/>
          <w:color w:val="000000"/>
          <w:sz w:val="28"/>
          <w:szCs w:val="28"/>
        </w:rPr>
        <w:footnoteReference w:id="66"/>
      </w:r>
      <w:r w:rsidRPr="0078696C">
        <w:rPr>
          <w:rFonts w:ascii="Times New Roman" w:eastAsia="Times New Roman" w:hAnsi="Times New Roman"/>
          <w:color w:val="000000"/>
          <w:sz w:val="28"/>
          <w:szCs w:val="28"/>
          <w:lang w:eastAsia="ru-RU"/>
        </w:rPr>
        <w:t xml:space="preserve">, «Про затвердження </w:t>
      </w:r>
      <w:r w:rsidRPr="0078696C">
        <w:rPr>
          <w:rFonts w:ascii="Times New Roman" w:hAnsi="Times New Roman"/>
          <w:color w:val="000000"/>
          <w:sz w:val="28"/>
          <w:szCs w:val="28"/>
        </w:rPr>
        <w:t>Порядку підтвердження наявного трудового стажу для призначення пенсій за відсутності трудової книжки або відповідних записів у ній»</w:t>
      </w:r>
      <w:r w:rsidR="00A8619D" w:rsidRPr="0078696C">
        <w:rPr>
          <w:rStyle w:val="a8"/>
          <w:rFonts w:ascii="Times New Roman" w:hAnsi="Times New Roman"/>
          <w:color w:val="000000"/>
          <w:sz w:val="28"/>
          <w:szCs w:val="28"/>
        </w:rPr>
        <w:footnoteReference w:id="67"/>
      </w:r>
      <w:r w:rsidRPr="0078696C">
        <w:rPr>
          <w:rFonts w:ascii="Times New Roman" w:hAnsi="Times New Roman"/>
          <w:color w:val="000000"/>
          <w:sz w:val="28"/>
          <w:szCs w:val="28"/>
        </w:rPr>
        <w:t xml:space="preserve"> та ін. Кабінет Міністрів України приймає нормативно-правові акти з питань пенсійного забезпечення й обов’язкового особистого страхування військовослужбовців і осіб начальницького й рядового складу органів внутрішніх справ, працівників прокуратури та митних органі</w:t>
      </w:r>
      <w:r w:rsidR="0090213B" w:rsidRPr="0078696C">
        <w:rPr>
          <w:rFonts w:ascii="Times New Roman" w:hAnsi="Times New Roman"/>
          <w:color w:val="000000"/>
          <w:sz w:val="28"/>
          <w:szCs w:val="28"/>
        </w:rPr>
        <w:t>в, що мають персональні звання.</w:t>
      </w:r>
    </w:p>
    <w:p w:rsidR="00AF78D1" w:rsidRPr="0078696C" w:rsidRDefault="00AF78D1" w:rsidP="00E703F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Велику групу нормативно-правових актів становлять постанови Кабінету Міністрів України про пенсійне забезпечення за вислугу років, державну службу. За період дії Закону України «Про пенсійне забезпечення» від 05.11.1991 року</w:t>
      </w:r>
      <w:r w:rsidR="00342EE2" w:rsidRPr="0078696C">
        <w:rPr>
          <w:rStyle w:val="a8"/>
          <w:rFonts w:ascii="Times New Roman" w:hAnsi="Times New Roman"/>
          <w:color w:val="000000"/>
          <w:sz w:val="28"/>
          <w:szCs w:val="28"/>
        </w:rPr>
        <w:footnoteReference w:id="68"/>
      </w:r>
      <w:r w:rsidRPr="0078696C">
        <w:rPr>
          <w:rFonts w:ascii="Times New Roman" w:hAnsi="Times New Roman"/>
          <w:color w:val="000000"/>
          <w:sz w:val="28"/>
          <w:szCs w:val="28"/>
        </w:rPr>
        <w:t xml:space="preserve"> було прийнято </w:t>
      </w:r>
      <w:r w:rsidR="00611944" w:rsidRPr="0078696C">
        <w:rPr>
          <w:rFonts w:ascii="Times New Roman" w:hAnsi="Times New Roman"/>
          <w:color w:val="000000"/>
          <w:sz w:val="28"/>
          <w:szCs w:val="28"/>
        </w:rPr>
        <w:t>ряд</w:t>
      </w:r>
      <w:r w:rsidR="00214AF4" w:rsidRPr="0078696C">
        <w:rPr>
          <w:rFonts w:ascii="Times New Roman" w:hAnsi="Times New Roman"/>
          <w:color w:val="000000"/>
          <w:sz w:val="28"/>
          <w:szCs w:val="28"/>
        </w:rPr>
        <w:t xml:space="preserve"> р</w:t>
      </w:r>
      <w:r w:rsidRPr="0078696C">
        <w:rPr>
          <w:rFonts w:ascii="Times New Roman" w:hAnsi="Times New Roman"/>
          <w:color w:val="000000"/>
          <w:sz w:val="28"/>
          <w:szCs w:val="28"/>
        </w:rPr>
        <w:t xml:space="preserve">ізних за назвою й змістом постанов Кабінету Міністрів України про пенсійне забезпечення й соціальне </w:t>
      </w:r>
      <w:r w:rsidRPr="0078696C">
        <w:rPr>
          <w:rFonts w:ascii="Times New Roman" w:hAnsi="Times New Roman"/>
          <w:color w:val="000000"/>
          <w:sz w:val="28"/>
          <w:szCs w:val="28"/>
        </w:rPr>
        <w:lastRenderedPageBreak/>
        <w:t xml:space="preserve">обслуговування громадян України. </w:t>
      </w:r>
      <w:r w:rsidR="00342EE2" w:rsidRPr="0078696C">
        <w:rPr>
          <w:rFonts w:ascii="Times New Roman" w:hAnsi="Times New Roman"/>
          <w:color w:val="000000"/>
          <w:sz w:val="28"/>
          <w:szCs w:val="28"/>
        </w:rPr>
        <w:t>Серед важливих постанов</w:t>
      </w:r>
      <w:r w:rsidRPr="0078696C">
        <w:rPr>
          <w:rFonts w:ascii="Times New Roman" w:hAnsi="Times New Roman"/>
          <w:color w:val="000000"/>
          <w:sz w:val="28"/>
          <w:szCs w:val="28"/>
        </w:rPr>
        <w:t xml:space="preserve"> Кабінету Міністрів України</w:t>
      </w:r>
      <w:r w:rsidR="00E703F2" w:rsidRPr="0078696C">
        <w:rPr>
          <w:rFonts w:ascii="Times New Roman" w:hAnsi="Times New Roman"/>
          <w:color w:val="000000"/>
          <w:sz w:val="28"/>
          <w:szCs w:val="28"/>
        </w:rPr>
        <w:t xml:space="preserve"> у даній сфері</w:t>
      </w:r>
      <w:r w:rsidR="00342EE2" w:rsidRPr="0078696C">
        <w:rPr>
          <w:rFonts w:ascii="Times New Roman" w:hAnsi="Times New Roman"/>
          <w:color w:val="000000"/>
          <w:sz w:val="28"/>
          <w:szCs w:val="28"/>
        </w:rPr>
        <w:t xml:space="preserve">, варто </w:t>
      </w:r>
      <w:r w:rsidR="00E703F2" w:rsidRPr="0078696C">
        <w:rPr>
          <w:rFonts w:ascii="Times New Roman" w:hAnsi="Times New Roman"/>
          <w:color w:val="000000"/>
          <w:sz w:val="28"/>
          <w:szCs w:val="28"/>
        </w:rPr>
        <w:t xml:space="preserve">виділити постанову від 11 жовтня </w:t>
      </w:r>
      <w:r w:rsidR="00E8624D">
        <w:rPr>
          <w:rFonts w:ascii="Times New Roman" w:hAnsi="Times New Roman"/>
          <w:color w:val="000000"/>
          <w:sz w:val="28"/>
          <w:szCs w:val="28"/>
        </w:rPr>
        <w:br/>
      </w:r>
      <w:r w:rsidR="00E703F2" w:rsidRPr="0078696C">
        <w:rPr>
          <w:rFonts w:ascii="Times New Roman" w:hAnsi="Times New Roman"/>
          <w:color w:val="000000"/>
          <w:sz w:val="28"/>
          <w:szCs w:val="28"/>
        </w:rPr>
        <w:t xml:space="preserve">2016 р. № 780 </w:t>
      </w:r>
      <w:r w:rsidR="00342EE2" w:rsidRPr="0078696C">
        <w:rPr>
          <w:rFonts w:ascii="Times New Roman" w:hAnsi="Times New Roman"/>
          <w:color w:val="000000"/>
          <w:sz w:val="28"/>
          <w:szCs w:val="28"/>
        </w:rPr>
        <w:t>«Про затвердження наборів продуктів харчування, наборів непродовольчих товарів та наборів послуг для основних соціальних і демографічних груп населення»</w:t>
      </w:r>
      <w:r w:rsidR="00E703F2" w:rsidRPr="0078696C">
        <w:rPr>
          <w:rStyle w:val="a8"/>
          <w:rFonts w:ascii="Times New Roman" w:hAnsi="Times New Roman"/>
          <w:color w:val="000000"/>
          <w:sz w:val="28"/>
          <w:szCs w:val="28"/>
        </w:rPr>
        <w:footnoteReference w:id="69"/>
      </w:r>
      <w:r w:rsidR="00E703F2" w:rsidRPr="0078696C">
        <w:rPr>
          <w:rFonts w:ascii="Times New Roman" w:hAnsi="Times New Roman"/>
          <w:color w:val="000000"/>
          <w:sz w:val="28"/>
          <w:szCs w:val="28"/>
        </w:rPr>
        <w:t xml:space="preserve">, згідно </w:t>
      </w:r>
      <w:r w:rsidR="00611944" w:rsidRPr="0078696C">
        <w:rPr>
          <w:rFonts w:ascii="Times New Roman" w:hAnsi="Times New Roman"/>
          <w:color w:val="000000"/>
          <w:sz w:val="28"/>
          <w:szCs w:val="28"/>
        </w:rPr>
        <w:t>з якою</w:t>
      </w:r>
      <w:r w:rsidR="00E703F2" w:rsidRPr="0078696C">
        <w:rPr>
          <w:rFonts w:ascii="Times New Roman" w:hAnsi="Times New Roman"/>
          <w:color w:val="000000"/>
          <w:sz w:val="28"/>
          <w:szCs w:val="28"/>
        </w:rPr>
        <w:t xml:space="preserve"> визначається прожитковий мінімум на одну особу</w:t>
      </w:r>
      <w:r w:rsidR="007A261C" w:rsidRPr="0078696C">
        <w:rPr>
          <w:rFonts w:ascii="Times New Roman" w:hAnsi="Times New Roman"/>
          <w:color w:val="000000"/>
          <w:sz w:val="28"/>
          <w:szCs w:val="28"/>
        </w:rPr>
        <w:t xml:space="preserve"> в Україні</w:t>
      </w:r>
      <w:r w:rsidR="00E703F2" w:rsidRPr="0078696C">
        <w:rPr>
          <w:rFonts w:ascii="Times New Roman" w:hAnsi="Times New Roman"/>
          <w:color w:val="000000"/>
          <w:sz w:val="28"/>
          <w:szCs w:val="28"/>
        </w:rPr>
        <w:t>.</w:t>
      </w:r>
    </w:p>
    <w:p w:rsidR="000D525A" w:rsidRPr="0078696C" w:rsidRDefault="00B555E7" w:rsidP="00E703F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Крім цього,</w:t>
      </w:r>
      <w:r w:rsidR="000D525A" w:rsidRPr="0078696C">
        <w:rPr>
          <w:rFonts w:ascii="Times New Roman" w:hAnsi="Times New Roman"/>
          <w:color w:val="000000"/>
          <w:sz w:val="28"/>
          <w:szCs w:val="28"/>
        </w:rPr>
        <w:t xml:space="preserve"> на рівні постанови </w:t>
      </w:r>
      <w:r w:rsidRPr="0078696C">
        <w:rPr>
          <w:rFonts w:ascii="Times New Roman" w:hAnsi="Times New Roman"/>
          <w:color w:val="000000"/>
          <w:sz w:val="28"/>
          <w:szCs w:val="28"/>
        </w:rPr>
        <w:t>Кабінетом Міністрів України</w:t>
      </w:r>
      <w:r w:rsidR="000D525A" w:rsidRPr="0078696C">
        <w:rPr>
          <w:rFonts w:ascii="Times New Roman" w:hAnsi="Times New Roman"/>
          <w:color w:val="000000"/>
          <w:sz w:val="28"/>
          <w:szCs w:val="28"/>
        </w:rPr>
        <w:t xml:space="preserve"> було затверджено Положення </w:t>
      </w:r>
      <w:r w:rsidR="000010FB" w:rsidRPr="0078696C">
        <w:rPr>
          <w:rFonts w:ascii="Times New Roman" w:hAnsi="Times New Roman"/>
          <w:color w:val="000000"/>
          <w:sz w:val="28"/>
          <w:szCs w:val="28"/>
        </w:rPr>
        <w:t>про Пенсійний ф</w:t>
      </w:r>
      <w:r w:rsidR="000D525A" w:rsidRPr="0078696C">
        <w:rPr>
          <w:rFonts w:ascii="Times New Roman" w:hAnsi="Times New Roman"/>
          <w:color w:val="000000"/>
          <w:sz w:val="28"/>
          <w:szCs w:val="28"/>
        </w:rPr>
        <w:t>онд України</w:t>
      </w:r>
      <w:r w:rsidRPr="0078696C">
        <w:rPr>
          <w:rFonts w:ascii="Times New Roman" w:hAnsi="Times New Roman"/>
          <w:color w:val="000000"/>
          <w:sz w:val="28"/>
          <w:szCs w:val="28"/>
        </w:rPr>
        <w:t xml:space="preserve"> від 23 липня 2014 р. </w:t>
      </w:r>
      <w:r w:rsidR="00FC1256" w:rsidRPr="0078696C">
        <w:rPr>
          <w:rFonts w:ascii="Times New Roman" w:hAnsi="Times New Roman"/>
          <w:color w:val="000000"/>
          <w:sz w:val="28"/>
          <w:szCs w:val="28"/>
        </w:rPr>
        <w:br/>
      </w:r>
      <w:r w:rsidRPr="0078696C">
        <w:rPr>
          <w:rFonts w:ascii="Times New Roman" w:hAnsi="Times New Roman"/>
          <w:color w:val="000000"/>
          <w:sz w:val="28"/>
          <w:szCs w:val="28"/>
        </w:rPr>
        <w:t xml:space="preserve">№280, згідно якого Пенсійний фонд України визначався як центральний орган виконавчої влади, діяльність якого спрямовується і координується Кабінетом Міністрів України через Міністра соціальної політики, що реалізує державну політику з питань пенсійного забезпечення та ведення обліку осіб, які підлягають загальнообов’язковому державному соціальному страхуванню </w:t>
      </w:r>
      <w:r w:rsidRPr="0078696C">
        <w:rPr>
          <w:rFonts w:ascii="Times New Roman" w:hAnsi="Times New Roman"/>
          <w:color w:val="000000"/>
          <w:sz w:val="28"/>
          <w:szCs w:val="28"/>
          <w:vertAlign w:val="superscript"/>
        </w:rPr>
        <w:footnoteReference w:id="70"/>
      </w:r>
      <w:r w:rsidRPr="0078696C">
        <w:rPr>
          <w:rFonts w:ascii="Times New Roman" w:hAnsi="Times New Roman"/>
          <w:color w:val="000000"/>
          <w:sz w:val="28"/>
          <w:szCs w:val="28"/>
        </w:rPr>
        <w:t>.</w:t>
      </w:r>
    </w:p>
    <w:p w:rsidR="00B555E7"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Таким чином, прийняті Кабінетом Міністрів України нормативні акти з питань пенсійного забезпечення мають різні напрямки. Ці нормативно-правові акти можуть конкретизувати норми законів, регламентувати порядок призначення окремих видів пенсій, встановлювати коло осіб, що мають право на пенсію, визначати умови призначення пенсій та інші питання </w:t>
      </w:r>
      <w:r w:rsidRPr="0078696C">
        <w:rPr>
          <w:rFonts w:ascii="Times New Roman" w:hAnsi="Times New Roman"/>
          <w:color w:val="000000"/>
          <w:sz w:val="28"/>
          <w:szCs w:val="28"/>
          <w:vertAlign w:val="superscript"/>
        </w:rPr>
        <w:footnoteReference w:id="71"/>
      </w:r>
      <w:r w:rsidRPr="0078696C">
        <w:rPr>
          <w:rFonts w:ascii="Times New Roman" w:hAnsi="Times New Roman"/>
          <w:color w:val="000000"/>
          <w:sz w:val="28"/>
          <w:szCs w:val="28"/>
        </w:rPr>
        <w:t>.</w:t>
      </w:r>
    </w:p>
    <w:p w:rsidR="000010FB"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Відомчі</w:t>
      </w:r>
      <w:r w:rsidR="00777771">
        <w:rPr>
          <w:rFonts w:ascii="Times New Roman" w:hAnsi="Times New Roman"/>
          <w:i/>
          <w:color w:val="000000"/>
          <w:sz w:val="28"/>
          <w:szCs w:val="28"/>
        </w:rPr>
        <w:t xml:space="preserve"> </w:t>
      </w:r>
      <w:r w:rsidRPr="0078696C">
        <w:rPr>
          <w:rFonts w:ascii="Times New Roman" w:hAnsi="Times New Roman"/>
          <w:i/>
          <w:color w:val="000000"/>
          <w:sz w:val="28"/>
          <w:szCs w:val="28"/>
        </w:rPr>
        <w:t>нормативно-правові акти</w:t>
      </w:r>
      <w:r w:rsidRPr="0078696C">
        <w:rPr>
          <w:rFonts w:ascii="Times New Roman" w:hAnsi="Times New Roman"/>
          <w:color w:val="000000"/>
          <w:sz w:val="28"/>
          <w:szCs w:val="28"/>
        </w:rPr>
        <w:t>: накази та роз’яснення Міністерства соціальної політики</w:t>
      </w:r>
      <w:r w:rsidR="00B555E7" w:rsidRPr="0078696C">
        <w:rPr>
          <w:rFonts w:ascii="Times New Roman" w:hAnsi="Times New Roman"/>
          <w:color w:val="000000"/>
          <w:sz w:val="28"/>
          <w:szCs w:val="28"/>
        </w:rPr>
        <w:t xml:space="preserve"> України</w:t>
      </w:r>
      <w:r w:rsidRPr="0078696C">
        <w:rPr>
          <w:rFonts w:ascii="Times New Roman" w:hAnsi="Times New Roman"/>
          <w:color w:val="000000"/>
          <w:sz w:val="28"/>
          <w:szCs w:val="28"/>
        </w:rPr>
        <w:t>, Пенсійного фонду</w:t>
      </w:r>
      <w:r w:rsidR="000010FB" w:rsidRPr="0078696C">
        <w:rPr>
          <w:rFonts w:ascii="Times New Roman" w:hAnsi="Times New Roman"/>
          <w:color w:val="000000"/>
          <w:sz w:val="28"/>
          <w:szCs w:val="28"/>
        </w:rPr>
        <w:t xml:space="preserve"> України, Фонду</w:t>
      </w:r>
      <w:r w:rsidRPr="0078696C">
        <w:rPr>
          <w:rFonts w:ascii="Times New Roman" w:hAnsi="Times New Roman"/>
          <w:color w:val="000000"/>
          <w:sz w:val="28"/>
          <w:szCs w:val="28"/>
        </w:rPr>
        <w:t xml:space="preserve"> соціального страхування України</w:t>
      </w:r>
      <w:r w:rsidR="000010FB" w:rsidRPr="0078696C">
        <w:rPr>
          <w:rFonts w:ascii="Times New Roman" w:hAnsi="Times New Roman"/>
          <w:color w:val="000000"/>
          <w:sz w:val="28"/>
          <w:szCs w:val="28"/>
        </w:rPr>
        <w:t>.</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Підзаконні нормативні акти </w:t>
      </w:r>
      <w:r w:rsidR="000010FB" w:rsidRPr="0078696C">
        <w:rPr>
          <w:rFonts w:ascii="Times New Roman" w:hAnsi="Times New Roman"/>
          <w:color w:val="000000"/>
          <w:sz w:val="28"/>
          <w:szCs w:val="28"/>
        </w:rPr>
        <w:t>зазначених органів</w:t>
      </w:r>
      <w:r w:rsidRPr="0078696C">
        <w:rPr>
          <w:rFonts w:ascii="Times New Roman" w:hAnsi="Times New Roman"/>
          <w:color w:val="000000"/>
          <w:sz w:val="28"/>
          <w:szCs w:val="28"/>
        </w:rPr>
        <w:t xml:space="preserve"> мають важливе значення для правильного розуміння й однакового застосування законодавства щодо пенсійного забезпечення. Їх можна поділити на дві групи. До першої групи належать накази, постанови, роз’яснення й інструкції, які видані Міністерством соціальної політики та правлінням ПФУ з метою офіційного тлумачення норм </w:t>
      </w:r>
      <w:r w:rsidRPr="0078696C">
        <w:rPr>
          <w:rFonts w:ascii="Times New Roman" w:hAnsi="Times New Roman"/>
          <w:color w:val="000000"/>
          <w:sz w:val="28"/>
          <w:szCs w:val="28"/>
        </w:rPr>
        <w:lastRenderedPageBreak/>
        <w:t>пенсійного забезпечення. Вони є обов’язковими для всіх установ і організацій, що застосовують</w:t>
      </w:r>
      <w:r w:rsidR="0090213B" w:rsidRPr="0078696C">
        <w:rPr>
          <w:rFonts w:ascii="Times New Roman" w:hAnsi="Times New Roman"/>
          <w:color w:val="000000"/>
          <w:sz w:val="28"/>
          <w:szCs w:val="28"/>
        </w:rPr>
        <w:t xml:space="preserve"> норми пенсійного забезпечення.</w:t>
      </w:r>
    </w:p>
    <w:p w:rsidR="00AF78D1" w:rsidRPr="0078696C" w:rsidRDefault="00AF78D1" w:rsidP="00AF78D1">
      <w:pPr>
        <w:spacing w:line="360" w:lineRule="auto"/>
        <w:ind w:firstLine="709"/>
        <w:contextualSpacing/>
        <w:jc w:val="both"/>
        <w:rPr>
          <w:rFonts w:ascii="Times New Roman" w:hAnsi="Times New Roman"/>
          <w:bCs/>
          <w:color w:val="000000"/>
          <w:sz w:val="28"/>
          <w:szCs w:val="28"/>
        </w:rPr>
      </w:pPr>
      <w:r w:rsidRPr="0078696C">
        <w:rPr>
          <w:rFonts w:ascii="Times New Roman" w:hAnsi="Times New Roman"/>
          <w:color w:val="000000"/>
          <w:sz w:val="28"/>
          <w:szCs w:val="28"/>
        </w:rPr>
        <w:t xml:space="preserve">Серед цієї групи НПА варто виділити: Порядок подання та оформлення документів для призначення (перерахунку) пенсій відповідно до Закону України «Про загальнообов'язкове державне пенсійне страхування» затверджений постановою Правління Пенсійного фонду України від </w:t>
      </w:r>
      <w:r w:rsidR="006F1EFB" w:rsidRPr="0078696C">
        <w:rPr>
          <w:rFonts w:ascii="Times New Roman" w:hAnsi="Times New Roman"/>
          <w:color w:val="000000"/>
          <w:sz w:val="28"/>
          <w:szCs w:val="28"/>
        </w:rPr>
        <w:br/>
      </w:r>
      <w:r w:rsidRPr="0078696C">
        <w:rPr>
          <w:rFonts w:ascii="Times New Roman" w:hAnsi="Times New Roman"/>
          <w:color w:val="000000"/>
          <w:sz w:val="28"/>
          <w:szCs w:val="28"/>
        </w:rPr>
        <w:t>25 листопада 2005 року № 22-1</w:t>
      </w:r>
      <w:r w:rsidR="00D672D0" w:rsidRPr="0078696C">
        <w:rPr>
          <w:rStyle w:val="a8"/>
          <w:rFonts w:ascii="Times New Roman" w:hAnsi="Times New Roman"/>
          <w:color w:val="000000"/>
          <w:sz w:val="28"/>
          <w:szCs w:val="28"/>
        </w:rPr>
        <w:footnoteReference w:id="72"/>
      </w:r>
      <w:r w:rsidRPr="0078696C">
        <w:rPr>
          <w:rFonts w:ascii="Times New Roman" w:hAnsi="Times New Roman"/>
          <w:color w:val="000000"/>
          <w:sz w:val="28"/>
          <w:szCs w:val="28"/>
        </w:rPr>
        <w:t>,</w:t>
      </w:r>
      <w:r w:rsidR="00D672D0" w:rsidRPr="0078696C">
        <w:rPr>
          <w:rFonts w:ascii="Times New Roman" w:hAnsi="Times New Roman"/>
          <w:color w:val="000000"/>
          <w:sz w:val="28"/>
          <w:szCs w:val="28"/>
        </w:rPr>
        <w:t xml:space="preserve">Порядок підтвердження періодів роботи, що зараховується до трудового стажу при призначенні пенсії на пільгових умовах або вислугу років, </w:t>
      </w:r>
      <w:r w:rsidR="00611944" w:rsidRPr="0078696C">
        <w:rPr>
          <w:rFonts w:ascii="Times New Roman" w:hAnsi="Times New Roman"/>
          <w:color w:val="000000"/>
          <w:sz w:val="28"/>
          <w:szCs w:val="28"/>
        </w:rPr>
        <w:t>затверджений п</w:t>
      </w:r>
      <w:r w:rsidR="00D672D0" w:rsidRPr="0078696C">
        <w:rPr>
          <w:rFonts w:ascii="Times New Roman" w:hAnsi="Times New Roman"/>
          <w:color w:val="000000"/>
          <w:sz w:val="28"/>
          <w:szCs w:val="28"/>
        </w:rPr>
        <w:t xml:space="preserve">остановою Пенсійного фонду України </w:t>
      </w:r>
      <w:r w:rsidR="006F1EFB" w:rsidRPr="0078696C">
        <w:rPr>
          <w:rFonts w:ascii="Times New Roman" w:hAnsi="Times New Roman"/>
          <w:color w:val="000000"/>
          <w:sz w:val="28"/>
          <w:szCs w:val="28"/>
        </w:rPr>
        <w:br/>
        <w:t>№ 18-1 від 10.11.</w:t>
      </w:r>
      <w:r w:rsidR="00D672D0" w:rsidRPr="0078696C">
        <w:rPr>
          <w:rFonts w:ascii="Times New Roman" w:hAnsi="Times New Roman"/>
          <w:color w:val="000000"/>
          <w:sz w:val="28"/>
          <w:szCs w:val="28"/>
        </w:rPr>
        <w:t xml:space="preserve">2006 року </w:t>
      </w:r>
      <w:r w:rsidR="00D672D0" w:rsidRPr="0078696C">
        <w:rPr>
          <w:rStyle w:val="a8"/>
          <w:rFonts w:ascii="Times New Roman" w:hAnsi="Times New Roman"/>
          <w:color w:val="000000"/>
          <w:sz w:val="28"/>
          <w:szCs w:val="28"/>
        </w:rPr>
        <w:footnoteReference w:id="73"/>
      </w:r>
      <w:r w:rsidR="00D672D0" w:rsidRPr="0078696C">
        <w:rPr>
          <w:rFonts w:ascii="Times New Roman" w:hAnsi="Times New Roman"/>
          <w:color w:val="000000"/>
          <w:sz w:val="28"/>
          <w:szCs w:val="28"/>
        </w:rPr>
        <w:t xml:space="preserve">, </w:t>
      </w:r>
      <w:r w:rsidRPr="0078696C">
        <w:rPr>
          <w:rFonts w:ascii="Times New Roman" w:hAnsi="Times New Roman"/>
          <w:color w:val="000000"/>
          <w:sz w:val="28"/>
          <w:szCs w:val="28"/>
        </w:rPr>
        <w:t>Порядок застосування Списків № 1 і № 2 виробництв, робіт, професій, посад і показників при обчисленні стажу роботи, що дає право на пенсію за віком на пільгових умовах, затвердженого наказом Мінпраці від 18 листопада 2005 року № 383</w:t>
      </w:r>
      <w:r w:rsidR="00D672D0" w:rsidRPr="0078696C">
        <w:rPr>
          <w:rStyle w:val="a8"/>
          <w:rFonts w:ascii="Times New Roman" w:hAnsi="Times New Roman"/>
          <w:color w:val="000000"/>
          <w:sz w:val="28"/>
          <w:szCs w:val="28"/>
        </w:rPr>
        <w:footnoteReference w:id="74"/>
      </w:r>
      <w:r w:rsidRPr="0078696C">
        <w:rPr>
          <w:rFonts w:ascii="Times New Roman" w:hAnsi="Times New Roman"/>
          <w:color w:val="000000"/>
          <w:sz w:val="28"/>
          <w:szCs w:val="28"/>
        </w:rPr>
        <w:t xml:space="preserve">, </w:t>
      </w:r>
      <w:r w:rsidRPr="0078696C">
        <w:rPr>
          <w:rFonts w:ascii="Times New Roman" w:hAnsi="Times New Roman"/>
          <w:bCs/>
          <w:color w:val="000000"/>
          <w:sz w:val="28"/>
          <w:szCs w:val="28"/>
        </w:rPr>
        <w:t>Методичні рекомендації для проведення атестації робочих місць за умовами праці, затверджені</w:t>
      </w:r>
      <w:r w:rsidR="00777771">
        <w:rPr>
          <w:rFonts w:ascii="Times New Roman" w:hAnsi="Times New Roman"/>
          <w:bCs/>
          <w:color w:val="000000"/>
          <w:sz w:val="28"/>
          <w:szCs w:val="28"/>
        </w:rPr>
        <w:t xml:space="preserve"> </w:t>
      </w:r>
      <w:r w:rsidR="00611944" w:rsidRPr="0078696C">
        <w:rPr>
          <w:rFonts w:ascii="Times New Roman" w:hAnsi="Times New Roman"/>
          <w:bCs/>
          <w:color w:val="000000"/>
          <w:sz w:val="28"/>
          <w:szCs w:val="28"/>
        </w:rPr>
        <w:t>п</w:t>
      </w:r>
      <w:r w:rsidRPr="0078696C">
        <w:rPr>
          <w:rFonts w:ascii="Times New Roman" w:hAnsi="Times New Roman"/>
          <w:bCs/>
          <w:color w:val="000000"/>
          <w:sz w:val="28"/>
          <w:szCs w:val="28"/>
        </w:rPr>
        <w:t xml:space="preserve">остановою Мінпраці №41 від 1 вересня 1992 р. </w:t>
      </w:r>
      <w:r w:rsidR="00D672D0" w:rsidRPr="0078696C">
        <w:rPr>
          <w:rStyle w:val="a8"/>
          <w:rFonts w:ascii="Times New Roman" w:hAnsi="Times New Roman"/>
          <w:bCs/>
          <w:color w:val="000000"/>
          <w:sz w:val="28"/>
          <w:szCs w:val="28"/>
        </w:rPr>
        <w:footnoteReference w:id="75"/>
      </w:r>
      <w:r w:rsidRPr="0078696C">
        <w:rPr>
          <w:rFonts w:ascii="Times New Roman" w:hAnsi="Times New Roman"/>
          <w:bCs/>
          <w:color w:val="000000"/>
          <w:sz w:val="28"/>
          <w:szCs w:val="28"/>
        </w:rPr>
        <w:t>та ін.</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До другої групи належать роз’яснення керівного методичного характеру, які приймаються Міністерством со</w:t>
      </w:r>
      <w:r w:rsidR="00CE78A5" w:rsidRPr="0078696C">
        <w:rPr>
          <w:rFonts w:ascii="Times New Roman" w:hAnsi="Times New Roman"/>
          <w:color w:val="000000"/>
          <w:sz w:val="28"/>
          <w:szCs w:val="28"/>
        </w:rPr>
        <w:t>ціальної політики та Пенсійним ф</w:t>
      </w:r>
      <w:r w:rsidRPr="0078696C">
        <w:rPr>
          <w:rFonts w:ascii="Times New Roman" w:hAnsi="Times New Roman"/>
          <w:color w:val="000000"/>
          <w:sz w:val="28"/>
          <w:szCs w:val="28"/>
        </w:rPr>
        <w:t>ондом України у межах своєї компетенції у формі методичних листів і інструкцій з питань діяльності під</w:t>
      </w:r>
      <w:r w:rsidR="0090213B" w:rsidRPr="0078696C">
        <w:rPr>
          <w:rFonts w:ascii="Times New Roman" w:hAnsi="Times New Roman"/>
          <w:color w:val="000000"/>
          <w:sz w:val="28"/>
          <w:szCs w:val="28"/>
        </w:rPr>
        <w:t>леглих йому органів управління.</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 системі норм права пенсійного забезпечення функціонує незначна кількість різних видів </w:t>
      </w:r>
      <w:r w:rsidRPr="0078696C">
        <w:rPr>
          <w:rFonts w:ascii="Times New Roman" w:hAnsi="Times New Roman"/>
          <w:i/>
          <w:color w:val="000000"/>
          <w:sz w:val="28"/>
          <w:szCs w:val="28"/>
        </w:rPr>
        <w:t>локальних актів</w:t>
      </w:r>
      <w:r w:rsidRPr="0078696C">
        <w:rPr>
          <w:rFonts w:ascii="Times New Roman" w:hAnsi="Times New Roman"/>
          <w:color w:val="000000"/>
          <w:sz w:val="28"/>
          <w:szCs w:val="28"/>
        </w:rPr>
        <w:t>, прийнятих підприємствами і організаціями в порядку стимулювання трудової діяльності працівників. Такі акти передбачені ст. 9-1 К</w:t>
      </w:r>
      <w:r w:rsidR="005E1670" w:rsidRPr="0078696C">
        <w:rPr>
          <w:rFonts w:ascii="Times New Roman" w:hAnsi="Times New Roman"/>
          <w:color w:val="000000"/>
          <w:sz w:val="28"/>
          <w:szCs w:val="28"/>
        </w:rPr>
        <w:t>одексу законів про працю</w:t>
      </w:r>
      <w:r w:rsidRPr="0078696C">
        <w:rPr>
          <w:rFonts w:ascii="Times New Roman" w:hAnsi="Times New Roman"/>
          <w:color w:val="000000"/>
          <w:sz w:val="28"/>
          <w:szCs w:val="28"/>
        </w:rPr>
        <w:t xml:space="preserve"> України, в якій зазначено, </w:t>
      </w:r>
      <w:r w:rsidRPr="0078696C">
        <w:rPr>
          <w:rFonts w:ascii="Times New Roman" w:hAnsi="Times New Roman"/>
          <w:color w:val="000000"/>
          <w:sz w:val="28"/>
          <w:szCs w:val="28"/>
        </w:rPr>
        <w:lastRenderedPageBreak/>
        <w:t xml:space="preserve">що підприємства, установи і організації в межах своїх повноважень і за рахунок власних коштів можуть встановлювати додаткові, порівняно із законодавством, трудові і соціально-побутові пільги для своїх працівників </w:t>
      </w:r>
      <w:r w:rsidRPr="0078696C">
        <w:rPr>
          <w:rFonts w:ascii="Times New Roman" w:hAnsi="Times New Roman"/>
          <w:color w:val="000000"/>
          <w:sz w:val="28"/>
          <w:szCs w:val="28"/>
          <w:vertAlign w:val="superscript"/>
        </w:rPr>
        <w:footnoteReference w:id="76"/>
      </w:r>
      <w:r w:rsidRPr="0078696C">
        <w:rPr>
          <w:rFonts w:ascii="Times New Roman" w:hAnsi="Times New Roman"/>
          <w:color w:val="000000"/>
          <w:sz w:val="28"/>
          <w:szCs w:val="28"/>
        </w:rPr>
        <w:t>.</w:t>
      </w:r>
    </w:p>
    <w:p w:rsidR="00AF78D1" w:rsidRPr="0078696C" w:rsidRDefault="00AF78D1" w:rsidP="000E323C">
      <w:pPr>
        <w:numPr>
          <w:ilvl w:val="0"/>
          <w:numId w:val="5"/>
        </w:numPr>
        <w:tabs>
          <w:tab w:val="left" w:pos="0"/>
        </w:tabs>
        <w:spacing w:after="0" w:line="360" w:lineRule="auto"/>
        <w:ind w:left="142"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Законодавство України у сфері пенсійного забезпечення </w:t>
      </w:r>
      <w:r w:rsidRPr="0078696C">
        <w:rPr>
          <w:rFonts w:ascii="Times New Roman" w:eastAsia="Times New Roman" w:hAnsi="Times New Roman"/>
          <w:i/>
          <w:color w:val="000000"/>
          <w:sz w:val="28"/>
          <w:szCs w:val="28"/>
          <w:lang w:eastAsia="uk-UA"/>
        </w:rPr>
        <w:t>за колом осіб</w:t>
      </w:r>
      <w:r w:rsidRPr="0078696C">
        <w:rPr>
          <w:rFonts w:ascii="Times New Roman" w:eastAsia="Times New Roman" w:hAnsi="Times New Roman"/>
          <w:color w:val="000000"/>
          <w:sz w:val="28"/>
          <w:szCs w:val="28"/>
          <w:lang w:eastAsia="uk-UA"/>
        </w:rPr>
        <w:t xml:space="preserve"> поділяється на універсальне та спеціальне.</w:t>
      </w:r>
    </w:p>
    <w:p w:rsidR="00AF6FF6"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eastAsia="Times New Roman" w:hAnsi="Times New Roman"/>
          <w:color w:val="000000"/>
          <w:sz w:val="28"/>
          <w:szCs w:val="28"/>
          <w:lang w:eastAsia="uk-UA"/>
        </w:rPr>
        <w:t xml:space="preserve">Найбільш яскравими прикладами </w:t>
      </w:r>
      <w:r w:rsidRPr="0078696C">
        <w:rPr>
          <w:rFonts w:ascii="Times New Roman" w:eastAsia="Times New Roman" w:hAnsi="Times New Roman"/>
          <w:i/>
          <w:color w:val="000000"/>
          <w:sz w:val="28"/>
          <w:szCs w:val="28"/>
          <w:lang w:eastAsia="uk-UA"/>
        </w:rPr>
        <w:t>універсального законодавства</w:t>
      </w:r>
      <w:r w:rsidRPr="0078696C">
        <w:rPr>
          <w:rFonts w:ascii="Times New Roman" w:eastAsia="Times New Roman" w:hAnsi="Times New Roman"/>
          <w:color w:val="000000"/>
          <w:sz w:val="28"/>
          <w:szCs w:val="28"/>
          <w:lang w:eastAsia="uk-UA"/>
        </w:rPr>
        <w:t xml:space="preserve"> є Закони України «Про загальнообов’язкове державне пенсійне страхування»</w:t>
      </w:r>
      <w:r w:rsidR="00AF6FF6" w:rsidRPr="0078696C">
        <w:rPr>
          <w:rStyle w:val="a8"/>
          <w:rFonts w:ascii="Times New Roman" w:eastAsia="Times New Roman" w:hAnsi="Times New Roman"/>
          <w:color w:val="000000"/>
          <w:sz w:val="28"/>
          <w:szCs w:val="28"/>
          <w:lang w:eastAsia="uk-UA"/>
        </w:rPr>
        <w:footnoteReference w:id="77"/>
      </w:r>
      <w:r w:rsidRPr="0078696C">
        <w:rPr>
          <w:rFonts w:ascii="Times New Roman" w:eastAsia="Times New Roman" w:hAnsi="Times New Roman"/>
          <w:color w:val="000000"/>
          <w:sz w:val="28"/>
          <w:szCs w:val="28"/>
          <w:lang w:eastAsia="uk-UA"/>
        </w:rPr>
        <w:t>, «Про пенсійне забезпечення»</w:t>
      </w:r>
      <w:r w:rsidR="00AF6FF6" w:rsidRPr="0078696C">
        <w:rPr>
          <w:rStyle w:val="a8"/>
          <w:rFonts w:ascii="Times New Roman" w:eastAsia="Times New Roman" w:hAnsi="Times New Roman"/>
          <w:color w:val="000000"/>
          <w:sz w:val="28"/>
          <w:szCs w:val="28"/>
          <w:lang w:eastAsia="uk-UA"/>
        </w:rPr>
        <w:footnoteReference w:id="78"/>
      </w:r>
      <w:r w:rsidRPr="0078696C">
        <w:rPr>
          <w:rFonts w:ascii="Times New Roman" w:eastAsia="Times New Roman" w:hAnsi="Times New Roman"/>
          <w:color w:val="000000"/>
          <w:sz w:val="28"/>
          <w:szCs w:val="28"/>
          <w:lang w:eastAsia="uk-UA"/>
        </w:rPr>
        <w:t>, «Про недержавне пенсійне забезпечення»</w:t>
      </w:r>
      <w:r w:rsidR="00AF6FF6" w:rsidRPr="0078696C">
        <w:rPr>
          <w:rStyle w:val="a8"/>
          <w:rFonts w:ascii="Times New Roman" w:eastAsia="Times New Roman" w:hAnsi="Times New Roman"/>
          <w:color w:val="000000"/>
          <w:sz w:val="28"/>
          <w:szCs w:val="28"/>
          <w:lang w:eastAsia="uk-UA"/>
        </w:rPr>
        <w:footnoteReference w:id="79"/>
      </w:r>
      <w:r w:rsidRPr="0078696C">
        <w:rPr>
          <w:rFonts w:ascii="Times New Roman" w:eastAsia="Times New Roman" w:hAnsi="Times New Roman"/>
          <w:color w:val="000000"/>
          <w:sz w:val="28"/>
          <w:szCs w:val="28"/>
          <w:lang w:eastAsia="uk-UA"/>
        </w:rPr>
        <w:t>.</w:t>
      </w:r>
    </w:p>
    <w:p w:rsidR="007A261C" w:rsidRPr="0078696C" w:rsidRDefault="00AF78D1" w:rsidP="00AF78D1">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Перелік спеціальних законів, які тим чи іншим чином регулюють пенсійне забезпечення, є значно шир</w:t>
      </w:r>
      <w:r w:rsidR="00611944" w:rsidRPr="0078696C">
        <w:rPr>
          <w:rFonts w:ascii="Times New Roman" w:eastAsia="Times New Roman" w:hAnsi="Times New Roman"/>
          <w:color w:val="000000"/>
          <w:sz w:val="28"/>
          <w:szCs w:val="28"/>
          <w:lang w:eastAsia="uk-UA"/>
        </w:rPr>
        <w:t>шим, зокрема це Закони України:</w:t>
      </w:r>
    </w:p>
    <w:p w:rsidR="007A261C" w:rsidRPr="0078696C" w:rsidRDefault="00AF78D1" w:rsidP="00D60D90">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статус і соціальний захист громадян, які постраждали внаслідок Чорнобильської катастрофи»</w:t>
      </w:r>
      <w:r w:rsidR="00CF5BC7" w:rsidRPr="0078696C">
        <w:rPr>
          <w:rFonts w:ascii="Times New Roman" w:eastAsia="Times New Roman" w:hAnsi="Times New Roman"/>
          <w:color w:val="000000"/>
          <w:sz w:val="28"/>
          <w:szCs w:val="28"/>
          <w:lang w:eastAsia="uk-UA"/>
        </w:rPr>
        <w:t xml:space="preserve">, </w:t>
      </w:r>
      <w:r w:rsidR="00340C2F" w:rsidRPr="0078696C">
        <w:rPr>
          <w:rFonts w:ascii="Times New Roman" w:eastAsia="Times New Roman" w:hAnsi="Times New Roman"/>
          <w:color w:val="000000"/>
          <w:sz w:val="28"/>
          <w:szCs w:val="28"/>
          <w:lang w:eastAsia="uk-UA"/>
        </w:rPr>
        <w:t xml:space="preserve">яким передбачено </w:t>
      </w:r>
      <w:r w:rsidR="00D60D90" w:rsidRPr="0078696C">
        <w:rPr>
          <w:rFonts w:ascii="Times New Roman" w:eastAsia="Times New Roman" w:hAnsi="Times New Roman"/>
          <w:color w:val="000000"/>
          <w:sz w:val="28"/>
          <w:szCs w:val="28"/>
          <w:lang w:eastAsia="uk-UA"/>
        </w:rPr>
        <w:t xml:space="preserve">низку пільг </w:t>
      </w:r>
      <w:r w:rsidR="00CF5BC7" w:rsidRPr="0078696C">
        <w:rPr>
          <w:rFonts w:ascii="Times New Roman" w:eastAsia="Times New Roman" w:hAnsi="Times New Roman"/>
          <w:color w:val="000000"/>
          <w:sz w:val="28"/>
          <w:szCs w:val="28"/>
          <w:lang w:eastAsia="uk-UA"/>
        </w:rPr>
        <w:t xml:space="preserve">(серед основних – це право на призначення пенсії зі зниженням пенсійного віку від 2 до 10 років, залежно від категорії особи) </w:t>
      </w:r>
      <w:r w:rsidR="00D60D90" w:rsidRPr="0078696C">
        <w:rPr>
          <w:rFonts w:ascii="Times New Roman" w:eastAsia="Times New Roman" w:hAnsi="Times New Roman"/>
          <w:color w:val="000000"/>
          <w:sz w:val="28"/>
          <w:szCs w:val="28"/>
          <w:lang w:eastAsia="uk-UA"/>
        </w:rPr>
        <w:t>та компенсацій при призначенні пенсій особам, постраждалим внаслідок Чорнобильської катастрофи.</w:t>
      </w:r>
      <w:r w:rsidR="00777771">
        <w:rPr>
          <w:rFonts w:ascii="Times New Roman" w:eastAsia="Times New Roman" w:hAnsi="Times New Roman"/>
          <w:color w:val="000000"/>
          <w:sz w:val="28"/>
          <w:szCs w:val="28"/>
          <w:lang w:eastAsia="uk-UA"/>
        </w:rPr>
        <w:t xml:space="preserve"> </w:t>
      </w:r>
      <w:r w:rsidR="00D60D90" w:rsidRPr="0078696C">
        <w:rPr>
          <w:rFonts w:ascii="Times New Roman" w:eastAsia="Times New Roman" w:hAnsi="Times New Roman"/>
          <w:color w:val="000000"/>
          <w:sz w:val="28"/>
          <w:szCs w:val="28"/>
          <w:lang w:eastAsia="uk-UA"/>
        </w:rPr>
        <w:t>Пенсії особам, віднесеним до категорій 1, 2, 3, 4, встановлюються у вигляді державної пенсії та додаткової пенсії за шкоду, заподіяну здоров'ю</w:t>
      </w:r>
      <w:r w:rsidR="00CF5BC7" w:rsidRPr="0078696C">
        <w:rPr>
          <w:rStyle w:val="a8"/>
          <w:rFonts w:ascii="Times New Roman" w:eastAsia="Times New Roman" w:hAnsi="Times New Roman"/>
          <w:color w:val="000000"/>
          <w:sz w:val="28"/>
          <w:szCs w:val="28"/>
          <w:lang w:eastAsia="uk-UA"/>
        </w:rPr>
        <w:footnoteReference w:id="80"/>
      </w:r>
      <w:r w:rsidR="00D60D90" w:rsidRPr="0078696C">
        <w:rPr>
          <w:rFonts w:ascii="Times New Roman" w:eastAsia="Times New Roman" w:hAnsi="Times New Roman"/>
          <w:color w:val="000000"/>
          <w:sz w:val="28"/>
          <w:szCs w:val="28"/>
          <w:lang w:eastAsia="uk-UA"/>
        </w:rPr>
        <w:t>.</w:t>
      </w:r>
    </w:p>
    <w:p w:rsidR="007A261C" w:rsidRPr="0078696C" w:rsidRDefault="00AF78D1" w:rsidP="00AF78D1">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прокуратуру»</w:t>
      </w:r>
      <w:r w:rsidRPr="0078696C">
        <w:rPr>
          <w:rFonts w:ascii="Times New Roman" w:eastAsia="Times New Roman" w:hAnsi="Times New Roman"/>
          <w:color w:val="000000"/>
          <w:sz w:val="28"/>
          <w:szCs w:val="28"/>
          <w:lang w:eastAsia="uk-UA"/>
        </w:rPr>
        <w:t>,</w:t>
      </w:r>
      <w:r w:rsidR="00340C2F" w:rsidRPr="0078696C">
        <w:rPr>
          <w:rFonts w:ascii="Times New Roman" w:eastAsia="Times New Roman" w:hAnsi="Times New Roman"/>
          <w:color w:val="000000"/>
          <w:sz w:val="28"/>
          <w:szCs w:val="28"/>
          <w:lang w:eastAsia="uk-UA"/>
        </w:rPr>
        <w:t xml:space="preserve">згідно </w:t>
      </w:r>
      <w:r w:rsidR="00611944" w:rsidRPr="0078696C">
        <w:rPr>
          <w:rFonts w:ascii="Times New Roman" w:eastAsia="Times New Roman" w:hAnsi="Times New Roman"/>
          <w:color w:val="000000"/>
          <w:sz w:val="28"/>
          <w:szCs w:val="28"/>
          <w:lang w:eastAsia="uk-UA"/>
        </w:rPr>
        <w:t>з яким</w:t>
      </w:r>
      <w:r w:rsidR="00340C2F" w:rsidRPr="0078696C">
        <w:rPr>
          <w:rFonts w:ascii="Times New Roman" w:eastAsia="Times New Roman" w:hAnsi="Times New Roman"/>
          <w:color w:val="000000"/>
          <w:sz w:val="28"/>
          <w:szCs w:val="28"/>
          <w:lang w:eastAsia="uk-UA"/>
        </w:rPr>
        <w:t xml:space="preserve"> прокурори мають право на пенсійне забезпечення за вислугу років незалежно від віку за наявності на день звернення необхідної вислуги років (зокрема, в період звернення з 1 жовтня 2018 року по 30 вересня 2019 року вислуга років повинна складати не менше </w:t>
      </w:r>
      <w:r w:rsidR="00EE4D16">
        <w:rPr>
          <w:rFonts w:ascii="Times New Roman" w:eastAsia="Times New Roman" w:hAnsi="Times New Roman"/>
          <w:color w:val="000000"/>
          <w:sz w:val="28"/>
          <w:szCs w:val="28"/>
          <w:lang w:eastAsia="uk-UA"/>
        </w:rPr>
        <w:br/>
      </w:r>
      <w:r w:rsidR="00340C2F" w:rsidRPr="0078696C">
        <w:rPr>
          <w:rFonts w:ascii="Times New Roman" w:eastAsia="Times New Roman" w:hAnsi="Times New Roman"/>
          <w:color w:val="000000"/>
          <w:sz w:val="28"/>
          <w:szCs w:val="28"/>
          <w:lang w:eastAsia="uk-UA"/>
        </w:rPr>
        <w:t xml:space="preserve">24 років, у тому числі стажу роботи на посадах прокурорів не менше 14 років). Крім дострокового виходу на пенсію, прокурори користуються відмінним від загального механізмом обчислення розміру пенсії: в розмірі 60 відсотків від суми їхньої місячної (чинної) заробітної плати, до якої включаються всі види </w:t>
      </w:r>
      <w:r w:rsidR="00340C2F" w:rsidRPr="0078696C">
        <w:rPr>
          <w:rFonts w:ascii="Times New Roman" w:eastAsia="Times New Roman" w:hAnsi="Times New Roman"/>
          <w:color w:val="000000"/>
          <w:sz w:val="28"/>
          <w:szCs w:val="28"/>
          <w:lang w:eastAsia="uk-UA"/>
        </w:rPr>
        <w:lastRenderedPageBreak/>
        <w:t xml:space="preserve">оплати праці, з якої було сплачено єдиний внесок на загальнообов’язкове державне соціальне страхування, а до 1 січня 2011 року </w:t>
      </w:r>
      <w:r w:rsidR="003A7A59" w:rsidRPr="0078696C">
        <w:rPr>
          <w:rFonts w:ascii="Times New Roman" w:eastAsia="Times New Roman" w:hAnsi="Times New Roman"/>
          <w:color w:val="000000"/>
          <w:sz w:val="28"/>
          <w:szCs w:val="28"/>
          <w:lang w:eastAsia="uk-UA"/>
        </w:rPr>
        <w:t>–</w:t>
      </w:r>
      <w:r w:rsidR="00340C2F" w:rsidRPr="0078696C">
        <w:rPr>
          <w:rFonts w:ascii="Times New Roman" w:eastAsia="Times New Roman" w:hAnsi="Times New Roman"/>
          <w:color w:val="000000"/>
          <w:sz w:val="28"/>
          <w:szCs w:val="28"/>
          <w:lang w:eastAsia="uk-UA"/>
        </w:rPr>
        <w:t xml:space="preserve"> страхові внески на загальнообов’язкове державне пенсійне страхування, одержуваної перед місяцем звернення за призначенням пенсії </w:t>
      </w:r>
      <w:r w:rsidR="006130D9" w:rsidRPr="0078696C">
        <w:rPr>
          <w:rFonts w:ascii="Times New Roman" w:eastAsia="Times New Roman" w:hAnsi="Times New Roman"/>
          <w:color w:val="000000"/>
          <w:sz w:val="28"/>
          <w:szCs w:val="28"/>
          <w:lang w:eastAsia="uk-UA"/>
        </w:rPr>
        <w:t xml:space="preserve">(ст. 86 Закону) </w:t>
      </w:r>
      <w:r w:rsidR="00340C2F" w:rsidRPr="0078696C">
        <w:rPr>
          <w:rStyle w:val="a8"/>
          <w:rFonts w:ascii="Times New Roman" w:eastAsia="Times New Roman" w:hAnsi="Times New Roman"/>
          <w:color w:val="000000"/>
          <w:sz w:val="28"/>
          <w:szCs w:val="28"/>
          <w:lang w:eastAsia="uk-UA"/>
        </w:rPr>
        <w:footnoteReference w:id="81"/>
      </w:r>
      <w:r w:rsidR="00340C2F" w:rsidRPr="0078696C">
        <w:rPr>
          <w:rFonts w:ascii="Times New Roman" w:eastAsia="Times New Roman" w:hAnsi="Times New Roman"/>
          <w:color w:val="000000"/>
          <w:sz w:val="28"/>
          <w:szCs w:val="28"/>
          <w:lang w:eastAsia="uk-UA"/>
        </w:rPr>
        <w:t>.</w:t>
      </w:r>
    </w:p>
    <w:p w:rsidR="007A261C" w:rsidRPr="0078696C" w:rsidRDefault="00AF78D1" w:rsidP="00AF78D1">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пенсійне забезпечення осіб, звільнених з військової служби, та деяких інших осіб»</w:t>
      </w:r>
      <w:r w:rsidR="00246A8E" w:rsidRPr="0078696C">
        <w:rPr>
          <w:rFonts w:ascii="Times New Roman" w:eastAsia="Times New Roman" w:hAnsi="Times New Roman"/>
          <w:color w:val="000000"/>
          <w:sz w:val="28"/>
          <w:szCs w:val="28"/>
          <w:lang w:eastAsia="uk-UA"/>
        </w:rPr>
        <w:t>, у відповідності до якого</w:t>
      </w:r>
      <w:r w:rsidR="00D3610E" w:rsidRPr="0078696C">
        <w:rPr>
          <w:rFonts w:ascii="Times New Roman" w:eastAsia="Times New Roman" w:hAnsi="Times New Roman"/>
          <w:color w:val="000000"/>
          <w:sz w:val="28"/>
          <w:szCs w:val="28"/>
          <w:lang w:eastAsia="uk-UA"/>
        </w:rPr>
        <w:t xml:space="preserve"> особам офіцерського складу, прапорщикам і мічманам, військовослужбовцям надстрокової служби та військової служби за контрак</w:t>
      </w:r>
      <w:r w:rsidR="00246A8E" w:rsidRPr="0078696C">
        <w:rPr>
          <w:rFonts w:ascii="Times New Roman" w:eastAsia="Times New Roman" w:hAnsi="Times New Roman"/>
          <w:color w:val="000000"/>
          <w:sz w:val="28"/>
          <w:szCs w:val="28"/>
          <w:lang w:eastAsia="uk-UA"/>
        </w:rPr>
        <w:t>том, та іншим, прирівняним до них особам</w:t>
      </w:r>
      <w:r w:rsidR="00D3610E" w:rsidRPr="0078696C">
        <w:rPr>
          <w:rFonts w:ascii="Times New Roman" w:eastAsia="Times New Roman" w:hAnsi="Times New Roman"/>
          <w:color w:val="000000"/>
          <w:sz w:val="28"/>
          <w:szCs w:val="28"/>
          <w:lang w:eastAsia="uk-UA"/>
        </w:rPr>
        <w:t xml:space="preserve">, </w:t>
      </w:r>
      <w:r w:rsidR="00246A8E" w:rsidRPr="0078696C">
        <w:rPr>
          <w:rFonts w:ascii="Times New Roman" w:eastAsia="Times New Roman" w:hAnsi="Times New Roman"/>
          <w:color w:val="000000"/>
          <w:sz w:val="28"/>
          <w:szCs w:val="28"/>
          <w:lang w:eastAsia="uk-UA"/>
        </w:rPr>
        <w:t xml:space="preserve">пенсії за вислугу років призначаються </w:t>
      </w:r>
      <w:r w:rsidR="00D3610E" w:rsidRPr="0078696C">
        <w:rPr>
          <w:rFonts w:ascii="Times New Roman" w:eastAsia="Times New Roman" w:hAnsi="Times New Roman"/>
          <w:color w:val="000000"/>
          <w:sz w:val="28"/>
          <w:szCs w:val="28"/>
          <w:lang w:eastAsia="uk-UA"/>
        </w:rPr>
        <w:t>незалежно від віку</w:t>
      </w:r>
      <w:r w:rsidR="00246A8E" w:rsidRPr="0078696C">
        <w:rPr>
          <w:rFonts w:ascii="Times New Roman" w:eastAsia="Times New Roman" w:hAnsi="Times New Roman"/>
          <w:color w:val="000000"/>
          <w:sz w:val="28"/>
          <w:szCs w:val="28"/>
          <w:lang w:eastAsia="uk-UA"/>
        </w:rPr>
        <w:t xml:space="preserve">, якщо вони звільнені зі служби та мають необхідний стаж роботи (зокрема, в період звернення з </w:t>
      </w:r>
      <w:r w:rsidR="00EE4D16">
        <w:rPr>
          <w:rFonts w:ascii="Times New Roman" w:eastAsia="Times New Roman" w:hAnsi="Times New Roman"/>
          <w:color w:val="000000"/>
          <w:sz w:val="28"/>
          <w:szCs w:val="28"/>
          <w:lang w:eastAsia="uk-UA"/>
        </w:rPr>
        <w:br/>
      </w:r>
      <w:r w:rsidR="00246A8E" w:rsidRPr="0078696C">
        <w:rPr>
          <w:rFonts w:ascii="Times New Roman" w:eastAsia="Times New Roman" w:hAnsi="Times New Roman"/>
          <w:color w:val="000000"/>
          <w:sz w:val="28"/>
          <w:szCs w:val="28"/>
          <w:lang w:eastAsia="uk-UA"/>
        </w:rPr>
        <w:t xml:space="preserve">1 жовтня 2018 року по 30 вересня 2019 року необхідний стаж за вислугу років на день звільнення повинен становити не менше 24 календарних років). </w:t>
      </w:r>
      <w:r w:rsidR="00034794" w:rsidRPr="0078696C">
        <w:rPr>
          <w:rFonts w:ascii="Times New Roman" w:eastAsia="Times New Roman" w:hAnsi="Times New Roman"/>
          <w:color w:val="000000"/>
          <w:sz w:val="28"/>
          <w:szCs w:val="28"/>
          <w:lang w:eastAsia="uk-UA"/>
        </w:rPr>
        <w:t>За наявності необхідної вислуги років</w:t>
      </w:r>
      <w:r w:rsidR="00E06CAD" w:rsidRPr="0078696C">
        <w:rPr>
          <w:rFonts w:ascii="Times New Roman" w:eastAsia="Times New Roman" w:hAnsi="Times New Roman"/>
          <w:color w:val="000000"/>
          <w:sz w:val="28"/>
          <w:szCs w:val="28"/>
          <w:lang w:eastAsia="uk-UA"/>
        </w:rPr>
        <w:t>,</w:t>
      </w:r>
      <w:r w:rsidR="00034794" w:rsidRPr="0078696C">
        <w:rPr>
          <w:rFonts w:ascii="Times New Roman" w:eastAsia="Times New Roman" w:hAnsi="Times New Roman"/>
          <w:color w:val="000000"/>
          <w:sz w:val="28"/>
          <w:szCs w:val="28"/>
          <w:lang w:eastAsia="uk-UA"/>
        </w:rPr>
        <w:t xml:space="preserve"> розмір пенсійної виплати встановлюється </w:t>
      </w:r>
      <w:r w:rsidR="00E06CAD" w:rsidRPr="0078696C">
        <w:rPr>
          <w:rFonts w:ascii="Times New Roman" w:eastAsia="Times New Roman" w:hAnsi="Times New Roman"/>
          <w:color w:val="000000"/>
          <w:sz w:val="28"/>
          <w:szCs w:val="28"/>
          <w:lang w:eastAsia="uk-UA"/>
        </w:rPr>
        <w:t xml:space="preserve">на рівні </w:t>
      </w:r>
      <w:r w:rsidR="00034794" w:rsidRPr="0078696C">
        <w:rPr>
          <w:rFonts w:ascii="Times New Roman" w:eastAsia="Times New Roman" w:hAnsi="Times New Roman"/>
          <w:color w:val="000000"/>
          <w:sz w:val="28"/>
          <w:szCs w:val="28"/>
          <w:lang w:eastAsia="uk-UA"/>
        </w:rPr>
        <w:t xml:space="preserve">50 відсотків </w:t>
      </w:r>
      <w:r w:rsidR="00E06CAD" w:rsidRPr="0078696C">
        <w:rPr>
          <w:rFonts w:ascii="Times New Roman" w:eastAsia="Times New Roman" w:hAnsi="Times New Roman"/>
          <w:color w:val="000000"/>
          <w:sz w:val="28"/>
          <w:szCs w:val="28"/>
          <w:lang w:eastAsia="uk-UA"/>
        </w:rPr>
        <w:t xml:space="preserve">відповідних сум грошового забезпечення </w:t>
      </w:r>
      <w:r w:rsidR="00034794" w:rsidRPr="0078696C">
        <w:rPr>
          <w:rFonts w:ascii="Times New Roman" w:eastAsia="Times New Roman" w:hAnsi="Times New Roman"/>
          <w:color w:val="000000"/>
          <w:sz w:val="28"/>
          <w:szCs w:val="28"/>
          <w:lang w:eastAsia="uk-UA"/>
        </w:rPr>
        <w:t>(а для звільнених у відставку за віком або за станом здоров’я –55 відсотків)</w:t>
      </w:r>
      <w:r w:rsidR="00E06CAD" w:rsidRPr="0078696C">
        <w:rPr>
          <w:rFonts w:ascii="Times New Roman" w:eastAsia="Times New Roman" w:hAnsi="Times New Roman"/>
          <w:color w:val="000000"/>
          <w:sz w:val="28"/>
          <w:szCs w:val="28"/>
          <w:lang w:eastAsia="uk-UA"/>
        </w:rPr>
        <w:t>, з можливістю збільшення такого розміру за наявності додаткового стажу за вислугу років</w:t>
      </w:r>
      <w:r w:rsidR="009871A5" w:rsidRPr="0078696C">
        <w:rPr>
          <w:rFonts w:ascii="Times New Roman" w:eastAsia="Times New Roman" w:hAnsi="Times New Roman"/>
          <w:color w:val="000000"/>
          <w:sz w:val="28"/>
          <w:szCs w:val="28"/>
          <w:lang w:eastAsia="uk-UA"/>
        </w:rPr>
        <w:t>(ст.</w:t>
      </w:r>
      <w:r w:rsidR="00F348A3" w:rsidRPr="0078696C">
        <w:rPr>
          <w:rFonts w:ascii="Times New Roman" w:eastAsia="Times New Roman" w:hAnsi="Times New Roman"/>
          <w:color w:val="000000"/>
          <w:sz w:val="28"/>
          <w:szCs w:val="28"/>
          <w:lang w:eastAsia="uk-UA"/>
        </w:rPr>
        <w:t xml:space="preserve">ст. </w:t>
      </w:r>
      <w:r w:rsidR="009871A5" w:rsidRPr="0078696C">
        <w:rPr>
          <w:rFonts w:ascii="Times New Roman" w:eastAsia="Times New Roman" w:hAnsi="Times New Roman"/>
          <w:color w:val="000000"/>
          <w:sz w:val="28"/>
          <w:szCs w:val="28"/>
          <w:lang w:eastAsia="uk-UA"/>
        </w:rPr>
        <w:t>12-13 Закону)</w:t>
      </w:r>
      <w:r w:rsidR="006411DB" w:rsidRPr="0078696C">
        <w:rPr>
          <w:rStyle w:val="a8"/>
          <w:rFonts w:ascii="Times New Roman" w:eastAsia="Times New Roman" w:hAnsi="Times New Roman"/>
          <w:color w:val="000000"/>
          <w:sz w:val="28"/>
          <w:szCs w:val="28"/>
          <w:lang w:eastAsia="uk-UA"/>
        </w:rPr>
        <w:footnoteReference w:id="82"/>
      </w:r>
      <w:r w:rsidR="00E06CAD" w:rsidRPr="0078696C">
        <w:rPr>
          <w:rFonts w:ascii="Times New Roman" w:eastAsia="Times New Roman" w:hAnsi="Times New Roman"/>
          <w:color w:val="000000"/>
          <w:sz w:val="28"/>
          <w:szCs w:val="28"/>
          <w:lang w:eastAsia="uk-UA"/>
        </w:rPr>
        <w:t>.</w:t>
      </w:r>
    </w:p>
    <w:p w:rsidR="007A261C" w:rsidRPr="0078696C" w:rsidRDefault="00AF78D1" w:rsidP="00864AB5">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статус ветеранів війни, гарантії їх соціального захисту»</w:t>
      </w:r>
      <w:r w:rsidRPr="0078696C">
        <w:rPr>
          <w:rFonts w:ascii="Times New Roman" w:eastAsia="Times New Roman" w:hAnsi="Times New Roman"/>
          <w:color w:val="000000"/>
          <w:sz w:val="28"/>
          <w:szCs w:val="28"/>
          <w:lang w:eastAsia="uk-UA"/>
        </w:rPr>
        <w:t xml:space="preserve">, </w:t>
      </w:r>
      <w:r w:rsidR="004D6C5F" w:rsidRPr="0078696C">
        <w:rPr>
          <w:rFonts w:ascii="Times New Roman" w:eastAsia="Times New Roman" w:hAnsi="Times New Roman"/>
          <w:color w:val="000000"/>
          <w:sz w:val="28"/>
          <w:szCs w:val="28"/>
          <w:lang w:eastAsia="uk-UA"/>
        </w:rPr>
        <w:t>згідно</w:t>
      </w:r>
      <w:r w:rsidR="00611944" w:rsidRPr="0078696C">
        <w:rPr>
          <w:rFonts w:ascii="Times New Roman" w:eastAsia="Times New Roman" w:hAnsi="Times New Roman"/>
          <w:color w:val="000000"/>
          <w:sz w:val="28"/>
          <w:szCs w:val="28"/>
          <w:lang w:eastAsia="uk-UA"/>
        </w:rPr>
        <w:t xml:space="preserve"> з яким</w:t>
      </w:r>
      <w:r w:rsidR="00777771">
        <w:rPr>
          <w:rFonts w:ascii="Times New Roman" w:eastAsia="Times New Roman" w:hAnsi="Times New Roman"/>
          <w:color w:val="000000"/>
          <w:sz w:val="28"/>
          <w:szCs w:val="28"/>
          <w:lang w:eastAsia="uk-UA"/>
        </w:rPr>
        <w:t xml:space="preserve"> </w:t>
      </w:r>
      <w:r w:rsidR="000624CC" w:rsidRPr="0078696C">
        <w:rPr>
          <w:rFonts w:ascii="Times New Roman" w:eastAsia="Times New Roman" w:hAnsi="Times New Roman"/>
          <w:color w:val="000000"/>
          <w:sz w:val="28"/>
          <w:szCs w:val="28"/>
          <w:lang w:eastAsia="uk-UA"/>
        </w:rPr>
        <w:t>встановлюються надбавки до пенсій або щомісячного довічного грошового утримання чи державної соціальної допомоги, що виплачується замість пенсії, які вони отримують</w:t>
      </w:r>
      <w:r w:rsidR="006E04CC" w:rsidRPr="0078696C">
        <w:rPr>
          <w:rFonts w:ascii="Times New Roman" w:eastAsia="Times New Roman" w:hAnsi="Times New Roman"/>
          <w:color w:val="000000"/>
          <w:sz w:val="28"/>
          <w:szCs w:val="28"/>
          <w:lang w:eastAsia="uk-UA"/>
        </w:rPr>
        <w:t>: для осіб, які мають особливі заслуги перед Батьківщиною</w:t>
      </w:r>
      <w:r w:rsidR="00777771">
        <w:rPr>
          <w:rFonts w:ascii="Times New Roman" w:eastAsia="Times New Roman" w:hAnsi="Times New Roman"/>
          <w:color w:val="000000"/>
          <w:sz w:val="28"/>
          <w:szCs w:val="28"/>
          <w:lang w:eastAsia="uk-UA"/>
        </w:rPr>
        <w:t xml:space="preserve"> </w:t>
      </w:r>
      <w:r w:rsidR="006E04CC" w:rsidRPr="0078696C">
        <w:rPr>
          <w:rFonts w:ascii="Times New Roman" w:eastAsia="Times New Roman" w:hAnsi="Times New Roman"/>
          <w:color w:val="000000"/>
          <w:sz w:val="28"/>
          <w:szCs w:val="28"/>
          <w:lang w:eastAsia="uk-UA"/>
        </w:rPr>
        <w:t>–</w:t>
      </w:r>
      <w:r w:rsidR="000624CC" w:rsidRPr="0078696C">
        <w:rPr>
          <w:rFonts w:ascii="Times New Roman" w:eastAsia="Times New Roman" w:hAnsi="Times New Roman"/>
          <w:color w:val="000000"/>
          <w:sz w:val="28"/>
          <w:szCs w:val="28"/>
          <w:lang w:eastAsia="uk-UA"/>
        </w:rPr>
        <w:t xml:space="preserve"> у розмірі 70 процентів прожиткового мінімуму для осіб, </w:t>
      </w:r>
      <w:r w:rsidR="004D6C5F" w:rsidRPr="0078696C">
        <w:rPr>
          <w:rFonts w:ascii="Times New Roman" w:eastAsia="Times New Roman" w:hAnsi="Times New Roman"/>
          <w:color w:val="000000"/>
          <w:sz w:val="28"/>
          <w:szCs w:val="28"/>
          <w:lang w:eastAsia="uk-UA"/>
        </w:rPr>
        <w:t xml:space="preserve">особам з інвалідністю I групи </w:t>
      </w:r>
      <w:r w:rsidR="006E04CC" w:rsidRPr="0078696C">
        <w:rPr>
          <w:rFonts w:ascii="Times New Roman" w:eastAsia="Times New Roman" w:hAnsi="Times New Roman"/>
          <w:color w:val="000000"/>
          <w:sz w:val="28"/>
          <w:szCs w:val="28"/>
          <w:lang w:eastAsia="uk-UA"/>
        </w:rPr>
        <w:t>–</w:t>
      </w:r>
      <w:r w:rsidR="004D6C5F" w:rsidRPr="0078696C">
        <w:rPr>
          <w:rFonts w:ascii="Times New Roman" w:eastAsia="Times New Roman" w:hAnsi="Times New Roman"/>
          <w:color w:val="000000"/>
          <w:sz w:val="28"/>
          <w:szCs w:val="28"/>
          <w:lang w:eastAsia="uk-UA"/>
        </w:rPr>
        <w:t xml:space="preserve"> у розмірі 50 процентів прожиткового мінімуму для осіб, які втратили працездатність, II групи </w:t>
      </w:r>
      <w:r w:rsidR="006E04CC" w:rsidRPr="0078696C">
        <w:rPr>
          <w:rFonts w:ascii="Times New Roman" w:eastAsia="Times New Roman" w:hAnsi="Times New Roman"/>
          <w:color w:val="000000"/>
          <w:sz w:val="28"/>
          <w:szCs w:val="28"/>
          <w:lang w:eastAsia="uk-UA"/>
        </w:rPr>
        <w:t>–</w:t>
      </w:r>
      <w:r w:rsidR="004D6C5F" w:rsidRPr="0078696C">
        <w:rPr>
          <w:rFonts w:ascii="Times New Roman" w:eastAsia="Times New Roman" w:hAnsi="Times New Roman"/>
          <w:color w:val="000000"/>
          <w:sz w:val="28"/>
          <w:szCs w:val="28"/>
          <w:lang w:eastAsia="uk-UA"/>
        </w:rPr>
        <w:t xml:space="preserve"> 40 процентів, III групи </w:t>
      </w:r>
      <w:r w:rsidR="006E04CC" w:rsidRPr="0078696C">
        <w:rPr>
          <w:rFonts w:ascii="Times New Roman" w:eastAsia="Times New Roman" w:hAnsi="Times New Roman"/>
          <w:color w:val="000000"/>
          <w:sz w:val="28"/>
          <w:szCs w:val="28"/>
          <w:lang w:eastAsia="uk-UA"/>
        </w:rPr>
        <w:t>–</w:t>
      </w:r>
      <w:r w:rsidR="00EE4D16">
        <w:rPr>
          <w:rFonts w:ascii="Times New Roman" w:eastAsia="Times New Roman" w:hAnsi="Times New Roman"/>
          <w:color w:val="000000"/>
          <w:sz w:val="28"/>
          <w:szCs w:val="28"/>
          <w:lang w:eastAsia="uk-UA"/>
        </w:rPr>
        <w:br/>
      </w:r>
      <w:r w:rsidR="004D6C5F" w:rsidRPr="0078696C">
        <w:rPr>
          <w:rFonts w:ascii="Times New Roman" w:eastAsia="Times New Roman" w:hAnsi="Times New Roman"/>
          <w:color w:val="000000"/>
          <w:sz w:val="28"/>
          <w:szCs w:val="28"/>
          <w:lang w:eastAsia="uk-UA"/>
        </w:rPr>
        <w:t>30 процентів</w:t>
      </w:r>
      <w:r w:rsidR="000624CC" w:rsidRPr="0078696C">
        <w:rPr>
          <w:rFonts w:ascii="Times New Roman" w:eastAsia="Times New Roman" w:hAnsi="Times New Roman"/>
          <w:color w:val="000000"/>
          <w:sz w:val="28"/>
          <w:szCs w:val="28"/>
          <w:lang w:eastAsia="uk-UA"/>
        </w:rPr>
        <w:t xml:space="preserve">,учасникам бойових дій – в розмірі 25 процентів. </w:t>
      </w:r>
      <w:r w:rsidR="007C0966" w:rsidRPr="0078696C">
        <w:rPr>
          <w:rFonts w:ascii="Times New Roman" w:eastAsia="Times New Roman" w:hAnsi="Times New Roman"/>
          <w:color w:val="000000"/>
          <w:sz w:val="28"/>
          <w:szCs w:val="28"/>
          <w:lang w:eastAsia="uk-UA"/>
        </w:rPr>
        <w:t xml:space="preserve">Крім цього, </w:t>
      </w:r>
      <w:r w:rsidR="003C38E3" w:rsidRPr="0078696C">
        <w:rPr>
          <w:rFonts w:ascii="Times New Roman" w:eastAsia="Times New Roman" w:hAnsi="Times New Roman"/>
          <w:color w:val="000000"/>
          <w:sz w:val="28"/>
          <w:szCs w:val="28"/>
          <w:lang w:eastAsia="uk-UA"/>
        </w:rPr>
        <w:t xml:space="preserve">встановлюється низка додаткових підвищень для учасників війни, </w:t>
      </w:r>
      <w:r w:rsidR="003C38E3" w:rsidRPr="0078696C">
        <w:rPr>
          <w:rFonts w:ascii="Times New Roman" w:eastAsia="Times New Roman" w:hAnsi="Times New Roman"/>
          <w:color w:val="000000"/>
          <w:sz w:val="28"/>
          <w:szCs w:val="28"/>
          <w:lang w:eastAsia="uk-UA"/>
        </w:rPr>
        <w:lastRenderedPageBreak/>
        <w:t xml:space="preserve">нагородженим орденами і медалями, </w:t>
      </w:r>
      <w:r w:rsidR="002C44F7" w:rsidRPr="0078696C">
        <w:rPr>
          <w:rFonts w:ascii="Times New Roman" w:eastAsia="Times New Roman" w:hAnsi="Times New Roman"/>
          <w:color w:val="000000"/>
          <w:sz w:val="28"/>
          <w:szCs w:val="28"/>
          <w:lang w:eastAsia="uk-UA"/>
        </w:rPr>
        <w:t xml:space="preserve">а </w:t>
      </w:r>
      <w:r w:rsidR="003C38E3" w:rsidRPr="0078696C">
        <w:rPr>
          <w:rFonts w:ascii="Times New Roman" w:eastAsia="Times New Roman" w:hAnsi="Times New Roman"/>
          <w:color w:val="000000"/>
          <w:sz w:val="28"/>
          <w:szCs w:val="28"/>
          <w:lang w:eastAsia="uk-UA"/>
        </w:rPr>
        <w:t>та</w:t>
      </w:r>
      <w:r w:rsidR="002C44F7" w:rsidRPr="0078696C">
        <w:rPr>
          <w:rFonts w:ascii="Times New Roman" w:eastAsia="Times New Roman" w:hAnsi="Times New Roman"/>
          <w:color w:val="000000"/>
          <w:sz w:val="28"/>
          <w:szCs w:val="28"/>
          <w:lang w:eastAsia="uk-UA"/>
        </w:rPr>
        <w:t>кож</w:t>
      </w:r>
      <w:r w:rsidR="003C38E3" w:rsidRPr="0078696C">
        <w:rPr>
          <w:rFonts w:ascii="Times New Roman" w:eastAsia="Times New Roman" w:hAnsi="Times New Roman"/>
          <w:color w:val="000000"/>
          <w:sz w:val="28"/>
          <w:szCs w:val="28"/>
          <w:lang w:eastAsia="uk-UA"/>
        </w:rPr>
        <w:t xml:space="preserve"> підвищення для </w:t>
      </w:r>
      <w:r w:rsidR="00864AB5" w:rsidRPr="0078696C">
        <w:rPr>
          <w:rFonts w:ascii="Times New Roman" w:eastAsia="Times New Roman" w:hAnsi="Times New Roman"/>
          <w:color w:val="000000"/>
          <w:sz w:val="28"/>
          <w:szCs w:val="28"/>
          <w:lang w:eastAsia="uk-UA"/>
        </w:rPr>
        <w:t>членів сім</w:t>
      </w:r>
      <w:r w:rsidR="002C44F7" w:rsidRPr="0078696C">
        <w:rPr>
          <w:rFonts w:ascii="Times New Roman" w:eastAsia="Times New Roman" w:hAnsi="Times New Roman"/>
          <w:color w:val="000000"/>
          <w:sz w:val="28"/>
          <w:szCs w:val="28"/>
          <w:lang w:eastAsia="uk-UA"/>
        </w:rPr>
        <w:t xml:space="preserve">ей </w:t>
      </w:r>
      <w:r w:rsidR="002A7CF5" w:rsidRPr="0078696C">
        <w:rPr>
          <w:rFonts w:ascii="Times New Roman" w:eastAsia="Times New Roman" w:hAnsi="Times New Roman"/>
          <w:color w:val="000000"/>
          <w:sz w:val="28"/>
          <w:szCs w:val="28"/>
          <w:lang w:eastAsia="uk-UA"/>
        </w:rPr>
        <w:t xml:space="preserve">померлих та загиблих </w:t>
      </w:r>
      <w:r w:rsidR="002C44F7" w:rsidRPr="0078696C">
        <w:rPr>
          <w:rFonts w:ascii="Times New Roman" w:eastAsia="Times New Roman" w:hAnsi="Times New Roman"/>
          <w:color w:val="000000"/>
          <w:sz w:val="28"/>
          <w:szCs w:val="28"/>
          <w:lang w:eastAsia="uk-UA"/>
        </w:rPr>
        <w:t>ветеранів війни</w:t>
      </w:r>
      <w:r w:rsidR="002A7CF5" w:rsidRPr="0078696C">
        <w:rPr>
          <w:rFonts w:ascii="Times New Roman" w:eastAsia="Times New Roman" w:hAnsi="Times New Roman"/>
          <w:color w:val="000000"/>
          <w:sz w:val="28"/>
          <w:szCs w:val="28"/>
          <w:lang w:eastAsia="uk-UA"/>
        </w:rPr>
        <w:t xml:space="preserve">(ст. ст. 12-16 Закону) </w:t>
      </w:r>
      <w:r w:rsidR="004D6C5F" w:rsidRPr="0078696C">
        <w:rPr>
          <w:rStyle w:val="a8"/>
          <w:rFonts w:ascii="Times New Roman" w:eastAsia="Times New Roman" w:hAnsi="Times New Roman"/>
          <w:color w:val="000000"/>
          <w:sz w:val="28"/>
          <w:szCs w:val="28"/>
          <w:lang w:eastAsia="uk-UA"/>
        </w:rPr>
        <w:footnoteReference w:id="83"/>
      </w:r>
      <w:r w:rsidR="004D6C5F" w:rsidRPr="0078696C">
        <w:rPr>
          <w:rFonts w:ascii="Times New Roman" w:eastAsia="Times New Roman" w:hAnsi="Times New Roman"/>
          <w:color w:val="000000"/>
          <w:sz w:val="28"/>
          <w:szCs w:val="28"/>
          <w:lang w:eastAsia="uk-UA"/>
        </w:rPr>
        <w:t>.</w:t>
      </w:r>
    </w:p>
    <w:p w:rsidR="007A261C" w:rsidRPr="0078696C" w:rsidRDefault="00AF78D1" w:rsidP="002A123C">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основні засади соціального захисту ветеранів праці та інших громадян похилого віку в Україні»</w:t>
      </w:r>
      <w:r w:rsidRPr="0078696C">
        <w:rPr>
          <w:rFonts w:ascii="Times New Roman" w:eastAsia="Times New Roman" w:hAnsi="Times New Roman"/>
          <w:color w:val="000000"/>
          <w:sz w:val="28"/>
          <w:szCs w:val="28"/>
          <w:lang w:eastAsia="uk-UA"/>
        </w:rPr>
        <w:t>,</w:t>
      </w:r>
      <w:r w:rsidR="00FF69B6" w:rsidRPr="0078696C">
        <w:rPr>
          <w:rFonts w:ascii="Times New Roman" w:eastAsia="Times New Roman" w:hAnsi="Times New Roman"/>
          <w:color w:val="000000"/>
          <w:sz w:val="28"/>
          <w:szCs w:val="28"/>
          <w:lang w:eastAsia="uk-UA"/>
        </w:rPr>
        <w:t xml:space="preserve">згідно </w:t>
      </w:r>
      <w:r w:rsidR="00611944" w:rsidRPr="0078696C">
        <w:rPr>
          <w:rFonts w:ascii="Times New Roman" w:eastAsia="Times New Roman" w:hAnsi="Times New Roman"/>
          <w:color w:val="000000"/>
          <w:sz w:val="28"/>
          <w:szCs w:val="28"/>
          <w:lang w:eastAsia="uk-UA"/>
        </w:rPr>
        <w:t>з яким</w:t>
      </w:r>
      <w:r w:rsidR="00FF69B6" w:rsidRPr="0078696C">
        <w:rPr>
          <w:rFonts w:ascii="Times New Roman" w:eastAsia="Times New Roman" w:hAnsi="Times New Roman"/>
          <w:color w:val="000000"/>
          <w:sz w:val="28"/>
          <w:szCs w:val="28"/>
          <w:lang w:eastAsia="uk-UA"/>
        </w:rPr>
        <w:t xml:space="preserve"> встановлюється </w:t>
      </w:r>
      <w:r w:rsidR="002A7CF5" w:rsidRPr="0078696C">
        <w:rPr>
          <w:rFonts w:ascii="Times New Roman" w:eastAsia="Times New Roman" w:hAnsi="Times New Roman"/>
          <w:color w:val="000000"/>
          <w:sz w:val="28"/>
          <w:szCs w:val="28"/>
          <w:lang w:eastAsia="uk-UA"/>
        </w:rPr>
        <w:t>низка</w:t>
      </w:r>
      <w:r w:rsidR="00FF69B6" w:rsidRPr="0078696C">
        <w:rPr>
          <w:rFonts w:ascii="Times New Roman" w:eastAsia="Times New Roman" w:hAnsi="Times New Roman"/>
          <w:color w:val="000000"/>
          <w:sz w:val="28"/>
          <w:szCs w:val="28"/>
          <w:lang w:eastAsia="uk-UA"/>
        </w:rPr>
        <w:t xml:space="preserve"> пільг для осіб, які визнаються ветеранами праці, </w:t>
      </w:r>
      <w:r w:rsidR="002A123C" w:rsidRPr="0078696C">
        <w:rPr>
          <w:rFonts w:ascii="Times New Roman" w:eastAsia="Times New Roman" w:hAnsi="Times New Roman"/>
          <w:color w:val="000000"/>
          <w:sz w:val="28"/>
          <w:szCs w:val="28"/>
          <w:lang w:eastAsia="uk-UA"/>
        </w:rPr>
        <w:t xml:space="preserve">та </w:t>
      </w:r>
      <w:r w:rsidR="00FF69B6" w:rsidRPr="0078696C">
        <w:rPr>
          <w:rFonts w:ascii="Times New Roman" w:eastAsia="Times New Roman" w:hAnsi="Times New Roman"/>
          <w:color w:val="000000"/>
          <w:sz w:val="28"/>
          <w:szCs w:val="28"/>
          <w:lang w:eastAsia="uk-UA"/>
        </w:rPr>
        <w:t>для осіб, які мають особливі трудові заслуги перед Батьківщиною</w:t>
      </w:r>
      <w:r w:rsidR="002A123C" w:rsidRPr="0078696C">
        <w:rPr>
          <w:rFonts w:ascii="Times New Roman" w:eastAsia="Times New Roman" w:hAnsi="Times New Roman"/>
          <w:color w:val="000000"/>
          <w:sz w:val="28"/>
          <w:szCs w:val="28"/>
          <w:lang w:eastAsia="uk-UA"/>
        </w:rPr>
        <w:t>. Зокрема, особам, які мають особливі трудові заслуги перед Батьківщиною, встановлюються надбавки до пенсій, які вони отримують, у розмірі 200 процентів мінімальної пенсії за віком, фінансування яких здійснюється за рахунок Державного бюджету України</w:t>
      </w:r>
      <w:r w:rsidR="00B62C22" w:rsidRPr="0078696C">
        <w:rPr>
          <w:rStyle w:val="a8"/>
          <w:rFonts w:ascii="Times New Roman" w:eastAsia="Times New Roman" w:hAnsi="Times New Roman"/>
          <w:color w:val="000000"/>
          <w:sz w:val="28"/>
          <w:szCs w:val="28"/>
          <w:lang w:eastAsia="uk-UA"/>
        </w:rPr>
        <w:footnoteReference w:id="84"/>
      </w:r>
      <w:r w:rsidR="002A123C" w:rsidRPr="0078696C">
        <w:rPr>
          <w:rFonts w:ascii="Times New Roman" w:eastAsia="Times New Roman" w:hAnsi="Times New Roman"/>
          <w:color w:val="000000"/>
          <w:sz w:val="28"/>
          <w:szCs w:val="28"/>
          <w:lang w:eastAsia="uk-UA"/>
        </w:rPr>
        <w:t>.</w:t>
      </w:r>
    </w:p>
    <w:p w:rsidR="003D48E0" w:rsidRPr="0078696C" w:rsidRDefault="00AF78D1" w:rsidP="003D48E0">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державну службу»</w:t>
      </w:r>
      <w:r w:rsidR="00777771">
        <w:rPr>
          <w:rFonts w:ascii="Times New Roman" w:eastAsia="Times New Roman" w:hAnsi="Times New Roman"/>
          <w:i/>
          <w:color w:val="000000"/>
          <w:sz w:val="28"/>
          <w:szCs w:val="28"/>
          <w:lang w:eastAsia="uk-UA"/>
        </w:rPr>
        <w:t xml:space="preserve"> </w:t>
      </w:r>
      <w:r w:rsidR="0026419A" w:rsidRPr="0078696C">
        <w:rPr>
          <w:rFonts w:ascii="Times New Roman" w:eastAsia="Times New Roman" w:hAnsi="Times New Roman"/>
          <w:color w:val="000000"/>
          <w:sz w:val="28"/>
          <w:szCs w:val="28"/>
          <w:lang w:eastAsia="uk-UA"/>
        </w:rPr>
        <w:t>№ 889-VIIIвід 10.12.2015 р.</w:t>
      </w:r>
      <w:r w:rsidR="009E228E" w:rsidRPr="0078696C">
        <w:rPr>
          <w:rStyle w:val="a8"/>
          <w:rFonts w:ascii="Times New Roman" w:eastAsia="Times New Roman" w:hAnsi="Times New Roman"/>
          <w:color w:val="000000"/>
          <w:sz w:val="28"/>
          <w:szCs w:val="28"/>
          <w:lang w:eastAsia="uk-UA"/>
        </w:rPr>
        <w:footnoteReference w:id="85"/>
      </w:r>
      <w:r w:rsidRPr="0078696C">
        <w:rPr>
          <w:rFonts w:ascii="Times New Roman" w:eastAsia="Times New Roman" w:hAnsi="Times New Roman"/>
          <w:color w:val="000000"/>
          <w:sz w:val="28"/>
          <w:szCs w:val="28"/>
          <w:lang w:eastAsia="uk-UA"/>
        </w:rPr>
        <w:t xml:space="preserve">, </w:t>
      </w:r>
      <w:r w:rsidR="00427E5D" w:rsidRPr="0078696C">
        <w:rPr>
          <w:rFonts w:ascii="Times New Roman" w:eastAsia="Times New Roman" w:hAnsi="Times New Roman"/>
          <w:color w:val="000000"/>
          <w:sz w:val="28"/>
          <w:szCs w:val="28"/>
          <w:lang w:eastAsia="uk-UA"/>
        </w:rPr>
        <w:t>пенсійне забезпечення державних службовців здійснюється відповідно до Закону України «Про загальнообов'язкове державне пенсійне страхування».</w:t>
      </w:r>
      <w:r w:rsidR="003A1281" w:rsidRPr="0078696C">
        <w:rPr>
          <w:rFonts w:ascii="Times New Roman" w:eastAsia="Times New Roman" w:hAnsi="Times New Roman"/>
          <w:color w:val="000000"/>
          <w:sz w:val="28"/>
          <w:szCs w:val="28"/>
          <w:lang w:eastAsia="uk-UA"/>
        </w:rPr>
        <w:t xml:space="preserve"> В свою чергу, законодавець, з прийняттям нового закону для державних службовців, визначив певні умови, за дотримання яких у осіб зберігається право на призначення пенсії відповідно до ст. 37 Закону «Про державну службу» </w:t>
      </w:r>
      <w:r w:rsidR="00EE4D16">
        <w:rPr>
          <w:rFonts w:ascii="Times New Roman" w:eastAsia="Times New Roman" w:hAnsi="Times New Roman"/>
          <w:color w:val="000000"/>
          <w:sz w:val="28"/>
          <w:szCs w:val="28"/>
          <w:lang w:eastAsia="uk-UA"/>
        </w:rPr>
        <w:br/>
      </w:r>
      <w:r w:rsidR="003A1281" w:rsidRPr="0078696C">
        <w:rPr>
          <w:rFonts w:ascii="Times New Roman" w:eastAsia="Times New Roman" w:hAnsi="Times New Roman"/>
          <w:color w:val="000000"/>
          <w:sz w:val="28"/>
          <w:szCs w:val="28"/>
          <w:lang w:eastAsia="uk-UA"/>
        </w:rPr>
        <w:t xml:space="preserve">3723-ХІІ від 16.12.1993 р. </w:t>
      </w:r>
      <w:r w:rsidR="003A1281" w:rsidRPr="0078696C">
        <w:rPr>
          <w:rStyle w:val="a8"/>
          <w:rFonts w:ascii="Times New Roman" w:eastAsia="Times New Roman" w:hAnsi="Times New Roman"/>
          <w:color w:val="000000"/>
          <w:sz w:val="28"/>
          <w:szCs w:val="28"/>
          <w:lang w:eastAsia="uk-UA"/>
        </w:rPr>
        <w:footnoteReference w:id="86"/>
      </w:r>
      <w:r w:rsidR="00A175AA" w:rsidRPr="0078696C">
        <w:rPr>
          <w:rFonts w:ascii="Times New Roman" w:eastAsia="Times New Roman" w:hAnsi="Times New Roman"/>
          <w:color w:val="000000"/>
          <w:sz w:val="28"/>
          <w:szCs w:val="28"/>
          <w:lang w:eastAsia="uk-UA"/>
        </w:rPr>
        <w:t xml:space="preserve">. </w:t>
      </w:r>
      <w:r w:rsidR="00EF7D26" w:rsidRPr="0078696C">
        <w:rPr>
          <w:rFonts w:ascii="Times New Roman" w:eastAsia="Times New Roman" w:hAnsi="Times New Roman"/>
          <w:color w:val="000000"/>
          <w:sz w:val="28"/>
          <w:szCs w:val="28"/>
          <w:lang w:eastAsia="uk-UA"/>
        </w:rPr>
        <w:t xml:space="preserve">Зокрема, обов'язковою умовою для збереження у особи права на призначення пенсії відповідно до ст. 37 Закону №3723-ХІІ після 01.05.2016 р. є дотримання сукупності вимог, визначених ч. 1 ст. 37 Закону </w:t>
      </w:r>
      <w:r w:rsidR="00F00873" w:rsidRPr="0078696C">
        <w:rPr>
          <w:rFonts w:ascii="Times New Roman" w:eastAsia="Times New Roman" w:hAnsi="Times New Roman"/>
          <w:color w:val="000000"/>
          <w:sz w:val="28"/>
          <w:szCs w:val="28"/>
          <w:lang w:eastAsia="uk-UA"/>
        </w:rPr>
        <w:br/>
      </w:r>
      <w:r w:rsidR="00EF7D26" w:rsidRPr="0078696C">
        <w:rPr>
          <w:rFonts w:ascii="Times New Roman" w:eastAsia="Times New Roman" w:hAnsi="Times New Roman"/>
          <w:color w:val="000000"/>
          <w:sz w:val="28"/>
          <w:szCs w:val="28"/>
          <w:lang w:eastAsia="uk-UA"/>
        </w:rPr>
        <w:t>№ 3723-ХІІ і Прикінцевих та перехідних положень Закону № 889-VIII</w:t>
      </w:r>
      <w:r w:rsidR="00EF7D26" w:rsidRPr="0078696C">
        <w:rPr>
          <w:rStyle w:val="a8"/>
          <w:rFonts w:ascii="Times New Roman" w:eastAsia="Times New Roman" w:hAnsi="Times New Roman"/>
          <w:color w:val="000000"/>
          <w:sz w:val="28"/>
          <w:szCs w:val="28"/>
          <w:lang w:eastAsia="uk-UA"/>
        </w:rPr>
        <w:footnoteReference w:id="87"/>
      </w:r>
      <w:r w:rsidR="00EF7D26" w:rsidRPr="0078696C">
        <w:rPr>
          <w:rFonts w:ascii="Times New Roman" w:eastAsia="Times New Roman" w:hAnsi="Times New Roman"/>
          <w:color w:val="000000"/>
          <w:sz w:val="28"/>
          <w:szCs w:val="28"/>
          <w:lang w:eastAsia="uk-UA"/>
        </w:rPr>
        <w:t xml:space="preserve">, а саме щодо віку (для чоловіків – це 62 роки, для жінок – це вік, встановлений ст. 26 Закону України «Про загальнообов'язкове державне пенсійне страхування» </w:t>
      </w:r>
      <w:r w:rsidR="00EF7D26" w:rsidRPr="0078696C">
        <w:rPr>
          <w:rStyle w:val="a8"/>
          <w:rFonts w:ascii="Times New Roman" w:eastAsia="Times New Roman" w:hAnsi="Times New Roman"/>
          <w:color w:val="000000"/>
          <w:sz w:val="28"/>
          <w:szCs w:val="28"/>
          <w:lang w:eastAsia="uk-UA"/>
        </w:rPr>
        <w:footnoteReference w:id="88"/>
      </w:r>
      <w:r w:rsidR="00EF7D26" w:rsidRPr="0078696C">
        <w:rPr>
          <w:rFonts w:ascii="Times New Roman" w:eastAsia="Times New Roman" w:hAnsi="Times New Roman"/>
          <w:color w:val="000000"/>
          <w:sz w:val="28"/>
          <w:szCs w:val="28"/>
          <w:lang w:eastAsia="uk-UA"/>
        </w:rPr>
        <w:t xml:space="preserve">), страхового стажу (для чоловік – не менше 35 років, для жінок – не менше 30) та стажу державної служби (10 років для осіб, які станом на 01.05.2016 р. займали посади державної служби, або 20 років стажу держслужби – незалежно від того, </w:t>
      </w:r>
      <w:r w:rsidR="00EF7D26" w:rsidRPr="0078696C">
        <w:rPr>
          <w:rFonts w:ascii="Times New Roman" w:eastAsia="Times New Roman" w:hAnsi="Times New Roman"/>
          <w:color w:val="000000"/>
          <w:sz w:val="28"/>
          <w:szCs w:val="28"/>
          <w:lang w:eastAsia="uk-UA"/>
        </w:rPr>
        <w:lastRenderedPageBreak/>
        <w:t>чи працювала особа на зазначену дату на держслужбі)</w:t>
      </w:r>
      <w:r w:rsidR="00FD126B" w:rsidRPr="0078696C">
        <w:rPr>
          <w:rFonts w:ascii="Times New Roman" w:eastAsia="Times New Roman" w:hAnsi="Times New Roman"/>
          <w:color w:val="000000"/>
          <w:sz w:val="28"/>
          <w:szCs w:val="28"/>
          <w:lang w:eastAsia="uk-UA"/>
        </w:rPr>
        <w:t xml:space="preserve">. Пенсія державним службовцям призначається в розмірі 60 відсотків суми їх заробітної плати, з якої було сплачено єдиний внесок на загальнообов'язкове державне соціальне страхування, а до 1 січня 2011 року – страхові внески на загальнообов'язкове державне пенсійне страхування </w:t>
      </w:r>
      <w:r w:rsidR="00EF7D26" w:rsidRPr="0078696C">
        <w:rPr>
          <w:rStyle w:val="a8"/>
          <w:rFonts w:ascii="Times New Roman" w:eastAsia="Times New Roman" w:hAnsi="Times New Roman"/>
          <w:color w:val="000000"/>
          <w:sz w:val="28"/>
          <w:szCs w:val="28"/>
          <w:lang w:eastAsia="uk-UA"/>
        </w:rPr>
        <w:footnoteReference w:id="89"/>
      </w:r>
      <w:r w:rsidR="00EF7D26" w:rsidRPr="0078696C">
        <w:rPr>
          <w:rFonts w:ascii="Times New Roman" w:eastAsia="Times New Roman" w:hAnsi="Times New Roman"/>
          <w:color w:val="000000"/>
          <w:sz w:val="28"/>
          <w:szCs w:val="28"/>
          <w:lang w:eastAsia="uk-UA"/>
        </w:rPr>
        <w:t>.</w:t>
      </w:r>
    </w:p>
    <w:p w:rsidR="003659E2" w:rsidRPr="0078696C" w:rsidRDefault="003659E2" w:rsidP="00333957">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Аналогічні вимоги щодо стажу роботи та віку поширюється і на осіб, які працювали </w:t>
      </w:r>
      <w:r w:rsidR="00EA3F59" w:rsidRPr="0078696C">
        <w:rPr>
          <w:rFonts w:ascii="Times New Roman" w:eastAsia="Times New Roman" w:hAnsi="Times New Roman"/>
          <w:color w:val="000000"/>
          <w:sz w:val="28"/>
          <w:szCs w:val="28"/>
          <w:lang w:eastAsia="uk-UA"/>
        </w:rPr>
        <w:t>на посадах, передбачених</w:t>
      </w:r>
      <w:r w:rsidRPr="0078696C">
        <w:rPr>
          <w:rFonts w:ascii="Times New Roman" w:eastAsia="Times New Roman" w:hAnsi="Times New Roman"/>
          <w:color w:val="000000"/>
          <w:sz w:val="28"/>
          <w:szCs w:val="28"/>
          <w:lang w:eastAsia="uk-UA"/>
        </w:rPr>
        <w:t xml:space="preserve">ЗУ «Про службу в органах місцевого самоврядування» </w:t>
      </w:r>
      <w:r w:rsidRPr="0078696C">
        <w:rPr>
          <w:rStyle w:val="a8"/>
          <w:rFonts w:ascii="Times New Roman" w:eastAsia="Times New Roman" w:hAnsi="Times New Roman"/>
          <w:color w:val="000000"/>
          <w:sz w:val="28"/>
          <w:szCs w:val="28"/>
          <w:lang w:eastAsia="uk-UA"/>
        </w:rPr>
        <w:footnoteReference w:id="90"/>
      </w:r>
      <w:r w:rsidR="00EA3F59" w:rsidRPr="0078696C">
        <w:rPr>
          <w:rFonts w:ascii="Times New Roman" w:eastAsia="Times New Roman" w:hAnsi="Times New Roman"/>
          <w:color w:val="000000"/>
          <w:sz w:val="28"/>
          <w:szCs w:val="28"/>
          <w:lang w:eastAsia="uk-UA"/>
        </w:rPr>
        <w:t xml:space="preserve">, «Про дипломатичну службу» </w:t>
      </w:r>
      <w:r w:rsidR="00EA3F59" w:rsidRPr="0078696C">
        <w:rPr>
          <w:rStyle w:val="a8"/>
          <w:rFonts w:ascii="Times New Roman" w:eastAsia="Times New Roman" w:hAnsi="Times New Roman"/>
          <w:color w:val="000000"/>
          <w:sz w:val="28"/>
          <w:szCs w:val="28"/>
          <w:lang w:eastAsia="uk-UA"/>
        </w:rPr>
        <w:footnoteReference w:id="91"/>
      </w:r>
      <w:r w:rsidR="00EA3F59" w:rsidRPr="0078696C">
        <w:rPr>
          <w:rFonts w:ascii="Times New Roman" w:eastAsia="Times New Roman" w:hAnsi="Times New Roman"/>
          <w:color w:val="000000"/>
          <w:sz w:val="28"/>
          <w:szCs w:val="28"/>
          <w:lang w:eastAsia="uk-UA"/>
        </w:rPr>
        <w:t xml:space="preserve">, «Про статус народного депутата України» </w:t>
      </w:r>
      <w:r w:rsidR="00EA3F59" w:rsidRPr="0078696C">
        <w:rPr>
          <w:rStyle w:val="a8"/>
          <w:rFonts w:ascii="Times New Roman" w:eastAsia="Times New Roman" w:hAnsi="Times New Roman"/>
          <w:color w:val="000000"/>
          <w:sz w:val="28"/>
          <w:szCs w:val="28"/>
          <w:lang w:eastAsia="uk-UA"/>
        </w:rPr>
        <w:footnoteReference w:id="92"/>
      </w:r>
      <w:r w:rsidR="007D5681" w:rsidRPr="0078696C">
        <w:rPr>
          <w:rFonts w:ascii="Times New Roman" w:eastAsia="Times New Roman" w:hAnsi="Times New Roman"/>
          <w:color w:val="000000"/>
          <w:sz w:val="28"/>
          <w:szCs w:val="28"/>
          <w:lang w:eastAsia="uk-UA"/>
        </w:rPr>
        <w:t>тощо</w:t>
      </w:r>
      <w:r w:rsidR="00611944" w:rsidRPr="0078696C">
        <w:rPr>
          <w:rFonts w:ascii="Times New Roman" w:eastAsia="Times New Roman" w:hAnsi="Times New Roman"/>
          <w:color w:val="000000"/>
          <w:sz w:val="28"/>
          <w:szCs w:val="28"/>
          <w:lang w:eastAsia="uk-UA"/>
        </w:rPr>
        <w:t>.</w:t>
      </w:r>
    </w:p>
    <w:p w:rsidR="007846A8" w:rsidRPr="0078696C" w:rsidRDefault="007846A8" w:rsidP="007846A8">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Згідно </w:t>
      </w:r>
      <w:r w:rsidR="00611944" w:rsidRPr="0078696C">
        <w:rPr>
          <w:rFonts w:ascii="Times New Roman" w:eastAsia="Times New Roman" w:hAnsi="Times New Roman"/>
          <w:color w:val="000000"/>
          <w:sz w:val="28"/>
          <w:szCs w:val="28"/>
          <w:lang w:eastAsia="uk-UA"/>
        </w:rPr>
        <w:t xml:space="preserve">з </w:t>
      </w:r>
      <w:r w:rsidRPr="0078696C">
        <w:rPr>
          <w:rFonts w:ascii="Times New Roman" w:eastAsia="Times New Roman" w:hAnsi="Times New Roman"/>
          <w:color w:val="000000"/>
          <w:sz w:val="28"/>
          <w:szCs w:val="28"/>
          <w:lang w:eastAsia="uk-UA"/>
        </w:rPr>
        <w:t>ст. 588 Митного кодексу України, пенсійне забезпечення посадових осіб органів доходів і зборів здійснюється в порядку та на умовах, передбачених Законом України «Про державну службу». При цьому період роботи (служби) зазначених осіб (у тому числі тих, яким присвоєні спеціальні звання) в органах доходів і зборів зараховується до стажу державної служби та до стажу роботи на посадах, віднесених до категорій посад державних службовців, що дає право на призначення пенсії відповідно до Закону України «Про державну службу», незалежно від місця роботи на час досягнення віку, передбаченого зазначеним Законом</w:t>
      </w:r>
      <w:r w:rsidRPr="0078696C">
        <w:rPr>
          <w:rStyle w:val="a8"/>
          <w:rFonts w:ascii="Times New Roman" w:eastAsia="Times New Roman" w:hAnsi="Times New Roman"/>
          <w:color w:val="000000"/>
          <w:sz w:val="28"/>
          <w:szCs w:val="28"/>
          <w:lang w:eastAsia="uk-UA"/>
        </w:rPr>
        <w:footnoteReference w:id="93"/>
      </w:r>
      <w:r w:rsidRPr="0078696C">
        <w:rPr>
          <w:rFonts w:ascii="Times New Roman" w:eastAsia="Times New Roman" w:hAnsi="Times New Roman"/>
          <w:color w:val="000000"/>
          <w:sz w:val="28"/>
          <w:szCs w:val="28"/>
          <w:lang w:eastAsia="uk-UA"/>
        </w:rPr>
        <w:t>.</w:t>
      </w:r>
    </w:p>
    <w:p w:rsidR="00C02EE8" w:rsidRPr="0078696C" w:rsidRDefault="00C02EE8" w:rsidP="00C02EE8">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судоустрій та статус суддів»</w:t>
      </w:r>
      <w:r w:rsidRPr="0078696C">
        <w:rPr>
          <w:rStyle w:val="a8"/>
          <w:rFonts w:ascii="Times New Roman" w:eastAsia="Times New Roman" w:hAnsi="Times New Roman"/>
          <w:color w:val="000000"/>
          <w:sz w:val="28"/>
          <w:szCs w:val="28"/>
          <w:lang w:eastAsia="uk-UA"/>
        </w:rPr>
        <w:footnoteReference w:id="94"/>
      </w:r>
      <w:r w:rsidRPr="0078696C">
        <w:rPr>
          <w:rFonts w:ascii="Times New Roman" w:eastAsia="Times New Roman" w:hAnsi="Times New Roman"/>
          <w:color w:val="000000"/>
          <w:sz w:val="28"/>
          <w:szCs w:val="28"/>
          <w:lang w:eastAsia="uk-UA"/>
        </w:rPr>
        <w:t xml:space="preserve"> встановлює особливий привілейований підхід щодо пенсійного забезпечення суддів, відмінний навіть від норм ЗУ «Про державну службу»</w:t>
      </w:r>
      <w:r w:rsidRPr="0078696C">
        <w:rPr>
          <w:rStyle w:val="a8"/>
          <w:rFonts w:ascii="Times New Roman" w:eastAsia="Times New Roman" w:hAnsi="Times New Roman"/>
          <w:color w:val="000000"/>
          <w:sz w:val="28"/>
          <w:szCs w:val="28"/>
          <w:lang w:eastAsia="uk-UA"/>
        </w:rPr>
        <w:footnoteReference w:id="95"/>
      </w:r>
      <w:r w:rsidRPr="0078696C">
        <w:rPr>
          <w:rFonts w:ascii="Times New Roman" w:eastAsia="Times New Roman" w:hAnsi="Times New Roman"/>
          <w:color w:val="000000"/>
          <w:sz w:val="28"/>
          <w:szCs w:val="28"/>
          <w:lang w:eastAsia="uk-UA"/>
        </w:rPr>
        <w:t xml:space="preserve">. Згідно </w:t>
      </w:r>
      <w:r w:rsidR="00611944" w:rsidRPr="0078696C">
        <w:rPr>
          <w:rFonts w:ascii="Times New Roman" w:eastAsia="Times New Roman" w:hAnsi="Times New Roman"/>
          <w:color w:val="000000"/>
          <w:sz w:val="28"/>
          <w:szCs w:val="28"/>
          <w:lang w:eastAsia="uk-UA"/>
        </w:rPr>
        <w:t xml:space="preserve">з </w:t>
      </w:r>
      <w:r w:rsidRPr="0078696C">
        <w:rPr>
          <w:rFonts w:ascii="Times New Roman" w:eastAsia="Times New Roman" w:hAnsi="Times New Roman"/>
          <w:color w:val="000000"/>
          <w:sz w:val="28"/>
          <w:szCs w:val="28"/>
          <w:lang w:eastAsia="uk-UA"/>
        </w:rPr>
        <w:t xml:space="preserve">ст. 142 зазначеного Закону передбачено, що суддя, який вийшов у відставку (після досягнення чоловіками віку 62 років, жінками </w:t>
      </w:r>
      <w:r w:rsidR="007846A8" w:rsidRPr="0078696C">
        <w:rPr>
          <w:rFonts w:ascii="Times New Roman" w:eastAsia="Times New Roman" w:hAnsi="Times New Roman"/>
          <w:color w:val="000000"/>
          <w:sz w:val="28"/>
          <w:szCs w:val="28"/>
          <w:lang w:eastAsia="uk-UA"/>
        </w:rPr>
        <w:t>–</w:t>
      </w:r>
      <w:r w:rsidRPr="0078696C">
        <w:rPr>
          <w:rFonts w:ascii="Times New Roman" w:eastAsia="Times New Roman" w:hAnsi="Times New Roman"/>
          <w:color w:val="000000"/>
          <w:sz w:val="28"/>
          <w:szCs w:val="28"/>
          <w:lang w:eastAsia="uk-UA"/>
        </w:rPr>
        <w:t xml:space="preserve"> пенсійного віку, встановленого статтею 26 Закону </w:t>
      </w:r>
      <w:r w:rsidRPr="0078696C">
        <w:rPr>
          <w:rFonts w:ascii="Times New Roman" w:eastAsia="Times New Roman" w:hAnsi="Times New Roman"/>
          <w:color w:val="000000"/>
          <w:sz w:val="28"/>
          <w:szCs w:val="28"/>
          <w:lang w:eastAsia="uk-UA"/>
        </w:rPr>
        <w:lastRenderedPageBreak/>
        <w:t xml:space="preserve">України «Про загальнообов’язкове державне пенсійне страхування»), має право вибору щодо отримання ним пенсії чи щомісячного довічного грошового утримання (яке виплачується судді у відставці, який не досяг пенсійного віку). Щомісячне довічне грошове утримання виплачується судді у відставці в розмірі 50 відсотків суддівської винагороди судді, який працює на відповідній посаді. За кожний повний рік роботи на посаді судді понад 20 років розмір щомісячного довічного грошового утримання збільшується на два відсотки грошового утримання судді. У разі зміни розміру складових суддівської винагороди судді, який працює на відповідній посаді, здійснюється перерахунок раніше призначеного щомісячного довічного грошового утримання. Пенсія або щомісячне довічне грошове утримання судді виплачується незалежно від заробітку (прибутку), отримуваного суддею після виходу у відставку. Щомісячне довічне грошове утримання суддям виплачується органами Пенсійного фонду України за рахунок коштів Державного бюджету України </w:t>
      </w:r>
      <w:r w:rsidRPr="0078696C">
        <w:rPr>
          <w:rStyle w:val="a8"/>
          <w:rFonts w:ascii="Times New Roman" w:eastAsia="Times New Roman" w:hAnsi="Times New Roman"/>
          <w:color w:val="000000"/>
          <w:sz w:val="28"/>
          <w:szCs w:val="28"/>
          <w:lang w:eastAsia="uk-UA"/>
        </w:rPr>
        <w:footnoteReference w:id="96"/>
      </w:r>
      <w:r w:rsidRPr="0078696C">
        <w:rPr>
          <w:rFonts w:ascii="Times New Roman" w:eastAsia="Times New Roman" w:hAnsi="Times New Roman"/>
          <w:color w:val="000000"/>
          <w:sz w:val="28"/>
          <w:szCs w:val="28"/>
          <w:lang w:eastAsia="uk-UA"/>
        </w:rPr>
        <w:t>.</w:t>
      </w:r>
    </w:p>
    <w:p w:rsidR="007A261C" w:rsidRPr="0078696C" w:rsidRDefault="00AF78D1" w:rsidP="003D48E0">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донорство крові та її компонентів»</w:t>
      </w:r>
      <w:r w:rsidRPr="0078696C">
        <w:rPr>
          <w:rFonts w:ascii="Times New Roman" w:eastAsia="Times New Roman" w:hAnsi="Times New Roman"/>
          <w:color w:val="000000"/>
          <w:sz w:val="28"/>
          <w:szCs w:val="28"/>
          <w:lang w:eastAsia="uk-UA"/>
        </w:rPr>
        <w:t>,</w:t>
      </w:r>
      <w:r w:rsidR="003D48E0" w:rsidRPr="0078696C">
        <w:rPr>
          <w:rFonts w:ascii="Times New Roman" w:eastAsia="Times New Roman" w:hAnsi="Times New Roman"/>
          <w:color w:val="000000"/>
          <w:sz w:val="28"/>
          <w:szCs w:val="28"/>
          <w:lang w:eastAsia="uk-UA"/>
        </w:rPr>
        <w:t xml:space="preserve">згідно </w:t>
      </w:r>
      <w:r w:rsidR="00611944" w:rsidRPr="0078696C">
        <w:rPr>
          <w:rFonts w:ascii="Times New Roman" w:eastAsia="Times New Roman" w:hAnsi="Times New Roman"/>
          <w:color w:val="000000"/>
          <w:sz w:val="28"/>
          <w:szCs w:val="28"/>
          <w:lang w:eastAsia="uk-UA"/>
        </w:rPr>
        <w:t xml:space="preserve">з </w:t>
      </w:r>
      <w:r w:rsidR="003D48E0" w:rsidRPr="0078696C">
        <w:rPr>
          <w:rFonts w:ascii="Times New Roman" w:eastAsia="Times New Roman" w:hAnsi="Times New Roman"/>
          <w:color w:val="000000"/>
          <w:sz w:val="28"/>
          <w:szCs w:val="28"/>
          <w:lang w:eastAsia="uk-UA"/>
        </w:rPr>
        <w:t xml:space="preserve">ст. 13 якого почесні донори України мають право на </w:t>
      </w:r>
      <w:r w:rsidR="00CD3530" w:rsidRPr="0078696C">
        <w:rPr>
          <w:rFonts w:ascii="Times New Roman" w:eastAsia="Times New Roman" w:hAnsi="Times New Roman"/>
          <w:color w:val="000000"/>
          <w:sz w:val="28"/>
          <w:szCs w:val="28"/>
          <w:lang w:eastAsia="uk-UA"/>
        </w:rPr>
        <w:t xml:space="preserve">отримання </w:t>
      </w:r>
      <w:r w:rsidR="003D48E0" w:rsidRPr="0078696C">
        <w:rPr>
          <w:rFonts w:ascii="Times New Roman" w:eastAsia="Times New Roman" w:hAnsi="Times New Roman"/>
          <w:color w:val="000000"/>
          <w:sz w:val="28"/>
          <w:szCs w:val="28"/>
          <w:lang w:eastAsia="uk-UA"/>
        </w:rPr>
        <w:t xml:space="preserve">надбавки до пенсії у розмірі 10 відсотків від затвердженого прожиткового мінімуму на одну особу в розрахунку на місяць </w:t>
      </w:r>
      <w:r w:rsidR="003D48E0" w:rsidRPr="0078696C">
        <w:rPr>
          <w:rStyle w:val="a8"/>
          <w:rFonts w:ascii="Times New Roman" w:eastAsia="Times New Roman" w:hAnsi="Times New Roman"/>
          <w:color w:val="000000"/>
          <w:sz w:val="28"/>
          <w:szCs w:val="28"/>
          <w:lang w:eastAsia="uk-UA"/>
        </w:rPr>
        <w:footnoteReference w:id="97"/>
      </w:r>
      <w:r w:rsidR="00F00873" w:rsidRPr="0078696C">
        <w:rPr>
          <w:rFonts w:ascii="Times New Roman" w:eastAsia="Times New Roman" w:hAnsi="Times New Roman"/>
          <w:color w:val="000000"/>
          <w:sz w:val="28"/>
          <w:szCs w:val="28"/>
          <w:lang w:eastAsia="uk-UA"/>
        </w:rPr>
        <w:t>.</w:t>
      </w:r>
    </w:p>
    <w:p w:rsidR="002F1648" w:rsidRPr="0078696C" w:rsidRDefault="00AF78D1" w:rsidP="00F03863">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статус гірських населених пунктів в Україні»</w:t>
      </w:r>
      <w:r w:rsidRPr="0078696C">
        <w:rPr>
          <w:rFonts w:ascii="Times New Roman" w:eastAsia="Times New Roman" w:hAnsi="Times New Roman"/>
          <w:color w:val="000000"/>
          <w:sz w:val="28"/>
          <w:szCs w:val="28"/>
          <w:lang w:eastAsia="uk-UA"/>
        </w:rPr>
        <w:t xml:space="preserve">, </w:t>
      </w:r>
      <w:r w:rsidR="00483E78" w:rsidRPr="0078696C">
        <w:rPr>
          <w:rFonts w:ascii="Times New Roman" w:eastAsia="Times New Roman" w:hAnsi="Times New Roman"/>
          <w:color w:val="000000"/>
          <w:sz w:val="28"/>
          <w:szCs w:val="28"/>
          <w:lang w:eastAsia="uk-UA"/>
        </w:rPr>
        <w:t xml:space="preserve">згідно </w:t>
      </w:r>
      <w:r w:rsidR="00611944" w:rsidRPr="0078696C">
        <w:rPr>
          <w:rFonts w:ascii="Times New Roman" w:eastAsia="Times New Roman" w:hAnsi="Times New Roman"/>
          <w:color w:val="000000"/>
          <w:sz w:val="28"/>
          <w:szCs w:val="28"/>
          <w:lang w:eastAsia="uk-UA"/>
        </w:rPr>
        <w:t xml:space="preserve">з </w:t>
      </w:r>
      <w:r w:rsidR="00483E78" w:rsidRPr="0078696C">
        <w:rPr>
          <w:rFonts w:ascii="Times New Roman" w:eastAsia="Times New Roman" w:hAnsi="Times New Roman"/>
          <w:color w:val="000000"/>
          <w:sz w:val="28"/>
          <w:szCs w:val="28"/>
          <w:lang w:eastAsia="uk-UA"/>
        </w:rPr>
        <w:t xml:space="preserve">ст. 6 якого розмір державних пенсій </w:t>
      </w:r>
      <w:r w:rsidR="002F1648" w:rsidRPr="0078696C">
        <w:rPr>
          <w:rFonts w:ascii="Times New Roman" w:eastAsia="Times New Roman" w:hAnsi="Times New Roman"/>
          <w:color w:val="000000"/>
          <w:sz w:val="28"/>
          <w:szCs w:val="28"/>
          <w:lang w:eastAsia="uk-UA"/>
        </w:rPr>
        <w:t>громадян</w:t>
      </w:r>
      <w:r w:rsidR="00483E78" w:rsidRPr="0078696C">
        <w:rPr>
          <w:rFonts w:ascii="Times New Roman" w:eastAsia="Times New Roman" w:hAnsi="Times New Roman"/>
          <w:color w:val="000000"/>
          <w:sz w:val="28"/>
          <w:szCs w:val="28"/>
          <w:lang w:eastAsia="uk-UA"/>
        </w:rPr>
        <w:t xml:space="preserve">ам, які одержали статус особи, що проживає на території населеного </w:t>
      </w:r>
      <w:r w:rsidR="002F1648" w:rsidRPr="0078696C">
        <w:rPr>
          <w:rFonts w:ascii="Times New Roman" w:eastAsia="Times New Roman" w:hAnsi="Times New Roman"/>
          <w:color w:val="000000"/>
          <w:sz w:val="28"/>
          <w:szCs w:val="28"/>
          <w:lang w:eastAsia="uk-UA"/>
        </w:rPr>
        <w:t>пункт</w:t>
      </w:r>
      <w:r w:rsidR="00483E78" w:rsidRPr="0078696C">
        <w:rPr>
          <w:rFonts w:ascii="Times New Roman" w:eastAsia="Times New Roman" w:hAnsi="Times New Roman"/>
          <w:color w:val="000000"/>
          <w:sz w:val="28"/>
          <w:szCs w:val="28"/>
          <w:lang w:eastAsia="uk-UA"/>
        </w:rPr>
        <w:t xml:space="preserve">у, якому надано статус </w:t>
      </w:r>
      <w:r w:rsidR="002F1648" w:rsidRPr="0078696C">
        <w:rPr>
          <w:rFonts w:ascii="Times New Roman" w:eastAsia="Times New Roman" w:hAnsi="Times New Roman"/>
          <w:color w:val="000000"/>
          <w:sz w:val="28"/>
          <w:szCs w:val="28"/>
          <w:lang w:eastAsia="uk-UA"/>
        </w:rPr>
        <w:t>гірського, збільшується на 20 відсотків</w:t>
      </w:r>
      <w:r w:rsidR="00517B29" w:rsidRPr="0078696C">
        <w:rPr>
          <w:rStyle w:val="a8"/>
          <w:rFonts w:ascii="Times New Roman" w:eastAsia="Times New Roman" w:hAnsi="Times New Roman"/>
          <w:color w:val="000000"/>
          <w:sz w:val="28"/>
          <w:szCs w:val="28"/>
          <w:lang w:eastAsia="uk-UA"/>
        </w:rPr>
        <w:footnoteReference w:id="98"/>
      </w:r>
      <w:r w:rsidR="002F1648" w:rsidRPr="0078696C">
        <w:rPr>
          <w:rFonts w:ascii="Times New Roman" w:eastAsia="Times New Roman" w:hAnsi="Times New Roman"/>
          <w:color w:val="000000"/>
          <w:sz w:val="28"/>
          <w:szCs w:val="28"/>
          <w:lang w:eastAsia="uk-UA"/>
        </w:rPr>
        <w:t>.</w:t>
      </w:r>
    </w:p>
    <w:p w:rsidR="00F03863" w:rsidRPr="0078696C" w:rsidRDefault="00AF78D1" w:rsidP="00CD3530">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державну підтримку засобів масової інформації та соціальний захист журналістів»</w:t>
      </w:r>
      <w:r w:rsidR="00C14075" w:rsidRPr="0078696C">
        <w:rPr>
          <w:rFonts w:ascii="Times New Roman" w:eastAsia="Times New Roman" w:hAnsi="Times New Roman"/>
          <w:color w:val="000000"/>
          <w:sz w:val="28"/>
          <w:szCs w:val="28"/>
          <w:lang w:eastAsia="uk-UA"/>
        </w:rPr>
        <w:t xml:space="preserve">, згідно </w:t>
      </w:r>
      <w:r w:rsidR="00611944" w:rsidRPr="0078696C">
        <w:rPr>
          <w:rFonts w:ascii="Times New Roman" w:eastAsia="Times New Roman" w:hAnsi="Times New Roman"/>
          <w:color w:val="000000"/>
          <w:sz w:val="28"/>
          <w:szCs w:val="28"/>
          <w:lang w:eastAsia="uk-UA"/>
        </w:rPr>
        <w:t xml:space="preserve">з </w:t>
      </w:r>
      <w:r w:rsidR="00C14075" w:rsidRPr="0078696C">
        <w:rPr>
          <w:rFonts w:ascii="Times New Roman" w:eastAsia="Times New Roman" w:hAnsi="Times New Roman"/>
          <w:color w:val="000000"/>
          <w:sz w:val="28"/>
          <w:szCs w:val="28"/>
          <w:lang w:eastAsia="uk-UA"/>
        </w:rPr>
        <w:t xml:space="preserve">ст. 16 якого передбачено, що </w:t>
      </w:r>
      <w:r w:rsidR="00D76179" w:rsidRPr="0078696C">
        <w:rPr>
          <w:rFonts w:ascii="Times New Roman" w:eastAsia="Times New Roman" w:hAnsi="Times New Roman"/>
          <w:color w:val="000000"/>
          <w:sz w:val="28"/>
          <w:szCs w:val="28"/>
          <w:lang w:eastAsia="uk-UA"/>
        </w:rPr>
        <w:t>п</w:t>
      </w:r>
      <w:r w:rsidR="00F03863" w:rsidRPr="0078696C">
        <w:rPr>
          <w:rFonts w:ascii="Times New Roman" w:eastAsia="Times New Roman" w:hAnsi="Times New Roman"/>
          <w:color w:val="000000"/>
          <w:sz w:val="28"/>
          <w:szCs w:val="28"/>
          <w:lang w:eastAsia="uk-UA"/>
        </w:rPr>
        <w:t>енсійне забезпечення працівників засобів масової інформації здійснюєтьс</w:t>
      </w:r>
      <w:r w:rsidR="00D76179" w:rsidRPr="0078696C">
        <w:rPr>
          <w:rFonts w:ascii="Times New Roman" w:eastAsia="Times New Roman" w:hAnsi="Times New Roman"/>
          <w:color w:val="000000"/>
          <w:sz w:val="28"/>
          <w:szCs w:val="28"/>
          <w:lang w:eastAsia="uk-UA"/>
        </w:rPr>
        <w:t>я відповідно до Закону України «</w:t>
      </w:r>
      <w:r w:rsidR="00F03863" w:rsidRPr="0078696C">
        <w:rPr>
          <w:rFonts w:ascii="Times New Roman" w:eastAsia="Times New Roman" w:hAnsi="Times New Roman"/>
          <w:color w:val="000000"/>
          <w:sz w:val="28"/>
          <w:szCs w:val="28"/>
          <w:lang w:eastAsia="uk-UA"/>
        </w:rPr>
        <w:t>Про загальнообов’язков</w:t>
      </w:r>
      <w:r w:rsidR="00D76179" w:rsidRPr="0078696C">
        <w:rPr>
          <w:rFonts w:ascii="Times New Roman" w:eastAsia="Times New Roman" w:hAnsi="Times New Roman"/>
          <w:color w:val="000000"/>
          <w:sz w:val="28"/>
          <w:szCs w:val="28"/>
          <w:lang w:eastAsia="uk-UA"/>
        </w:rPr>
        <w:t>е державне пенсійне страхування»</w:t>
      </w:r>
      <w:r w:rsidR="00F03863" w:rsidRPr="0078696C">
        <w:rPr>
          <w:rFonts w:ascii="Times New Roman" w:eastAsia="Times New Roman" w:hAnsi="Times New Roman"/>
          <w:color w:val="000000"/>
          <w:sz w:val="28"/>
          <w:szCs w:val="28"/>
          <w:lang w:eastAsia="uk-UA"/>
        </w:rPr>
        <w:t>.</w:t>
      </w:r>
      <w:r w:rsidR="00777771">
        <w:rPr>
          <w:rFonts w:ascii="Times New Roman" w:eastAsia="Times New Roman" w:hAnsi="Times New Roman"/>
          <w:color w:val="000000"/>
          <w:sz w:val="28"/>
          <w:szCs w:val="28"/>
          <w:lang w:eastAsia="uk-UA"/>
        </w:rPr>
        <w:t xml:space="preserve"> </w:t>
      </w:r>
      <w:r w:rsidR="00F03863" w:rsidRPr="0078696C">
        <w:rPr>
          <w:rFonts w:ascii="Times New Roman" w:eastAsia="Times New Roman" w:hAnsi="Times New Roman"/>
          <w:color w:val="000000"/>
          <w:sz w:val="28"/>
          <w:szCs w:val="28"/>
          <w:lang w:eastAsia="uk-UA"/>
        </w:rPr>
        <w:lastRenderedPageBreak/>
        <w:t>У разі поранення, контузії, каліцтва, одержаних під час виконання службових обов’язків у місцях надзвичайних подій, журналіст або прирівняний до нього працівник має право на призначення дострокової пенсії за віко</w:t>
      </w:r>
      <w:r w:rsidR="00C14075" w:rsidRPr="0078696C">
        <w:rPr>
          <w:rFonts w:ascii="Times New Roman" w:eastAsia="Times New Roman" w:hAnsi="Times New Roman"/>
          <w:color w:val="000000"/>
          <w:sz w:val="28"/>
          <w:szCs w:val="28"/>
          <w:lang w:eastAsia="uk-UA"/>
        </w:rPr>
        <w:t>м відповідно до Закону України «</w:t>
      </w:r>
      <w:r w:rsidR="00F03863" w:rsidRPr="0078696C">
        <w:rPr>
          <w:rFonts w:ascii="Times New Roman" w:eastAsia="Times New Roman" w:hAnsi="Times New Roman"/>
          <w:color w:val="000000"/>
          <w:sz w:val="28"/>
          <w:szCs w:val="28"/>
          <w:lang w:eastAsia="uk-UA"/>
        </w:rPr>
        <w:t>Про загальнообов’язков</w:t>
      </w:r>
      <w:r w:rsidR="00C14075" w:rsidRPr="0078696C">
        <w:rPr>
          <w:rFonts w:ascii="Times New Roman" w:eastAsia="Times New Roman" w:hAnsi="Times New Roman"/>
          <w:color w:val="000000"/>
          <w:sz w:val="28"/>
          <w:szCs w:val="28"/>
          <w:lang w:eastAsia="uk-UA"/>
        </w:rPr>
        <w:t>е державне пенсійне страхування»</w:t>
      </w:r>
      <w:r w:rsidR="00F03863" w:rsidRPr="0078696C">
        <w:rPr>
          <w:rFonts w:ascii="Times New Roman" w:eastAsia="Times New Roman" w:hAnsi="Times New Roman"/>
          <w:color w:val="000000"/>
          <w:sz w:val="28"/>
          <w:szCs w:val="28"/>
          <w:lang w:eastAsia="uk-UA"/>
        </w:rPr>
        <w:t xml:space="preserve">, але не раніше ніж за п’ять років до досягнення чоловіками </w:t>
      </w:r>
      <w:r w:rsidR="00C14075" w:rsidRPr="0078696C">
        <w:rPr>
          <w:rFonts w:ascii="Times New Roman" w:eastAsia="Times New Roman" w:hAnsi="Times New Roman"/>
          <w:color w:val="000000"/>
          <w:sz w:val="28"/>
          <w:szCs w:val="28"/>
          <w:lang w:eastAsia="uk-UA"/>
        </w:rPr>
        <w:t>–</w:t>
      </w:r>
      <w:r w:rsidR="00F03863" w:rsidRPr="0078696C">
        <w:rPr>
          <w:rFonts w:ascii="Times New Roman" w:eastAsia="Times New Roman" w:hAnsi="Times New Roman"/>
          <w:color w:val="000000"/>
          <w:sz w:val="28"/>
          <w:szCs w:val="28"/>
          <w:lang w:eastAsia="uk-UA"/>
        </w:rPr>
        <w:t xml:space="preserve"> 60 років, жінками </w:t>
      </w:r>
      <w:r w:rsidR="00C14075" w:rsidRPr="0078696C">
        <w:rPr>
          <w:rFonts w:ascii="Times New Roman" w:eastAsia="Times New Roman" w:hAnsi="Times New Roman"/>
          <w:color w:val="000000"/>
          <w:sz w:val="28"/>
          <w:szCs w:val="28"/>
          <w:lang w:eastAsia="uk-UA"/>
        </w:rPr>
        <w:t xml:space="preserve">– </w:t>
      </w:r>
      <w:r w:rsidR="00F03863" w:rsidRPr="0078696C">
        <w:rPr>
          <w:rFonts w:ascii="Times New Roman" w:eastAsia="Times New Roman" w:hAnsi="Times New Roman"/>
          <w:color w:val="000000"/>
          <w:sz w:val="28"/>
          <w:szCs w:val="28"/>
          <w:lang w:eastAsia="uk-UA"/>
        </w:rPr>
        <w:t xml:space="preserve">55 років, за наявності страхового стажу не менше 25 років </w:t>
      </w:r>
      <w:r w:rsidR="00C14075" w:rsidRPr="0078696C">
        <w:rPr>
          <w:rFonts w:ascii="Times New Roman" w:eastAsia="Times New Roman" w:hAnsi="Times New Roman"/>
          <w:color w:val="000000"/>
          <w:sz w:val="28"/>
          <w:szCs w:val="28"/>
          <w:lang w:eastAsia="uk-UA"/>
        </w:rPr>
        <w:t>–</w:t>
      </w:r>
      <w:r w:rsidR="00F03863" w:rsidRPr="0078696C">
        <w:rPr>
          <w:rFonts w:ascii="Times New Roman" w:eastAsia="Times New Roman" w:hAnsi="Times New Roman"/>
          <w:color w:val="000000"/>
          <w:sz w:val="28"/>
          <w:szCs w:val="28"/>
          <w:lang w:eastAsia="uk-UA"/>
        </w:rPr>
        <w:t xml:space="preserve"> для чоловіків і не менше 20 років </w:t>
      </w:r>
      <w:r w:rsidR="00C14075" w:rsidRPr="0078696C">
        <w:rPr>
          <w:rFonts w:ascii="Times New Roman" w:eastAsia="Times New Roman" w:hAnsi="Times New Roman"/>
          <w:color w:val="000000"/>
          <w:sz w:val="28"/>
          <w:szCs w:val="28"/>
          <w:lang w:eastAsia="uk-UA"/>
        </w:rPr>
        <w:t>–</w:t>
      </w:r>
      <w:r w:rsidR="00F03863" w:rsidRPr="0078696C">
        <w:rPr>
          <w:rFonts w:ascii="Times New Roman" w:eastAsia="Times New Roman" w:hAnsi="Times New Roman"/>
          <w:color w:val="000000"/>
          <w:sz w:val="28"/>
          <w:szCs w:val="28"/>
          <w:lang w:eastAsia="uk-UA"/>
        </w:rPr>
        <w:t xml:space="preserve"> для жінок</w:t>
      </w:r>
      <w:r w:rsidR="00C14075" w:rsidRPr="0078696C">
        <w:rPr>
          <w:rFonts w:ascii="Times New Roman" w:eastAsia="Times New Roman" w:hAnsi="Times New Roman"/>
          <w:color w:val="000000"/>
          <w:sz w:val="28"/>
          <w:szCs w:val="28"/>
          <w:vertAlign w:val="superscript"/>
          <w:lang w:eastAsia="uk-UA"/>
        </w:rPr>
        <w:footnoteReference w:id="99"/>
      </w:r>
      <w:r w:rsidR="00F03863" w:rsidRPr="0078696C">
        <w:rPr>
          <w:rFonts w:ascii="Times New Roman" w:eastAsia="Times New Roman" w:hAnsi="Times New Roman"/>
          <w:color w:val="000000"/>
          <w:sz w:val="28"/>
          <w:szCs w:val="28"/>
          <w:lang w:eastAsia="uk-UA"/>
        </w:rPr>
        <w:t>.</w:t>
      </w:r>
    </w:p>
    <w:p w:rsidR="0038469C" w:rsidRPr="0078696C" w:rsidRDefault="00AF78D1" w:rsidP="00EA0488">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eastAsia="Times New Roman" w:hAnsi="Times New Roman"/>
          <w:i/>
          <w:color w:val="000000"/>
          <w:sz w:val="28"/>
          <w:szCs w:val="28"/>
          <w:lang w:eastAsia="uk-UA"/>
        </w:rPr>
        <w:t>«Про пенсії за о</w:t>
      </w:r>
      <w:r w:rsidR="002F0C55" w:rsidRPr="0078696C">
        <w:rPr>
          <w:rFonts w:ascii="Times New Roman" w:eastAsia="Times New Roman" w:hAnsi="Times New Roman"/>
          <w:i/>
          <w:color w:val="000000"/>
          <w:sz w:val="28"/>
          <w:szCs w:val="28"/>
          <w:lang w:eastAsia="uk-UA"/>
        </w:rPr>
        <w:t>собливі заслуги перед Україною»</w:t>
      </w:r>
      <w:r w:rsidR="002F0C55" w:rsidRPr="0078696C">
        <w:rPr>
          <w:rFonts w:ascii="Times New Roman" w:eastAsia="Times New Roman" w:hAnsi="Times New Roman"/>
          <w:color w:val="000000"/>
          <w:sz w:val="28"/>
          <w:szCs w:val="28"/>
          <w:lang w:eastAsia="uk-UA"/>
        </w:rPr>
        <w:t xml:space="preserve">: </w:t>
      </w:r>
      <w:r w:rsidR="002F0C55" w:rsidRPr="0078696C">
        <w:rPr>
          <w:rFonts w:ascii="Times New Roman" w:hAnsi="Times New Roman"/>
          <w:color w:val="000000"/>
          <w:sz w:val="28"/>
          <w:szCs w:val="28"/>
        </w:rPr>
        <w:t>визначає</w:t>
      </w:r>
      <w:r w:rsidR="0038469C" w:rsidRPr="0078696C">
        <w:rPr>
          <w:rFonts w:ascii="Times New Roman" w:hAnsi="Times New Roman"/>
          <w:color w:val="000000"/>
          <w:sz w:val="28"/>
          <w:szCs w:val="28"/>
        </w:rPr>
        <w:t xml:space="preserve"> порядок встановлення надбавок до пенсій громадянам, які мають значні заслуги у сфері державної, громадської або господарської діяльності, досягнення у галузі науки, культури, освіти, охорони здоров'я, фізичної культури і спорту тощо.</w:t>
      </w:r>
      <w:r w:rsidR="002F0C55" w:rsidRPr="0078696C">
        <w:rPr>
          <w:rFonts w:ascii="Times New Roman" w:hAnsi="Times New Roman"/>
          <w:color w:val="000000"/>
          <w:sz w:val="28"/>
          <w:szCs w:val="28"/>
        </w:rPr>
        <w:t xml:space="preserve"> Надбавки встановлюється у розмірі</w:t>
      </w:r>
      <w:r w:rsidR="00777771">
        <w:rPr>
          <w:rFonts w:ascii="Times New Roman" w:hAnsi="Times New Roman"/>
          <w:color w:val="000000"/>
          <w:sz w:val="28"/>
          <w:szCs w:val="28"/>
        </w:rPr>
        <w:t xml:space="preserve"> </w:t>
      </w:r>
      <w:r w:rsidR="002F0C55" w:rsidRPr="0078696C">
        <w:rPr>
          <w:rFonts w:ascii="Times New Roman" w:hAnsi="Times New Roman"/>
          <w:color w:val="000000"/>
          <w:sz w:val="28"/>
          <w:szCs w:val="28"/>
        </w:rPr>
        <w:t xml:space="preserve">від 20 до 40 відсотків розміру прожиткового мінімуму, визначеного для осіб, які втратили працездатність, в залежності від ступеня заслуг особи </w:t>
      </w:r>
      <w:r w:rsidR="002F0C55" w:rsidRPr="0078696C">
        <w:rPr>
          <w:rStyle w:val="a8"/>
          <w:rFonts w:ascii="Times New Roman" w:hAnsi="Times New Roman"/>
          <w:color w:val="000000"/>
          <w:sz w:val="28"/>
          <w:szCs w:val="28"/>
        </w:rPr>
        <w:footnoteReference w:id="100"/>
      </w:r>
      <w:r w:rsidR="002F0C55" w:rsidRPr="0078696C">
        <w:rPr>
          <w:rFonts w:ascii="Times New Roman" w:hAnsi="Times New Roman"/>
          <w:color w:val="000000"/>
          <w:sz w:val="28"/>
          <w:szCs w:val="28"/>
        </w:rPr>
        <w:t>.</w:t>
      </w:r>
    </w:p>
    <w:p w:rsidR="007A261C" w:rsidRPr="0078696C" w:rsidRDefault="00AF78D1" w:rsidP="00AF78D1">
      <w:pPr>
        <w:tabs>
          <w:tab w:val="left" w:pos="0"/>
        </w:tabs>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«Про підвищення престижності шахтарської праці»</w:t>
      </w:r>
      <w:r w:rsidRPr="0078696C">
        <w:rPr>
          <w:rFonts w:ascii="Times New Roman" w:eastAsia="Times New Roman" w:hAnsi="Times New Roman"/>
          <w:color w:val="000000"/>
          <w:sz w:val="28"/>
          <w:szCs w:val="28"/>
          <w:lang w:eastAsia="uk-UA"/>
        </w:rPr>
        <w:t>,</w:t>
      </w:r>
      <w:r w:rsidR="00F733F6" w:rsidRPr="0078696C">
        <w:rPr>
          <w:rFonts w:ascii="Times New Roman" w:eastAsia="Times New Roman" w:hAnsi="Times New Roman"/>
          <w:color w:val="000000"/>
          <w:sz w:val="28"/>
          <w:szCs w:val="28"/>
          <w:lang w:eastAsia="uk-UA"/>
        </w:rPr>
        <w:t xml:space="preserve"> з</w:t>
      </w:r>
      <w:r w:rsidR="0001565E" w:rsidRPr="0078696C">
        <w:rPr>
          <w:rFonts w:ascii="Times New Roman" w:eastAsia="Times New Roman" w:hAnsi="Times New Roman"/>
          <w:color w:val="000000"/>
          <w:sz w:val="28"/>
          <w:szCs w:val="28"/>
          <w:lang w:eastAsia="uk-UA"/>
        </w:rPr>
        <w:t>гідно ст. 8 якого мінімальний розмір пенсії шахтарям, які відпрацювали на підземних роботах не менш як 15 років для чоловіків та 7,5 років для жінок за списком № 1 виробництв, робіт, професій, посад і показників, затвердженим Кабінетом Міністрів України, встановлюється незалежно від місця останньої роботи, у розмірі 80 відсотків його заробітної плати (доходу), визначеної відповід</w:t>
      </w:r>
      <w:r w:rsidR="00BF0EEA" w:rsidRPr="0078696C">
        <w:rPr>
          <w:rFonts w:ascii="Times New Roman" w:eastAsia="Times New Roman" w:hAnsi="Times New Roman"/>
          <w:color w:val="000000"/>
          <w:sz w:val="28"/>
          <w:szCs w:val="28"/>
          <w:lang w:eastAsia="uk-UA"/>
        </w:rPr>
        <w:t>но до статті 40 Закону України «</w:t>
      </w:r>
      <w:r w:rsidR="0001565E" w:rsidRPr="0078696C">
        <w:rPr>
          <w:rFonts w:ascii="Times New Roman" w:eastAsia="Times New Roman" w:hAnsi="Times New Roman"/>
          <w:color w:val="000000"/>
          <w:sz w:val="28"/>
          <w:szCs w:val="28"/>
          <w:lang w:eastAsia="uk-UA"/>
        </w:rPr>
        <w:t>Про загальнообов’язков</w:t>
      </w:r>
      <w:r w:rsidR="00BF0EEA" w:rsidRPr="0078696C">
        <w:rPr>
          <w:rFonts w:ascii="Times New Roman" w:eastAsia="Times New Roman" w:hAnsi="Times New Roman"/>
          <w:color w:val="000000"/>
          <w:sz w:val="28"/>
          <w:szCs w:val="28"/>
          <w:lang w:eastAsia="uk-UA"/>
        </w:rPr>
        <w:t>е державне пенсійне страхування»</w:t>
      </w:r>
      <w:r w:rsidR="0001565E" w:rsidRPr="0078696C">
        <w:rPr>
          <w:rFonts w:ascii="Times New Roman" w:eastAsia="Times New Roman" w:hAnsi="Times New Roman"/>
          <w:color w:val="000000"/>
          <w:sz w:val="28"/>
          <w:szCs w:val="28"/>
          <w:lang w:eastAsia="uk-UA"/>
        </w:rPr>
        <w:t>, з якої обчислюється пенсія, але не менш як три розміри прожиткового мінімуму, встановленого для осіб, які втратили працездатність. Для обчислення розміру пенсій за віком за кожний повний рік стажу роботи на підземних роботах до страхового стажу додатково зараховується по одному року</w:t>
      </w:r>
      <w:r w:rsidR="0001565E" w:rsidRPr="0078696C">
        <w:rPr>
          <w:rStyle w:val="a8"/>
          <w:rFonts w:ascii="Times New Roman" w:eastAsia="Times New Roman" w:hAnsi="Times New Roman"/>
          <w:color w:val="000000"/>
          <w:sz w:val="28"/>
          <w:szCs w:val="28"/>
          <w:lang w:eastAsia="uk-UA"/>
        </w:rPr>
        <w:footnoteReference w:id="101"/>
      </w:r>
      <w:r w:rsidR="0001565E" w:rsidRPr="0078696C">
        <w:rPr>
          <w:rFonts w:ascii="Times New Roman" w:eastAsia="Times New Roman" w:hAnsi="Times New Roman"/>
          <w:color w:val="000000"/>
          <w:sz w:val="28"/>
          <w:szCs w:val="28"/>
          <w:lang w:eastAsia="uk-UA"/>
        </w:rPr>
        <w:t>.</w:t>
      </w:r>
    </w:p>
    <w:p w:rsidR="00AF78D1" w:rsidRPr="0078696C" w:rsidRDefault="00AF78D1" w:rsidP="000E323C">
      <w:pPr>
        <w:numPr>
          <w:ilvl w:val="0"/>
          <w:numId w:val="5"/>
        </w:numPr>
        <w:tabs>
          <w:tab w:val="left" w:pos="0"/>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hAnsi="Times New Roman"/>
          <w:i/>
          <w:color w:val="000000"/>
          <w:sz w:val="28"/>
          <w:szCs w:val="28"/>
        </w:rPr>
        <w:lastRenderedPageBreak/>
        <w:t>За змістом</w:t>
      </w:r>
      <w:r w:rsidRPr="0078696C">
        <w:rPr>
          <w:rFonts w:ascii="Times New Roman" w:hAnsi="Times New Roman"/>
          <w:color w:val="000000"/>
          <w:sz w:val="28"/>
          <w:szCs w:val="28"/>
        </w:rPr>
        <w:t xml:space="preserve"> нормативно-правові акти можуть бути класифіковані на галузеві і комплексні.</w:t>
      </w:r>
    </w:p>
    <w:p w:rsidR="00A874AA" w:rsidRPr="0078696C" w:rsidRDefault="00AF78D1" w:rsidP="00A874AA">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eastAsia="Times New Roman" w:hAnsi="Times New Roman"/>
          <w:color w:val="000000"/>
          <w:sz w:val="28"/>
          <w:szCs w:val="28"/>
          <w:lang w:eastAsia="uk-UA"/>
        </w:rPr>
        <w:t xml:space="preserve">До числа </w:t>
      </w:r>
      <w:r w:rsidRPr="0078696C">
        <w:rPr>
          <w:rFonts w:ascii="Times New Roman" w:eastAsia="Times New Roman" w:hAnsi="Times New Roman"/>
          <w:i/>
          <w:color w:val="000000"/>
          <w:sz w:val="28"/>
          <w:szCs w:val="28"/>
          <w:lang w:eastAsia="uk-UA"/>
        </w:rPr>
        <w:t>галузевих законів</w:t>
      </w:r>
      <w:r w:rsidRPr="0078696C">
        <w:rPr>
          <w:rFonts w:ascii="Times New Roman" w:eastAsia="Times New Roman" w:hAnsi="Times New Roman"/>
          <w:color w:val="000000"/>
          <w:sz w:val="28"/>
          <w:szCs w:val="28"/>
          <w:lang w:eastAsia="uk-UA"/>
        </w:rPr>
        <w:t xml:space="preserve"> відносять такі, що регулюють суспільні відносини щодо пенсійного забезпечення категорії працівників певної галузі. Наприклад, пенсійне забезпечення військовослужбовців, осіб начальницького і рядового складу органів внутрішніх справ і деяких інших осіб. У </w:t>
      </w:r>
      <w:r w:rsidRPr="0078696C">
        <w:rPr>
          <w:rFonts w:ascii="Times New Roman" w:eastAsia="Times New Roman" w:hAnsi="Times New Roman"/>
          <w:i/>
          <w:color w:val="000000"/>
          <w:sz w:val="28"/>
          <w:szCs w:val="28"/>
          <w:lang w:eastAsia="uk-UA"/>
        </w:rPr>
        <w:t>комплексних нормативних актах</w:t>
      </w:r>
      <w:r w:rsidRPr="0078696C">
        <w:rPr>
          <w:rFonts w:ascii="Times New Roman" w:eastAsia="Times New Roman" w:hAnsi="Times New Roman"/>
          <w:color w:val="000000"/>
          <w:sz w:val="28"/>
          <w:szCs w:val="28"/>
          <w:lang w:eastAsia="uk-UA"/>
        </w:rPr>
        <w:t xml:space="preserve"> містяться норми, які належать до декількох галузей права. Наприклад, Закон України «Про державну службу»</w:t>
      </w:r>
      <w:r w:rsidR="00340C2F" w:rsidRPr="0078696C">
        <w:rPr>
          <w:rStyle w:val="a8"/>
          <w:rFonts w:ascii="Times New Roman" w:eastAsia="Times New Roman" w:hAnsi="Times New Roman"/>
          <w:color w:val="000000"/>
          <w:sz w:val="28"/>
          <w:szCs w:val="28"/>
          <w:lang w:eastAsia="uk-UA"/>
        </w:rPr>
        <w:footnoteReference w:id="102"/>
      </w:r>
      <w:r w:rsidRPr="0078696C">
        <w:rPr>
          <w:rFonts w:ascii="Times New Roman" w:eastAsia="Times New Roman" w:hAnsi="Times New Roman"/>
          <w:color w:val="000000"/>
          <w:sz w:val="28"/>
          <w:szCs w:val="28"/>
          <w:lang w:eastAsia="uk-UA"/>
        </w:rPr>
        <w:t>, Закон України «Про прокуратуру»</w:t>
      </w:r>
      <w:r w:rsidR="00340C2F" w:rsidRPr="0078696C">
        <w:rPr>
          <w:rStyle w:val="a8"/>
          <w:rFonts w:ascii="Times New Roman" w:eastAsia="Times New Roman" w:hAnsi="Times New Roman"/>
          <w:color w:val="000000"/>
          <w:sz w:val="28"/>
          <w:szCs w:val="28"/>
          <w:lang w:eastAsia="uk-UA"/>
        </w:rPr>
        <w:footnoteReference w:id="103"/>
      </w:r>
      <w:r w:rsidRPr="0078696C">
        <w:rPr>
          <w:rFonts w:ascii="Times New Roman" w:eastAsia="Times New Roman" w:hAnsi="Times New Roman"/>
          <w:color w:val="000000"/>
          <w:sz w:val="28"/>
          <w:szCs w:val="28"/>
          <w:lang w:eastAsia="uk-UA"/>
        </w:rPr>
        <w:t>, «Про судоустрій та статус суддів»</w:t>
      </w:r>
      <w:r w:rsidR="00340C2F" w:rsidRPr="0078696C">
        <w:rPr>
          <w:rStyle w:val="a8"/>
          <w:rFonts w:ascii="Times New Roman" w:eastAsia="Times New Roman" w:hAnsi="Times New Roman"/>
          <w:color w:val="000000"/>
          <w:sz w:val="28"/>
          <w:szCs w:val="28"/>
          <w:lang w:eastAsia="uk-UA"/>
        </w:rPr>
        <w:footnoteReference w:id="104"/>
      </w:r>
      <w:r w:rsidRPr="0078696C">
        <w:rPr>
          <w:rFonts w:ascii="Times New Roman" w:eastAsia="Times New Roman" w:hAnsi="Times New Roman"/>
          <w:color w:val="000000"/>
          <w:sz w:val="28"/>
          <w:szCs w:val="28"/>
          <w:lang w:eastAsia="uk-UA"/>
        </w:rPr>
        <w:t xml:space="preserve"> входять не тільки до системи пенсійного забезпечення, а й трудового, адміністративного права</w:t>
      </w:r>
      <w:r w:rsidRPr="0078696C">
        <w:rPr>
          <w:rFonts w:ascii="Times New Roman" w:eastAsia="Times New Roman" w:hAnsi="Times New Roman"/>
          <w:color w:val="000000"/>
          <w:sz w:val="28"/>
          <w:szCs w:val="28"/>
          <w:vertAlign w:val="superscript"/>
          <w:lang w:eastAsia="uk-UA"/>
        </w:rPr>
        <w:footnoteReference w:id="105"/>
      </w:r>
      <w:r w:rsidRPr="0078696C">
        <w:rPr>
          <w:rFonts w:ascii="Times New Roman" w:eastAsia="Times New Roman" w:hAnsi="Times New Roman"/>
          <w:color w:val="000000"/>
          <w:sz w:val="28"/>
          <w:szCs w:val="28"/>
          <w:lang w:eastAsia="uk-UA"/>
        </w:rPr>
        <w:t>.</w:t>
      </w:r>
    </w:p>
    <w:p w:rsidR="00A874AA" w:rsidRPr="0078696C" w:rsidRDefault="00AF78D1" w:rsidP="002D4723">
      <w:pPr>
        <w:numPr>
          <w:ilvl w:val="0"/>
          <w:numId w:val="5"/>
        </w:numPr>
        <w:tabs>
          <w:tab w:val="left" w:pos="0"/>
        </w:tabs>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Залежно від фінансових джерел</w:t>
      </w:r>
      <w:r w:rsidRPr="0078696C">
        <w:rPr>
          <w:rFonts w:ascii="Times New Roman" w:hAnsi="Times New Roman"/>
          <w:color w:val="000000"/>
          <w:sz w:val="28"/>
          <w:szCs w:val="28"/>
        </w:rPr>
        <w:t>, за рахунок яких здійснюється пенсійне забезпечення, розрізняють правові акти, що регулюють пенсійне забезпечення за рахунок сплати загальнообов’язкових страхових внесків (тобто за рахунок власних надходжень до ПФУ), за рахунок бюджетних асигнувань (тобто за рахунок дотацій із державного бюджету), за рахунок власних коштів громадян (недержавне пенсійне забезпечення), за рахунок коштів підприємств, установ, організацій (витрати на відшкодування та виплату пільгових пенсій).</w:t>
      </w:r>
    </w:p>
    <w:p w:rsidR="00AF78D1" w:rsidRPr="0078696C" w:rsidRDefault="00AF78D1" w:rsidP="00AF78D1">
      <w:pPr>
        <w:tabs>
          <w:tab w:val="left" w:pos="0"/>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проведений аналіз дає підстави стверджувати, що поняття «джерело пенсійного забезпечення» є значно вужчим поняття «джерело права» та має характерні особливості: приймається компетентними органами державної влади, органами місцевого самоврядування, а також підприємствами, установами, організаціями (незалежно від форми власності), регулює специфічну сферу суспільних відносин та поширюється на конкретне коло осіб.</w:t>
      </w:r>
    </w:p>
    <w:p w:rsidR="00AF78D1" w:rsidRPr="0078696C" w:rsidRDefault="005301E9" w:rsidP="005301E9">
      <w:pPr>
        <w:spacing w:after="0" w:line="240" w:lineRule="auto"/>
        <w:rPr>
          <w:rFonts w:ascii="Times New Roman" w:hAnsi="Times New Roman"/>
          <w:b/>
          <w:color w:val="000000"/>
          <w:sz w:val="28"/>
          <w:szCs w:val="28"/>
        </w:rPr>
      </w:pPr>
      <w:r>
        <w:rPr>
          <w:rFonts w:ascii="Times New Roman" w:hAnsi="Times New Roman"/>
          <w:b/>
          <w:color w:val="000000"/>
          <w:sz w:val="28"/>
          <w:szCs w:val="28"/>
        </w:rPr>
        <w:br w:type="page"/>
      </w:r>
    </w:p>
    <w:p w:rsidR="0069556D" w:rsidRPr="0078696C" w:rsidRDefault="00AF78D1" w:rsidP="00AF78D1">
      <w:pPr>
        <w:tabs>
          <w:tab w:val="left" w:pos="1276"/>
        </w:tabs>
        <w:spacing w:after="0" w:line="360" w:lineRule="auto"/>
        <w:ind w:firstLine="709"/>
        <w:contextualSpacing/>
        <w:jc w:val="both"/>
        <w:rPr>
          <w:rFonts w:ascii="Times New Roman" w:hAnsi="Times New Roman"/>
          <w:b/>
          <w:color w:val="000000"/>
          <w:sz w:val="28"/>
          <w:szCs w:val="28"/>
        </w:rPr>
      </w:pPr>
      <w:r w:rsidRPr="0078696C">
        <w:rPr>
          <w:rFonts w:ascii="Times New Roman" w:hAnsi="Times New Roman"/>
          <w:b/>
          <w:color w:val="000000"/>
          <w:sz w:val="28"/>
          <w:szCs w:val="28"/>
        </w:rPr>
        <w:lastRenderedPageBreak/>
        <w:t xml:space="preserve">1.3 </w:t>
      </w:r>
      <w:r w:rsidR="00F00873" w:rsidRPr="0078696C">
        <w:rPr>
          <w:rFonts w:ascii="Times New Roman" w:hAnsi="Times New Roman"/>
          <w:b/>
          <w:color w:val="000000"/>
          <w:sz w:val="28"/>
          <w:szCs w:val="28"/>
        </w:rPr>
        <w:t>Історичні аспекти</w:t>
      </w:r>
      <w:r w:rsidR="00F00873" w:rsidRPr="0078696C">
        <w:rPr>
          <w:rFonts w:ascii="Times New Roman" w:hAnsi="Times New Roman"/>
          <w:b/>
          <w:sz w:val="28"/>
          <w:szCs w:val="28"/>
        </w:rPr>
        <w:t xml:space="preserve"> становлення та розвитку системи пенсійного забезпечення в Україні</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Задля розуміння впливу держави та її управлінських механізмів на сучасну систему пенсійного </w:t>
      </w:r>
      <w:r w:rsidR="00A874AA" w:rsidRPr="0078696C">
        <w:rPr>
          <w:rFonts w:ascii="Times New Roman" w:hAnsi="Times New Roman"/>
          <w:color w:val="000000"/>
          <w:sz w:val="28"/>
          <w:szCs w:val="28"/>
        </w:rPr>
        <w:t>забезпечення</w:t>
      </w:r>
      <w:r w:rsidRPr="0078696C">
        <w:rPr>
          <w:rFonts w:ascii="Times New Roman" w:hAnsi="Times New Roman"/>
          <w:color w:val="000000"/>
          <w:sz w:val="28"/>
          <w:szCs w:val="28"/>
        </w:rPr>
        <w:t xml:space="preserve"> України та перспективу її подальшого розвитку, доцільно простежити еволюцію становлення цієї системи, її основні етапи, елементи, принципи діяльності, законодавче та економічне підґрунтя. Адже завдяки такому аналізу стає зрозумілою логіка розвитку пенсійної системи, її функціонування, та спрямованість на подальше втілення тих чи інших реформ.</w:t>
      </w:r>
    </w:p>
    <w:p w:rsidR="00AF78D1" w:rsidRPr="0078696C" w:rsidRDefault="00AF78D1" w:rsidP="00AF78D1">
      <w:pPr>
        <w:tabs>
          <w:tab w:val="left" w:pos="1276"/>
        </w:tabs>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 розвитку та становленні пенсійне </w:t>
      </w:r>
      <w:r w:rsidR="00A874AA" w:rsidRPr="0078696C">
        <w:rPr>
          <w:rFonts w:ascii="Times New Roman" w:hAnsi="Times New Roman"/>
          <w:color w:val="000000"/>
          <w:sz w:val="28"/>
          <w:szCs w:val="28"/>
        </w:rPr>
        <w:t>забезпечення</w:t>
      </w:r>
      <w:r w:rsidRPr="0078696C">
        <w:rPr>
          <w:rFonts w:ascii="Times New Roman" w:hAnsi="Times New Roman"/>
          <w:color w:val="000000"/>
          <w:sz w:val="28"/>
          <w:szCs w:val="28"/>
        </w:rPr>
        <w:t xml:space="preserve"> в Україні пройшло кілька етапів, які можна ідентифікувати широтою охоплення населення, колом їх професійних інтересів, рівнем пенсій</w:t>
      </w:r>
      <w:r w:rsidR="00394715" w:rsidRPr="0078696C">
        <w:rPr>
          <w:rFonts w:ascii="Times New Roman" w:hAnsi="Times New Roman"/>
          <w:color w:val="000000"/>
          <w:sz w:val="28"/>
          <w:szCs w:val="28"/>
        </w:rPr>
        <w:t>ного законодавства та іншими</w:t>
      </w:r>
      <w:r w:rsidR="000A7074" w:rsidRPr="0078696C">
        <w:rPr>
          <w:rFonts w:ascii="Times New Roman" w:hAnsi="Times New Roman"/>
          <w:color w:val="000000"/>
          <w:sz w:val="28"/>
          <w:szCs w:val="28"/>
        </w:rPr>
        <w:br/>
      </w:r>
      <w:r w:rsidR="00055FCE" w:rsidRPr="0078696C">
        <w:rPr>
          <w:rFonts w:ascii="Times New Roman" w:hAnsi="Times New Roman"/>
          <w:color w:val="000000"/>
          <w:sz w:val="28"/>
          <w:szCs w:val="28"/>
        </w:rPr>
        <w:t>ознаками</w:t>
      </w:r>
      <w:r w:rsidRPr="0078696C">
        <w:rPr>
          <w:rFonts w:ascii="Times New Roman" w:hAnsi="Times New Roman"/>
          <w:color w:val="000000"/>
          <w:sz w:val="28"/>
          <w:szCs w:val="28"/>
          <w:vertAlign w:val="superscript"/>
        </w:rPr>
        <w:footnoteReference w:id="106"/>
      </w:r>
      <w:r w:rsidRPr="0078696C">
        <w:rPr>
          <w:rFonts w:ascii="Times New Roman" w:hAnsi="Times New Roman"/>
          <w:color w:val="000000"/>
          <w:sz w:val="28"/>
          <w:szCs w:val="28"/>
        </w:rPr>
        <w:t>.</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Ґенеза системи державного</w:t>
      </w:r>
      <w:r w:rsidR="009A2836" w:rsidRPr="0078696C">
        <w:rPr>
          <w:rFonts w:ascii="Times New Roman" w:hAnsi="Times New Roman"/>
          <w:color w:val="000000"/>
          <w:sz w:val="28"/>
          <w:szCs w:val="28"/>
        </w:rPr>
        <w:t>,</w:t>
      </w:r>
      <w:r w:rsidRPr="0078696C">
        <w:rPr>
          <w:rFonts w:ascii="Times New Roman" w:hAnsi="Times New Roman"/>
          <w:color w:val="000000"/>
          <w:sz w:val="28"/>
          <w:szCs w:val="28"/>
        </w:rPr>
        <w:t xml:space="preserve"> соціального та пенсійного забезпечення (в тому числі і соціального та пенсійного страхування) в Україні пройшла тривалий та непростий шлях і, в основному, залежала від впливу тієї держави, під владою якої перебувала в ті чи інші періоди своєї історії.</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Еволюція системи пенсійного забезпечення України була досліджена та систематизована українськими науковцями Є. Калюгою та В. Оверчуком, які умовно розділили дорадянську історію пенсійної системи України на п’ять основних частин: під владою Австрії, під владою Російської імперії, під владою Польщі, під владою Румунії та під владою Чехословаччини </w:t>
      </w:r>
      <w:r w:rsidRPr="0078696C">
        <w:rPr>
          <w:rFonts w:ascii="Times New Roman" w:hAnsi="Times New Roman"/>
          <w:color w:val="000000"/>
          <w:sz w:val="28"/>
          <w:szCs w:val="28"/>
          <w:vertAlign w:val="superscript"/>
        </w:rPr>
        <w:footnoteReference w:id="107"/>
      </w:r>
      <w:r w:rsidRPr="0078696C">
        <w:rPr>
          <w:rFonts w:ascii="Times New Roman" w:hAnsi="Times New Roman"/>
          <w:color w:val="000000"/>
          <w:sz w:val="28"/>
          <w:szCs w:val="28"/>
        </w:rPr>
        <w:t>.</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Окрім цього, дослідженню питання становлення та розвитку пенсійног</w:t>
      </w:r>
      <w:r w:rsidR="009A2836" w:rsidRPr="0078696C">
        <w:rPr>
          <w:rFonts w:ascii="Times New Roman" w:hAnsi="Times New Roman"/>
          <w:color w:val="000000"/>
          <w:sz w:val="28"/>
          <w:szCs w:val="28"/>
        </w:rPr>
        <w:t xml:space="preserve">о забезпечення в Україні </w:t>
      </w:r>
      <w:r w:rsidRPr="0078696C">
        <w:rPr>
          <w:rFonts w:ascii="Times New Roman" w:hAnsi="Times New Roman"/>
          <w:color w:val="000000"/>
          <w:sz w:val="28"/>
          <w:szCs w:val="28"/>
        </w:rPr>
        <w:t xml:space="preserve">присвячений розділ 1 колективної монографії за редакцією М. Шумила й І. Комоцької «Пенсійне забезпечення в Україні та Білорусі: історія становлення і перспективи розвитку», які в основній ретроспективі виділяють пенсійне забезпечення на українських землях (до </w:t>
      </w:r>
      <w:r w:rsidRPr="0078696C">
        <w:rPr>
          <w:rFonts w:ascii="Times New Roman" w:hAnsi="Times New Roman"/>
          <w:color w:val="000000"/>
          <w:sz w:val="28"/>
          <w:szCs w:val="28"/>
        </w:rPr>
        <w:lastRenderedPageBreak/>
        <w:t xml:space="preserve">проголошення незалежності в 1991 році) наступним чином: в часи входження до складу Російської імперії, у складі Австро-Угорської монархії, у складі ІІ Речі Посполитої Польської, міжвоєнний радянський період та післявоєнний радянський період </w:t>
      </w:r>
      <w:r w:rsidRPr="0078696C">
        <w:rPr>
          <w:rFonts w:ascii="Times New Roman" w:hAnsi="Times New Roman"/>
          <w:color w:val="000000"/>
          <w:sz w:val="28"/>
          <w:szCs w:val="28"/>
          <w:vertAlign w:val="superscript"/>
        </w:rPr>
        <w:footnoteReference w:id="108"/>
      </w:r>
      <w:r w:rsidRPr="0078696C">
        <w:rPr>
          <w:rFonts w:ascii="Times New Roman" w:hAnsi="Times New Roman"/>
          <w:color w:val="000000"/>
          <w:sz w:val="28"/>
          <w:szCs w:val="28"/>
        </w:rPr>
        <w:t>.</w:t>
      </w:r>
    </w:p>
    <w:p w:rsidR="0069556D" w:rsidRPr="0078696C" w:rsidRDefault="00AF78D1" w:rsidP="0069556D">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Для більш детального аналізу зазначених етапів та механізмів державного управління на кожному з них, варто звернутись до хроніки історичних подій, що мали місце на українській землях</w:t>
      </w:r>
      <w:r w:rsidR="00055FCE" w:rsidRPr="0078696C">
        <w:rPr>
          <w:rFonts w:ascii="Times New Roman" w:hAnsi="Times New Roman"/>
          <w:color w:val="000000"/>
          <w:sz w:val="28"/>
          <w:szCs w:val="28"/>
        </w:rPr>
        <w:t xml:space="preserve"> (додаток</w:t>
      </w:r>
      <w:r w:rsidR="00777771">
        <w:rPr>
          <w:rFonts w:ascii="Times New Roman" w:hAnsi="Times New Roman"/>
          <w:color w:val="000000"/>
          <w:sz w:val="28"/>
          <w:szCs w:val="28"/>
        </w:rPr>
        <w:t xml:space="preserve"> </w:t>
      </w:r>
      <w:r w:rsidR="00486BB4" w:rsidRPr="0078696C">
        <w:rPr>
          <w:rFonts w:ascii="Times New Roman" w:hAnsi="Times New Roman"/>
          <w:color w:val="000000"/>
          <w:sz w:val="28"/>
          <w:szCs w:val="28"/>
        </w:rPr>
        <w:t>Б</w:t>
      </w:r>
      <w:r w:rsidR="000030F6" w:rsidRPr="0078696C">
        <w:rPr>
          <w:rFonts w:ascii="Times New Roman" w:hAnsi="Times New Roman"/>
          <w:color w:val="000000"/>
          <w:sz w:val="28"/>
          <w:szCs w:val="28"/>
        </w:rPr>
        <w:t>.1</w:t>
      </w:r>
      <w:r w:rsidR="00426CE9" w:rsidRPr="0078696C">
        <w:rPr>
          <w:rFonts w:ascii="Times New Roman" w:hAnsi="Times New Roman"/>
          <w:color w:val="000000"/>
          <w:sz w:val="28"/>
          <w:szCs w:val="28"/>
        </w:rPr>
        <w:t>)</w:t>
      </w:r>
      <w:r w:rsidRPr="0078696C">
        <w:rPr>
          <w:rFonts w:ascii="Times New Roman" w:hAnsi="Times New Roman"/>
          <w:color w:val="000000"/>
          <w:sz w:val="28"/>
          <w:szCs w:val="28"/>
        </w:rPr>
        <w:t>.</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Наприкінці XVIІІ ст. українські, за трьома поділами Польщі, потрапили під владу двох імперій – Російської та Австро-Угорської. Майже 150 років від кінця XVIІІ до початку XX ст. українці перебу</w:t>
      </w:r>
      <w:r w:rsidR="00612CFA" w:rsidRPr="0078696C">
        <w:rPr>
          <w:rFonts w:ascii="Times New Roman" w:hAnsi="Times New Roman"/>
          <w:color w:val="000000"/>
          <w:sz w:val="28"/>
          <w:szCs w:val="28"/>
        </w:rPr>
        <w:t>вали під владою цих імперій: 80</w:t>
      </w:r>
      <w:r w:rsidRPr="0078696C">
        <w:rPr>
          <w:rFonts w:ascii="Times New Roman" w:hAnsi="Times New Roman"/>
          <w:color w:val="000000"/>
          <w:sz w:val="28"/>
          <w:szCs w:val="28"/>
        </w:rPr>
        <w:t>% із них підлягали російським імператорам (Київська, Подільська, Волинська, Чернігівська, Полтавська, Катеринославська, Таврійська, Херсонська та Харківська губернії), решта – населяли імперію Габсбургів (Галичина, Буковина і Закарпаття). За своїм політичним устроєм обидві держави були самодержавними монархіями. Проте режими цих імперій помітно відрізнялися: в Росії була абсолютна монархія, в Австрії – конституційна.</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Перші закони щодо захисту робітників були впроваджені в </w:t>
      </w:r>
      <w:r w:rsidR="00F00873" w:rsidRPr="0078696C">
        <w:rPr>
          <w:rFonts w:ascii="Times New Roman" w:hAnsi="Times New Roman"/>
          <w:color w:val="000000"/>
          <w:sz w:val="28"/>
          <w:szCs w:val="28"/>
        </w:rPr>
        <w:br/>
      </w:r>
      <w:r w:rsidRPr="0078696C">
        <w:rPr>
          <w:rFonts w:ascii="Times New Roman" w:hAnsi="Times New Roman"/>
          <w:color w:val="000000"/>
          <w:sz w:val="28"/>
          <w:szCs w:val="28"/>
        </w:rPr>
        <w:t xml:space="preserve">Австро-Угорщині у 1854 році. Однак, вони відносились лише до гірничої промисловості, якої на українських землях практично не було. А у 1833 році були введені вже так звані промислові інспекторати, що передбачали заходи для захисту жінок та дітей. Законом 1887 року введено обов'язкове страхування робітників від нещасних випадків на роботі (внески сплачували працедавці), а з 1906 обов'язкове страхування службовців (пенсійне й інвалідне). Сільське населення й сільські робітники ніяким страхуванням не користувалися </w:t>
      </w:r>
      <w:r w:rsidRPr="0078696C">
        <w:rPr>
          <w:rFonts w:ascii="Times New Roman" w:hAnsi="Times New Roman"/>
          <w:color w:val="000000"/>
          <w:sz w:val="28"/>
          <w:szCs w:val="28"/>
          <w:vertAlign w:val="superscript"/>
        </w:rPr>
        <w:footnoteReference w:id="109"/>
      </w:r>
      <w:r w:rsidRPr="0078696C">
        <w:rPr>
          <w:rFonts w:ascii="Times New Roman" w:hAnsi="Times New Roman"/>
          <w:color w:val="000000"/>
          <w:sz w:val="28"/>
          <w:szCs w:val="28"/>
        </w:rPr>
        <w:t>.</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Незважаючи на те, що Україна до початку XX ст. перебувала у складі Австро-Угорської імперії, вона мала власні традиції вирішення соціальних </w:t>
      </w:r>
      <w:r w:rsidRPr="0078696C">
        <w:rPr>
          <w:rFonts w:ascii="Times New Roman" w:hAnsi="Times New Roman"/>
          <w:color w:val="000000"/>
          <w:sz w:val="28"/>
          <w:szCs w:val="28"/>
        </w:rPr>
        <w:lastRenderedPageBreak/>
        <w:t xml:space="preserve">питань. Як і в сучасних країнах світу, вже існували дві гілки соціального забезпечення: державна й недержавна </w:t>
      </w:r>
      <w:r w:rsidRPr="0078696C">
        <w:rPr>
          <w:rFonts w:ascii="Times New Roman" w:hAnsi="Times New Roman"/>
          <w:color w:val="000000"/>
          <w:sz w:val="28"/>
          <w:szCs w:val="28"/>
          <w:vertAlign w:val="superscript"/>
        </w:rPr>
        <w:footnoteReference w:id="110"/>
      </w:r>
      <w:r w:rsidRPr="0078696C">
        <w:rPr>
          <w:rFonts w:ascii="Times New Roman" w:hAnsi="Times New Roman"/>
          <w:color w:val="000000"/>
          <w:sz w:val="28"/>
          <w:szCs w:val="28"/>
        </w:rPr>
        <w:t>.</w:t>
      </w:r>
    </w:p>
    <w:p w:rsidR="00AF78D1" w:rsidRPr="0078696C" w:rsidRDefault="00AF78D1" w:rsidP="0069556D">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Що стосується інших українських земель, які перебували в той час під владою Російської Імперії, то слід зазначити, що соціальна політика на цій території була більш відсталою, охоплювала не всю її територію та стосувалась виключно страхування на випадок хвороби.</w:t>
      </w:r>
      <w:r w:rsidR="00777771">
        <w:rPr>
          <w:rFonts w:ascii="Times New Roman" w:hAnsi="Times New Roman"/>
          <w:color w:val="000000"/>
          <w:sz w:val="28"/>
          <w:szCs w:val="28"/>
        </w:rPr>
        <w:t xml:space="preserve"> </w:t>
      </w:r>
      <w:r w:rsidRPr="0078696C">
        <w:rPr>
          <w:rFonts w:ascii="Times New Roman" w:hAnsi="Times New Roman"/>
          <w:color w:val="000000"/>
          <w:sz w:val="28"/>
          <w:szCs w:val="28"/>
        </w:rPr>
        <w:t xml:space="preserve">Цей факт є закономірним, оскільки виникнення соціального законодавства безпосередньо залежало від індустріалізації країни та наявності потужного робітничого руху, який у Російській імперії почав з’являтися тільки на початку ХХ ст. Така ситуація, насамперед, зумовлена тим, що тільки у 1861 році булоскасоване кріпосне право, яке після скасування ще довго продовжувало діяти у тій чи інший </w:t>
      </w:r>
      <w:r w:rsidR="000932A9">
        <w:rPr>
          <w:rFonts w:ascii="Times New Roman" w:hAnsi="Times New Roman"/>
          <w:color w:val="000000"/>
          <w:sz w:val="28"/>
          <w:szCs w:val="28"/>
        </w:rPr>
        <w:br/>
      </w:r>
      <w:r w:rsidRPr="0078696C">
        <w:rPr>
          <w:rFonts w:ascii="Times New Roman" w:hAnsi="Times New Roman"/>
          <w:color w:val="000000"/>
          <w:sz w:val="28"/>
          <w:szCs w:val="28"/>
        </w:rPr>
        <w:t xml:space="preserve">формі </w:t>
      </w:r>
      <w:r w:rsidRPr="0078696C">
        <w:rPr>
          <w:rFonts w:ascii="Times New Roman" w:hAnsi="Times New Roman"/>
          <w:color w:val="000000"/>
          <w:sz w:val="28"/>
          <w:szCs w:val="28"/>
          <w:vertAlign w:val="superscript"/>
        </w:rPr>
        <w:footnoteReference w:id="111"/>
      </w:r>
      <w:r w:rsidRPr="0078696C">
        <w:rPr>
          <w:rFonts w:ascii="Times New Roman" w:hAnsi="Times New Roman"/>
          <w:color w:val="000000"/>
          <w:sz w:val="28"/>
          <w:szCs w:val="28"/>
        </w:rPr>
        <w:t xml:space="preserve">. Незважаючи на соціальну відсталість, саме в часи Російської імперії вперше з’являється формула для обчислення розміру пенсії (використовувалася для визначення розміру пенсій державних службовців та військових) та перший державний орган, на який було покладено обов’язок обчислювати та виплачувати пенсію, – Департамент державного казначейства, який можна умовно назвати прообразом сучасного пенсійного фонду </w:t>
      </w:r>
      <w:r w:rsidRPr="0078696C">
        <w:rPr>
          <w:rFonts w:ascii="Times New Roman" w:hAnsi="Times New Roman"/>
          <w:color w:val="000000"/>
          <w:sz w:val="28"/>
          <w:szCs w:val="28"/>
          <w:vertAlign w:val="superscript"/>
        </w:rPr>
        <w:footnoteReference w:id="112"/>
      </w:r>
      <w:r w:rsidRPr="0078696C">
        <w:rPr>
          <w:rFonts w:ascii="Times New Roman" w:hAnsi="Times New Roman"/>
          <w:color w:val="000000"/>
          <w:sz w:val="28"/>
          <w:szCs w:val="28"/>
        </w:rPr>
        <w:t>.</w:t>
      </w:r>
    </w:p>
    <w:p w:rsidR="00F225EB" w:rsidRPr="0078696C" w:rsidRDefault="00AF78D1" w:rsidP="00AF78D1">
      <w:pPr>
        <w:spacing w:after="0" w:line="360" w:lineRule="auto"/>
        <w:ind w:firstLine="709"/>
        <w:contextualSpacing/>
        <w:jc w:val="both"/>
        <w:rPr>
          <w:rFonts w:ascii="Times New Roman" w:hAnsi="Times New Roman"/>
          <w:iCs/>
          <w:color w:val="000000"/>
          <w:sz w:val="28"/>
          <w:szCs w:val="28"/>
        </w:rPr>
      </w:pPr>
      <w:r w:rsidRPr="0078696C">
        <w:rPr>
          <w:rFonts w:ascii="Times New Roman" w:hAnsi="Times New Roman"/>
          <w:color w:val="000000"/>
          <w:sz w:val="28"/>
          <w:szCs w:val="28"/>
        </w:rPr>
        <w:t>Після завершення Першої світової війни, більша частина західноукраїнських земель (</w:t>
      </w:r>
      <w:hyperlink r:id="rId12" w:tooltip="Галичина" w:history="1">
        <w:r w:rsidRPr="0078696C">
          <w:rPr>
            <w:rFonts w:ascii="Times New Roman" w:hAnsi="Times New Roman"/>
            <w:color w:val="000000"/>
            <w:sz w:val="28"/>
            <w:szCs w:val="28"/>
          </w:rPr>
          <w:t>Галичина</w:t>
        </w:r>
      </w:hyperlink>
      <w:r w:rsidRPr="0078696C">
        <w:rPr>
          <w:rFonts w:ascii="Times New Roman" w:hAnsi="Times New Roman"/>
          <w:color w:val="000000"/>
          <w:sz w:val="28"/>
          <w:szCs w:val="28"/>
        </w:rPr>
        <w:t xml:space="preserve">, </w:t>
      </w:r>
      <w:hyperlink r:id="rId13" w:tooltip="Холмщина" w:history="1">
        <w:r w:rsidRPr="0078696C">
          <w:rPr>
            <w:rFonts w:ascii="Times New Roman" w:hAnsi="Times New Roman"/>
            <w:color w:val="000000"/>
            <w:sz w:val="28"/>
            <w:szCs w:val="28"/>
          </w:rPr>
          <w:t>Холмщина</w:t>
        </w:r>
      </w:hyperlink>
      <w:r w:rsidRPr="0078696C">
        <w:rPr>
          <w:rFonts w:ascii="Times New Roman" w:hAnsi="Times New Roman"/>
          <w:color w:val="000000"/>
          <w:sz w:val="28"/>
          <w:szCs w:val="28"/>
        </w:rPr>
        <w:t xml:space="preserve">, </w:t>
      </w:r>
      <w:hyperlink r:id="rId14" w:tooltip="Підляшшя" w:history="1">
        <w:r w:rsidRPr="0078696C">
          <w:rPr>
            <w:rFonts w:ascii="Times New Roman" w:hAnsi="Times New Roman"/>
            <w:color w:val="000000"/>
            <w:sz w:val="28"/>
            <w:szCs w:val="28"/>
          </w:rPr>
          <w:t>Підляшшя</w:t>
        </w:r>
      </w:hyperlink>
      <w:r w:rsidRPr="0078696C">
        <w:rPr>
          <w:rFonts w:ascii="Times New Roman" w:hAnsi="Times New Roman"/>
          <w:color w:val="000000"/>
          <w:sz w:val="28"/>
          <w:szCs w:val="28"/>
        </w:rPr>
        <w:t xml:space="preserve">, </w:t>
      </w:r>
      <w:hyperlink r:id="rId15" w:tooltip="Західна Волинь" w:history="1">
        <w:r w:rsidRPr="0078696C">
          <w:rPr>
            <w:rFonts w:ascii="Times New Roman" w:hAnsi="Times New Roman"/>
            <w:color w:val="000000"/>
            <w:sz w:val="28"/>
            <w:szCs w:val="28"/>
          </w:rPr>
          <w:t>Західна Волинь</w:t>
        </w:r>
      </w:hyperlink>
      <w:r w:rsidRPr="0078696C">
        <w:rPr>
          <w:rFonts w:ascii="Times New Roman" w:hAnsi="Times New Roman"/>
          <w:color w:val="000000"/>
          <w:sz w:val="28"/>
          <w:szCs w:val="28"/>
        </w:rPr>
        <w:t xml:space="preserve">, </w:t>
      </w:r>
      <w:hyperlink r:id="rId16" w:tooltip="Західне Полісся" w:history="1">
        <w:r w:rsidRPr="0078696C">
          <w:rPr>
            <w:rFonts w:ascii="Times New Roman" w:hAnsi="Times New Roman"/>
            <w:color w:val="000000"/>
            <w:sz w:val="28"/>
            <w:szCs w:val="28"/>
          </w:rPr>
          <w:t>Західне Полісся</w:t>
        </w:r>
      </w:hyperlink>
      <w:r w:rsidRPr="0078696C">
        <w:rPr>
          <w:rFonts w:ascii="Times New Roman" w:hAnsi="Times New Roman"/>
          <w:color w:val="000000"/>
          <w:sz w:val="28"/>
          <w:szCs w:val="28"/>
        </w:rPr>
        <w:t xml:space="preserve">, </w:t>
      </w:r>
      <w:hyperlink r:id="rId17" w:tooltip="Посяння" w:history="1">
        <w:r w:rsidRPr="0078696C">
          <w:rPr>
            <w:rFonts w:ascii="Times New Roman" w:hAnsi="Times New Roman"/>
            <w:color w:val="000000"/>
            <w:sz w:val="28"/>
            <w:szCs w:val="28"/>
          </w:rPr>
          <w:t>Посяння</w:t>
        </w:r>
      </w:hyperlink>
      <w:r w:rsidRPr="0078696C">
        <w:rPr>
          <w:rFonts w:ascii="Times New Roman" w:hAnsi="Times New Roman"/>
          <w:color w:val="000000"/>
          <w:sz w:val="28"/>
          <w:szCs w:val="28"/>
        </w:rPr>
        <w:t xml:space="preserve">, </w:t>
      </w:r>
      <w:hyperlink r:id="rId18" w:tooltip="Лемківщина" w:history="1">
        <w:r w:rsidRPr="0078696C">
          <w:rPr>
            <w:rFonts w:ascii="Times New Roman" w:hAnsi="Times New Roman"/>
            <w:color w:val="000000"/>
            <w:sz w:val="28"/>
            <w:szCs w:val="28"/>
          </w:rPr>
          <w:t>Лемківщина</w:t>
        </w:r>
      </w:hyperlink>
      <w:r w:rsidRPr="0078696C">
        <w:rPr>
          <w:rFonts w:ascii="Times New Roman" w:hAnsi="Times New Roman"/>
          <w:color w:val="000000"/>
          <w:sz w:val="28"/>
          <w:szCs w:val="28"/>
        </w:rPr>
        <w:t xml:space="preserve">) опинилася </w:t>
      </w:r>
      <w:r w:rsidRPr="0078696C">
        <w:rPr>
          <w:rFonts w:ascii="Times New Roman" w:hAnsi="Times New Roman"/>
          <w:iCs/>
          <w:color w:val="000000"/>
          <w:sz w:val="28"/>
          <w:szCs w:val="28"/>
        </w:rPr>
        <w:t xml:space="preserve">під владою Польщі. На цих землях у 1924 р. був прийнятий закон щодо страхування від нещасних випадків, а у 1927 та 1933 рр. були прийняті закони щодо пенсійного страхування, страхування інвалідів, а також службовців та робітників у разі безробіття </w:t>
      </w:r>
      <w:r w:rsidRPr="0078696C">
        <w:rPr>
          <w:rFonts w:ascii="Times New Roman" w:hAnsi="Times New Roman"/>
          <w:iCs/>
          <w:color w:val="000000"/>
          <w:sz w:val="28"/>
          <w:szCs w:val="28"/>
          <w:vertAlign w:val="superscript"/>
        </w:rPr>
        <w:footnoteReference w:id="113"/>
      </w:r>
      <w:r w:rsidRPr="0078696C">
        <w:rPr>
          <w:rFonts w:ascii="Times New Roman" w:hAnsi="Times New Roman"/>
          <w:iCs/>
          <w:color w:val="000000"/>
          <w:sz w:val="28"/>
          <w:szCs w:val="28"/>
        </w:rPr>
        <w:t>.</w:t>
      </w:r>
    </w:p>
    <w:p w:rsidR="00AF78D1" w:rsidRPr="0078696C" w:rsidRDefault="001D2DD3" w:rsidP="006631B8">
      <w:pPr>
        <w:spacing w:after="0" w:line="360" w:lineRule="auto"/>
        <w:ind w:firstLine="709"/>
        <w:contextualSpacing/>
        <w:jc w:val="both"/>
        <w:rPr>
          <w:rFonts w:ascii="Times New Roman" w:hAnsi="Times New Roman"/>
          <w:iCs/>
          <w:color w:val="000000"/>
          <w:sz w:val="28"/>
          <w:szCs w:val="28"/>
        </w:rPr>
      </w:pPr>
      <w:r w:rsidRPr="0078696C">
        <w:rPr>
          <w:rFonts w:ascii="Times New Roman" w:hAnsi="Times New Roman"/>
          <w:iCs/>
          <w:color w:val="000000"/>
          <w:sz w:val="28"/>
          <w:szCs w:val="28"/>
        </w:rPr>
        <w:t xml:space="preserve">В цей самий час, користуючись тотальним військово-політичним хаосом, який виник унаслідок розпаду двох імперій – Російської й Австро-Угорської, королівська Румунія приєднала 9 квітня 1918 р. Бессарабію (до її складу </w:t>
      </w:r>
      <w:r w:rsidRPr="0078696C">
        <w:rPr>
          <w:rFonts w:ascii="Times New Roman" w:hAnsi="Times New Roman"/>
          <w:iCs/>
          <w:color w:val="000000"/>
          <w:sz w:val="28"/>
          <w:szCs w:val="28"/>
        </w:rPr>
        <w:lastRenderedPageBreak/>
        <w:t>входила компактно заселена українцями територія нинішнього Хотинського району Чернівецької області), а 11 листопада того ж року анексувала територію Північної Буковини (до складу цієї території входили нинішні Кіцманський, Заставнівський, Вижницький, Путильський, Сторожинецький, Глибоцький райони та частина Герцаївського району Чернівецької області)</w:t>
      </w:r>
      <w:r w:rsidRPr="0078696C">
        <w:rPr>
          <w:rStyle w:val="a8"/>
          <w:rFonts w:ascii="Times New Roman" w:hAnsi="Times New Roman"/>
          <w:iCs/>
          <w:color w:val="000000"/>
          <w:sz w:val="28"/>
          <w:szCs w:val="28"/>
        </w:rPr>
        <w:footnoteReference w:id="114"/>
      </w:r>
      <w:r w:rsidR="006631B8" w:rsidRPr="0078696C">
        <w:rPr>
          <w:rFonts w:ascii="Times New Roman" w:hAnsi="Times New Roman"/>
          <w:iCs/>
          <w:color w:val="000000"/>
          <w:sz w:val="28"/>
          <w:szCs w:val="28"/>
        </w:rPr>
        <w:t xml:space="preserve">. </w:t>
      </w:r>
      <w:r w:rsidR="00AF78D1" w:rsidRPr="0078696C">
        <w:rPr>
          <w:rFonts w:ascii="Times New Roman" w:hAnsi="Times New Roman"/>
          <w:iCs/>
          <w:color w:val="000000"/>
          <w:sz w:val="28"/>
          <w:szCs w:val="28"/>
        </w:rPr>
        <w:t>На українських землях під владою Румунії діяло румунське соціальне законодавство. Тільки у 1933 р. прийнятий уніфікований закон щодо соціального забезпечення</w:t>
      </w:r>
      <w:r w:rsidR="008A3BDD" w:rsidRPr="0078696C">
        <w:rPr>
          <w:rStyle w:val="a8"/>
          <w:rFonts w:ascii="Times New Roman" w:hAnsi="Times New Roman"/>
          <w:iCs/>
          <w:color w:val="000000"/>
          <w:sz w:val="28"/>
          <w:szCs w:val="28"/>
        </w:rPr>
        <w:footnoteReference w:id="115"/>
      </w:r>
      <w:r w:rsidR="00AF78D1" w:rsidRPr="0078696C">
        <w:rPr>
          <w:rFonts w:ascii="Times New Roman" w:hAnsi="Times New Roman"/>
          <w:iCs/>
          <w:color w:val="000000"/>
          <w:sz w:val="28"/>
          <w:szCs w:val="28"/>
        </w:rPr>
        <w:t>.</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Cs/>
          <w:color w:val="000000"/>
          <w:sz w:val="28"/>
          <w:szCs w:val="28"/>
        </w:rPr>
        <w:t>Коли українські землі були під владою Чехословаччини, то у ці роки в Чехословаччині було найпрогресивніше соціальне законодавство. На Закарпатті до 1924 р. діяв угорський закон 1907 р. про обов’язкове страхування робітників від інвалідності, хвороби та старості</w:t>
      </w:r>
      <w:r w:rsidR="008A3BDD" w:rsidRPr="0078696C">
        <w:rPr>
          <w:rFonts w:ascii="Times New Roman" w:hAnsi="Times New Roman"/>
          <w:iCs/>
          <w:color w:val="000000"/>
          <w:sz w:val="28"/>
          <w:szCs w:val="28"/>
        </w:rPr>
        <w:t xml:space="preserve">. </w:t>
      </w:r>
      <w:r w:rsidRPr="0078696C">
        <w:rPr>
          <w:rFonts w:ascii="Times New Roman" w:hAnsi="Times New Roman"/>
          <w:iCs/>
          <w:color w:val="000000"/>
          <w:sz w:val="28"/>
          <w:szCs w:val="28"/>
        </w:rPr>
        <w:t>З 1924 р. діяв уніфікований закон для всієї Чехословаччини. З 1929 р. був введений закон про пенсійне забезпечення для службовців</w:t>
      </w:r>
      <w:r w:rsidR="008A3BDD" w:rsidRPr="0078696C">
        <w:rPr>
          <w:rStyle w:val="a8"/>
          <w:rFonts w:ascii="Times New Roman" w:hAnsi="Times New Roman"/>
          <w:iCs/>
          <w:color w:val="000000"/>
          <w:sz w:val="28"/>
          <w:szCs w:val="28"/>
        </w:rPr>
        <w:footnoteReference w:id="116"/>
      </w:r>
      <w:r w:rsidR="008A3BDD" w:rsidRPr="0078696C">
        <w:rPr>
          <w:rFonts w:ascii="Times New Roman" w:hAnsi="Times New Roman"/>
          <w:iCs/>
          <w:color w:val="000000"/>
          <w:sz w:val="28"/>
          <w:szCs w:val="28"/>
        </w:rPr>
        <w:t xml:space="preserve">. </w:t>
      </w:r>
      <w:r w:rsidRPr="0078696C">
        <w:rPr>
          <w:rFonts w:ascii="Times New Roman" w:hAnsi="Times New Roman"/>
          <w:iCs/>
          <w:color w:val="000000"/>
          <w:sz w:val="28"/>
          <w:szCs w:val="28"/>
        </w:rPr>
        <w:t>Обов’язкове соціальне забезпечення реалізувалося шляхом сплачування застрахованими працівниками внесків у розмірі, визначеному законом. У ті роки існувало також необов’язкове соціальне забезпечення, яке підтримували приватні товариства. Внески при страхуванні від хвороби і від нещасних випадків на роботі сплачували роботодавці. У створенні фондів страхування від безробіття також брала участь держава у формі бюджетних дотацій.</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Суттєвих змін соціальна політика України зазнала вже у складі СРСР. У часи радянської влади пенсійне забезпечення будувалося за принципом солідарності поколінь, сутність якого полягала у тому, що працездатне населення утримує непрацездатне. Пенсійне забезпечення декларативно введено в СРСР одразу ж після революції 1917 р., а фактично ж вводилось поступово в окремих галузях народного господарства.</w:t>
      </w:r>
    </w:p>
    <w:p w:rsidR="00A979E3"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За сталінських часів (1922-1953 рр.) пенсійне законодавство складалося з </w:t>
      </w:r>
      <w:r w:rsidR="00A979E3" w:rsidRPr="0078696C">
        <w:rPr>
          <w:rFonts w:ascii="Times New Roman" w:hAnsi="Times New Roman"/>
          <w:color w:val="000000"/>
          <w:sz w:val="28"/>
          <w:szCs w:val="28"/>
        </w:rPr>
        <w:t>низки</w:t>
      </w:r>
      <w:r w:rsidRPr="0078696C">
        <w:rPr>
          <w:rFonts w:ascii="Times New Roman" w:hAnsi="Times New Roman"/>
          <w:color w:val="000000"/>
          <w:sz w:val="28"/>
          <w:szCs w:val="28"/>
        </w:rPr>
        <w:t xml:space="preserve"> різних актів. Кожне міністерство і відомство мало свої норми як за віком, так і за розміром допомоги. Найбільш кваліфіковані кадри у важкій промисловості, а також держслужбовці, професура і медики отримували пенсію на рівні 60-100% від зарплати. Однак, у більшості робочих вихідна допомога не досягала прожиткового мінімуму, а у пересічних колгоспників – пенсії не було зовсім.</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Певний прорив у соціальному і політичному житті Радянського Союзу був зроблений вже після Другої світової війни, коли відбулися зміни у зовнішній та внутрішній політиці держави. Так, на думку К. Бек, радянська держава того часу характеризувалась стабільністю, оскільки війна стала каталізатором зміцнення державних, економічних та суспільних структур </w:t>
      </w:r>
      <w:r w:rsidRPr="0078696C">
        <w:rPr>
          <w:rFonts w:ascii="Times New Roman" w:hAnsi="Times New Roman"/>
          <w:color w:val="000000"/>
          <w:sz w:val="28"/>
          <w:szCs w:val="28"/>
          <w:vertAlign w:val="superscript"/>
        </w:rPr>
        <w:footnoteReference w:id="117"/>
      </w:r>
      <w:r w:rsidRPr="0078696C">
        <w:rPr>
          <w:rFonts w:ascii="Times New Roman" w:hAnsi="Times New Roman"/>
          <w:color w:val="000000"/>
          <w:sz w:val="28"/>
          <w:szCs w:val="28"/>
        </w:rPr>
        <w:t>. І, дійсно, здобувши довгоочікувану перемогу, багато зусиль радянського народу були спрямовані саме на відновлення народного господарства та розвиток промислової індустрії. Тому для більш кращого і швидкого результату в зазначених вище сферах на перший план у сфері пенсійного забезпечення висувалось забезпечення осіб, які безпосередньо вирішували головне завдання – досягнення військової перемоги та економічного зростання держави</w:t>
      </w:r>
      <w:r w:rsidRPr="0078696C">
        <w:rPr>
          <w:rFonts w:ascii="Times New Roman" w:hAnsi="Times New Roman"/>
          <w:color w:val="000000"/>
          <w:sz w:val="28"/>
          <w:szCs w:val="28"/>
          <w:vertAlign w:val="superscript"/>
        </w:rPr>
        <w:footnoteReference w:id="118"/>
      </w:r>
      <w:r w:rsidRPr="0078696C">
        <w:rPr>
          <w:rFonts w:ascii="Times New Roman" w:hAnsi="Times New Roman"/>
          <w:color w:val="000000"/>
          <w:sz w:val="28"/>
          <w:szCs w:val="28"/>
        </w:rPr>
        <w:t xml:space="preserve">. Радянський вчений В. Андрєєв зазначав, що особлива турбота влади про розвиток сільського господарства, яке зазнало великих збитків у період війни, проявилась у тому, що в 1949 році було введене пенсійне забезпечення за вислугу років зоотехнічних та ветеринарних працівників, а в 1952 році – керівників і відповідальних працівників та спеціалістів машинно-тракторних, лісозахисних, машинно-тваринницьких станцій і шкіл механізації сільського господарства. Окрім того, працівникам найбільш важливих галузей промисловості, зокрема хімічної, вугільної, гірничо-металургійної, чорної металургії, були встановлені підвищені пенсії. Хоча, на думку вченого, намагаючись вирішити завдання матеріального заохочення працівників </w:t>
      </w:r>
      <w:r w:rsidRPr="0078696C">
        <w:rPr>
          <w:rFonts w:ascii="Times New Roman" w:hAnsi="Times New Roman"/>
          <w:color w:val="000000"/>
          <w:sz w:val="28"/>
          <w:szCs w:val="28"/>
        </w:rPr>
        <w:lastRenderedPageBreak/>
        <w:t xml:space="preserve">провідних ділянок соціалістичного виробництва, радянська влада не врахувала деякі моменти. Наприклад, відомчий принцип забезпечення, в силу чого особи, які виконували одну і ту ж роботу в різних відомствах, отримували неоднакові пенсії; надмірності в пенсійному забезпеченні, особливо керівних та інженерно-технічних працівників; елементи суб’єктивізму при призначенні підвищених пенсій </w:t>
      </w:r>
      <w:r w:rsidRPr="0078696C">
        <w:rPr>
          <w:rFonts w:ascii="Times New Roman" w:hAnsi="Times New Roman"/>
          <w:color w:val="000000"/>
          <w:sz w:val="28"/>
          <w:szCs w:val="28"/>
          <w:vertAlign w:val="superscript"/>
        </w:rPr>
        <w:footnoteReference w:id="119"/>
      </w:r>
      <w:r w:rsidRPr="0078696C">
        <w:rPr>
          <w:rFonts w:ascii="Times New Roman" w:hAnsi="Times New Roman"/>
          <w:color w:val="000000"/>
          <w:sz w:val="28"/>
          <w:szCs w:val="28"/>
        </w:rPr>
        <w:t>.</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bCs/>
          <w:color w:val="000000"/>
          <w:sz w:val="28"/>
          <w:szCs w:val="28"/>
        </w:rPr>
        <w:t>Хрущов</w:t>
      </w:r>
      <w:r w:rsidR="00777771">
        <w:rPr>
          <w:rFonts w:ascii="Times New Roman" w:hAnsi="Times New Roman"/>
          <w:bCs/>
          <w:color w:val="000000"/>
          <w:sz w:val="28"/>
          <w:szCs w:val="28"/>
        </w:rPr>
        <w:t xml:space="preserve"> </w:t>
      </w:r>
      <w:r w:rsidRPr="0078696C">
        <w:rPr>
          <w:rFonts w:ascii="Times New Roman" w:hAnsi="Times New Roman"/>
          <w:bCs/>
          <w:color w:val="000000"/>
          <w:sz w:val="28"/>
          <w:szCs w:val="28"/>
        </w:rPr>
        <w:t xml:space="preserve">М.С. </w:t>
      </w:r>
      <w:r w:rsidRPr="0078696C">
        <w:rPr>
          <w:rFonts w:ascii="Times New Roman" w:hAnsi="Times New Roman"/>
          <w:color w:val="000000"/>
          <w:sz w:val="28"/>
          <w:szCs w:val="28"/>
        </w:rPr>
        <w:t>почав своє правління у вересні 1953 року з масштабних реформ щодо поліпшення життя радянських громадян. Однією із знакових змін було прийняття в 1956 році Закону «Про державні пенсії»</w:t>
      </w:r>
      <w:r w:rsidR="00D04030" w:rsidRPr="0078696C">
        <w:rPr>
          <w:rStyle w:val="a8"/>
          <w:rFonts w:ascii="Times New Roman" w:hAnsi="Times New Roman"/>
          <w:color w:val="000000"/>
          <w:sz w:val="28"/>
          <w:szCs w:val="28"/>
        </w:rPr>
        <w:footnoteReference w:id="120"/>
      </w:r>
      <w:r w:rsidRPr="0078696C">
        <w:rPr>
          <w:rFonts w:ascii="Times New Roman" w:hAnsi="Times New Roman"/>
          <w:color w:val="000000"/>
          <w:sz w:val="28"/>
          <w:szCs w:val="28"/>
        </w:rPr>
        <w:t xml:space="preserve">, який систематизував пенсійне законодавство СРСР. Закон встановив єдину планку пенсійного віку – 55 років для жінок і 60 років – для чоловіків. Тоді ж було визначено обов’язковий трудовий стаж у 20 і 25 років відповідно. Мінімальна пенсія складала 30 рублів, а максимальна – 120. Для певних категорій робітників і службовців, які пропрацювали не менше 15 років на окремих видах робіт, що дають право на державну пенсію на пільгових умовах і в пільгових розмірах, максимальні розміри могли досягати навіть більше максимальних 120 рублів: 140 – для осіб, які пропрацювали на зазначених роботах від 15 до 20 років і 160 – чий стаж в особливо шкідливих або особливо важких умовах праці становив понад 20 років </w:t>
      </w:r>
      <w:r w:rsidRPr="0078696C">
        <w:rPr>
          <w:rFonts w:ascii="Times New Roman" w:hAnsi="Times New Roman"/>
          <w:color w:val="000000"/>
          <w:sz w:val="28"/>
          <w:szCs w:val="28"/>
          <w:vertAlign w:val="superscript"/>
        </w:rPr>
        <w:footnoteReference w:id="121"/>
      </w:r>
      <w:r w:rsidRPr="0078696C">
        <w:rPr>
          <w:rFonts w:ascii="Times New Roman" w:hAnsi="Times New Roman"/>
          <w:color w:val="000000"/>
          <w:sz w:val="28"/>
          <w:szCs w:val="28"/>
        </w:rPr>
        <w:t>.</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Також, у зв’язку з прийняттям Закону було введене в дію Положення про порядок призначення і виплати державних пенсій, затверджене постановою Ради Міністрів СРСР №1044 від 4 серпня 1956 року</w:t>
      </w:r>
      <w:r w:rsidR="00131302" w:rsidRPr="0078696C">
        <w:rPr>
          <w:rStyle w:val="a8"/>
          <w:rFonts w:ascii="Times New Roman" w:hAnsi="Times New Roman"/>
          <w:color w:val="000000"/>
          <w:sz w:val="28"/>
          <w:szCs w:val="28"/>
        </w:rPr>
        <w:footnoteReference w:id="122"/>
      </w:r>
      <w:r w:rsidRPr="0078696C">
        <w:rPr>
          <w:rFonts w:ascii="Times New Roman" w:hAnsi="Times New Roman"/>
          <w:color w:val="000000"/>
          <w:sz w:val="28"/>
          <w:szCs w:val="28"/>
        </w:rPr>
        <w:t xml:space="preserve">, згідно </w:t>
      </w:r>
      <w:r w:rsidR="00F00873" w:rsidRPr="0078696C">
        <w:rPr>
          <w:rFonts w:ascii="Times New Roman" w:hAnsi="Times New Roman"/>
          <w:color w:val="000000"/>
          <w:sz w:val="28"/>
          <w:szCs w:val="28"/>
        </w:rPr>
        <w:t>з яким</w:t>
      </w:r>
      <w:r w:rsidRPr="0078696C">
        <w:rPr>
          <w:rFonts w:ascii="Times New Roman" w:hAnsi="Times New Roman"/>
          <w:color w:val="000000"/>
          <w:sz w:val="28"/>
          <w:szCs w:val="28"/>
        </w:rPr>
        <w:t xml:space="preserve"> пенсії призначалися і виплачувалися: робітникам; службовцям; військовослужбовцям рядового, сержантського та старшинського складу строкової служби (та прирівняним до них особам); колишнім партизанам; учням вищих, середніх спеціальних навчальних закладів, училищ, шкіл і курсів з підготовки кадрів; </w:t>
      </w:r>
      <w:r w:rsidRPr="0078696C">
        <w:rPr>
          <w:rFonts w:ascii="Times New Roman" w:hAnsi="Times New Roman"/>
          <w:color w:val="000000"/>
          <w:sz w:val="28"/>
          <w:szCs w:val="28"/>
        </w:rPr>
        <w:lastRenderedPageBreak/>
        <w:t xml:space="preserve">аспірантам, докторантам і клінічним ординаторам; громадянам, які стали інвалідами в зв'язку з виконанням державних або громадських обов'язків або у зв'язку з виконанням обов'язку громадянина СРСР по рятуванню людського життя, по охороні соціалістичної власності, соціалістичного правопорядку; робітникам і службовцям відповідних категорій, які стали інвалідами в зв'язку з пораненням, каліцтвом або захворюванням, отриманим в районі військових дій, на прифронтових ділянках залізниць, на спорудженні оборонних рубежів, військово-морських баз і аеродромів; а також членам сімей цих громадян – в разі втрати годувальника </w:t>
      </w:r>
      <w:r w:rsidRPr="0078696C">
        <w:rPr>
          <w:rFonts w:ascii="Times New Roman" w:hAnsi="Times New Roman"/>
          <w:color w:val="000000"/>
          <w:sz w:val="28"/>
          <w:szCs w:val="28"/>
          <w:vertAlign w:val="superscript"/>
        </w:rPr>
        <w:footnoteReference w:id="123"/>
      </w:r>
      <w:r w:rsidRPr="0078696C">
        <w:rPr>
          <w:rFonts w:ascii="Times New Roman" w:hAnsi="Times New Roman"/>
          <w:color w:val="000000"/>
          <w:sz w:val="28"/>
          <w:szCs w:val="28"/>
        </w:rPr>
        <w:t>.</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Правила цих нормативно-правових актів поширювались також на робітників, службовців і членів їхніх сімей, на яких поширюється державне соціальне страхування.</w:t>
      </w:r>
    </w:p>
    <w:p w:rsidR="009741BD"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після прийняття вищезазначених нормативно-правових актів цілком або частково втратили силу майже тисяча колишніх нормативних актів СРСР і союзних республік про пенсійне забезпечення. Тому варто погодитись з думкою М. Буянової, яка зазначає, що вказані правові акти були результатом внутрішньогалузевої кодифікаційної роботи всесоюзного масштабу. Кодифікація законодавства на такому рівні була проведена в СРСР вперше. На відміну від попередніх форм кодифікації, які полягали лише в об’єднанні нормативних актів щодо окремих видів соціального забезпечення, Закон 1956 року в комплексі об’єднав усі основні види пенсій і встановив єдині правила та порядок їх призначення й виплати. З прийняттям цих комплексних кодифікованих актів законодавство про соціальне забезпечення стало більш доступним для широких мас населення</w:t>
      </w:r>
      <w:r w:rsidRPr="0078696C">
        <w:rPr>
          <w:rFonts w:ascii="Times New Roman" w:hAnsi="Times New Roman"/>
          <w:color w:val="000000"/>
          <w:sz w:val="28"/>
          <w:szCs w:val="28"/>
          <w:vertAlign w:val="superscript"/>
        </w:rPr>
        <w:footnoteReference w:id="124"/>
      </w:r>
      <w:r w:rsidRPr="0078696C">
        <w:rPr>
          <w:rFonts w:ascii="Times New Roman" w:hAnsi="Times New Roman"/>
          <w:color w:val="000000"/>
          <w:sz w:val="28"/>
          <w:szCs w:val="28"/>
        </w:rPr>
        <w:t xml:space="preserve">. На основі його реалізації населення одержало в 1957 році від держави пенсії на суму 57 мільярдів 900 мільйонів карбованців, а в 1958 році було передбачено 66 мільярдів карбованців для </w:t>
      </w:r>
      <w:r w:rsidRPr="0078696C">
        <w:rPr>
          <w:rFonts w:ascii="Times New Roman" w:hAnsi="Times New Roman"/>
          <w:color w:val="000000"/>
          <w:sz w:val="28"/>
          <w:szCs w:val="28"/>
        </w:rPr>
        <w:lastRenderedPageBreak/>
        <w:t xml:space="preserve">виплати пенсій </w:t>
      </w:r>
      <w:r w:rsidRPr="0078696C">
        <w:rPr>
          <w:rFonts w:ascii="Times New Roman" w:hAnsi="Times New Roman"/>
          <w:color w:val="000000"/>
          <w:sz w:val="28"/>
          <w:szCs w:val="28"/>
          <w:vertAlign w:val="superscript"/>
        </w:rPr>
        <w:footnoteReference w:id="125"/>
      </w:r>
      <w:r w:rsidRPr="0078696C">
        <w:rPr>
          <w:rFonts w:ascii="Times New Roman" w:hAnsi="Times New Roman"/>
          <w:color w:val="000000"/>
          <w:sz w:val="28"/>
          <w:szCs w:val="28"/>
        </w:rPr>
        <w:t xml:space="preserve">, тому недивно, що радянське суспільство сприйняло Закон «Про державні пенсії» </w:t>
      </w:r>
      <w:r w:rsidR="00131302" w:rsidRPr="0078696C">
        <w:rPr>
          <w:rStyle w:val="a8"/>
          <w:rFonts w:ascii="Times New Roman" w:hAnsi="Times New Roman"/>
          <w:color w:val="000000"/>
          <w:sz w:val="28"/>
          <w:szCs w:val="28"/>
        </w:rPr>
        <w:footnoteReference w:id="126"/>
      </w:r>
      <w:r w:rsidRPr="0078696C">
        <w:rPr>
          <w:rFonts w:ascii="Times New Roman" w:hAnsi="Times New Roman"/>
          <w:color w:val="000000"/>
          <w:sz w:val="28"/>
          <w:szCs w:val="28"/>
        </w:rPr>
        <w:t>з великим піднесенням як новий прояв турботи партії й уряду щодо поліпшення матеріального становища народу, адже він гарантував державні пенсії практично всім категоріям робітників та службовців, членам їх сімей у випадку втрати годувальника, а також єдині підстави призначення та порядок обчислення розміру пенсій, єдиний в</w:t>
      </w:r>
      <w:r w:rsidR="009741BD" w:rsidRPr="0078696C">
        <w:rPr>
          <w:rFonts w:ascii="Times New Roman" w:hAnsi="Times New Roman"/>
          <w:color w:val="000000"/>
          <w:sz w:val="28"/>
          <w:szCs w:val="28"/>
        </w:rPr>
        <w:t>ік і вимоги до трудового стажу.</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Вперше до уваги було взято особливі умови праці, пов’язані зі шкідливим виробництвом (підземні роботи, праця в гарячих цехах), несприятливі кліматичні умови та соціальна значущість праці, наприклад, лікарі чи вчителі. Усе це давало право на більш ранній вихід на пенсію і зниження мінімально необхідного для призначення пенсії трудового стажу. Крім цього, Закон «Про державні пенсії» значно підвищив самі розміри пенсій: по старості – у 2-3,5 рази, по інвалідності – у 1,5 рази. Так, В. Меркулова свого часу наводила приклад підвищення розміру пенсії по старості: робітник, який працював у звичайних умовах і мав заробітну плату 1400 карбованців на місяць, пішов на пенсію. За колишнім законодавством він отримав би разом з «хлібною» надбавкою пенсію, як правило, 210 карбованців за загальними нормами, а за новим законом він отримав (без надбавок) пенсію в розмірі 700 карбованців. Таким чином, сума призначеної пенсії у 3,5 рази більше за ту, котру він міг отримати за старим законодавством</w:t>
      </w:r>
      <w:r w:rsidRPr="0078696C">
        <w:rPr>
          <w:rFonts w:ascii="Times New Roman" w:hAnsi="Times New Roman"/>
          <w:color w:val="000000"/>
          <w:sz w:val="28"/>
          <w:szCs w:val="28"/>
          <w:vertAlign w:val="superscript"/>
        </w:rPr>
        <w:footnoteReference w:id="127"/>
      </w:r>
      <w:r w:rsidRPr="0078696C">
        <w:rPr>
          <w:rFonts w:ascii="Times New Roman" w:hAnsi="Times New Roman"/>
          <w:color w:val="000000"/>
          <w:sz w:val="28"/>
          <w:szCs w:val="28"/>
        </w:rPr>
        <w:t>.</w:t>
      </w:r>
    </w:p>
    <w:p w:rsidR="00AF78D1" w:rsidRPr="0078696C" w:rsidRDefault="00AF78D1" w:rsidP="00AF78D1">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Враховуючи багато позитивних моментів Закону 1956 року, все ж таки були і недоліки. Зокрема його дія не поширювалась на колгоспне селянство, тому ця значна частина населення СРСР продовжувала не користувалася загальним правом на пенсійне забезпечення. Хоча ще до прийняття Закону певні зміни щодо їхнього соціального та пенсійного забезпечення відбулись. Зокрема Постановою ЦК КПРС і Ради міністрів СРСР від 6 березня 1956 р. </w:t>
      </w:r>
      <w:r w:rsidRPr="0078696C">
        <w:rPr>
          <w:rFonts w:ascii="Times New Roman" w:hAnsi="Times New Roman"/>
          <w:color w:val="000000"/>
          <w:sz w:val="28"/>
          <w:szCs w:val="28"/>
        </w:rPr>
        <w:lastRenderedPageBreak/>
        <w:t xml:space="preserve">«Про статут сільськогосподарської артілі і подальший розвиток ініціативи колгоспників в організації колгоспного виробництва й управління справами артілі» була розширена самостійність колгоспів у вирішенні низки питань колгоспного життя. Саме у змісті цієї постанови передбачалось, що колгоспники можуть самостійно доповнювати і змінювати окремі положення прийнятого сільськогосподарською артіллю статуту з урахуванням місцевих, конкретних умов колгоспу </w:t>
      </w:r>
      <w:r w:rsidR="00960A60" w:rsidRPr="0078696C">
        <w:rPr>
          <w:rStyle w:val="a8"/>
          <w:rFonts w:ascii="Times New Roman" w:hAnsi="Times New Roman"/>
          <w:color w:val="000000"/>
          <w:sz w:val="28"/>
          <w:szCs w:val="28"/>
        </w:rPr>
        <w:footnoteReference w:id="128"/>
      </w:r>
      <w:r w:rsidRPr="0078696C">
        <w:rPr>
          <w:rFonts w:ascii="Times New Roman" w:hAnsi="Times New Roman"/>
          <w:color w:val="000000"/>
          <w:sz w:val="28"/>
          <w:szCs w:val="28"/>
        </w:rPr>
        <w:t>.</w:t>
      </w:r>
    </w:p>
    <w:p w:rsidR="00F00873" w:rsidRPr="0078696C" w:rsidRDefault="00AF78D1" w:rsidP="00F00873">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Дана постанова ЦК КПРС і Ради міністрів СРСР в подальшому була покладена в основу Законів СРСР «Про пенсії та допомогу членам </w:t>
      </w:r>
      <w:r w:rsidR="00960A60" w:rsidRPr="0078696C">
        <w:rPr>
          <w:rFonts w:ascii="Times New Roman" w:hAnsi="Times New Roman"/>
          <w:color w:val="000000"/>
          <w:sz w:val="28"/>
          <w:szCs w:val="28"/>
        </w:rPr>
        <w:br/>
      </w:r>
      <w:r w:rsidRPr="0078696C">
        <w:rPr>
          <w:rFonts w:ascii="Times New Roman" w:hAnsi="Times New Roman"/>
          <w:color w:val="000000"/>
          <w:sz w:val="28"/>
          <w:szCs w:val="28"/>
        </w:rPr>
        <w:t>колгоспів»</w:t>
      </w:r>
      <w:r w:rsidR="00131302" w:rsidRPr="0078696C">
        <w:rPr>
          <w:rStyle w:val="a8"/>
          <w:rFonts w:ascii="Times New Roman" w:hAnsi="Times New Roman"/>
          <w:color w:val="000000"/>
          <w:sz w:val="28"/>
          <w:szCs w:val="28"/>
        </w:rPr>
        <w:footnoteReference w:id="129"/>
      </w:r>
      <w:r w:rsidRPr="0078696C">
        <w:rPr>
          <w:rFonts w:ascii="Times New Roman" w:hAnsi="Times New Roman"/>
          <w:color w:val="000000"/>
          <w:sz w:val="28"/>
          <w:szCs w:val="28"/>
        </w:rPr>
        <w:t xml:space="preserve"> та «Про пенсійне забезпечення громадян в СРСР»</w:t>
      </w:r>
      <w:r w:rsidR="00131302" w:rsidRPr="0078696C">
        <w:rPr>
          <w:rStyle w:val="a8"/>
          <w:rFonts w:ascii="Times New Roman" w:hAnsi="Times New Roman"/>
          <w:color w:val="000000"/>
          <w:sz w:val="28"/>
          <w:szCs w:val="28"/>
        </w:rPr>
        <w:footnoteReference w:id="130"/>
      </w:r>
      <w:r w:rsidR="00131302" w:rsidRPr="0078696C">
        <w:rPr>
          <w:rFonts w:ascii="Times New Roman" w:hAnsi="Times New Roman"/>
          <w:color w:val="000000"/>
          <w:sz w:val="28"/>
          <w:szCs w:val="28"/>
        </w:rPr>
        <w:t>,</w:t>
      </w:r>
      <w:r w:rsidRPr="0078696C">
        <w:rPr>
          <w:rFonts w:ascii="Times New Roman" w:hAnsi="Times New Roman"/>
          <w:color w:val="000000"/>
          <w:sz w:val="28"/>
          <w:szCs w:val="28"/>
        </w:rPr>
        <w:t xml:space="preserve"> згідно </w:t>
      </w:r>
      <w:r w:rsidR="00F00873" w:rsidRPr="0078696C">
        <w:rPr>
          <w:rFonts w:ascii="Times New Roman" w:hAnsi="Times New Roman"/>
          <w:color w:val="000000"/>
          <w:sz w:val="28"/>
          <w:szCs w:val="28"/>
        </w:rPr>
        <w:t>з якими</w:t>
      </w:r>
      <w:r w:rsidRPr="0078696C">
        <w:rPr>
          <w:rFonts w:ascii="Times New Roman" w:hAnsi="Times New Roman"/>
          <w:color w:val="000000"/>
          <w:sz w:val="28"/>
          <w:szCs w:val="28"/>
        </w:rPr>
        <w:t xml:space="preserve"> трудовий стаж колгоспника для призначення пенсії обчислювався за фактично відпрацьований ним час на підставі встановленого обов'язкового мінімуму трудоднів, виходячи з потреби трудових витрат у громадському господарстві колгоспу.</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 кінця 1960-х років уряд СРСР прийняв заходи, спрямовані на вирівнювання пенсій та умов їх отримання. Найбільші зміни відбувалися в селі.</w:t>
      </w:r>
    </w:p>
    <w:p w:rsidR="00AF78D1" w:rsidRPr="0078696C" w:rsidRDefault="00AF78D1" w:rsidP="00AF78D1">
      <w:pPr>
        <w:spacing w:line="36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26 вересня 1967 року була прийнята Постанова ЦК КПРС та Ради міністрів СРСР «Про заходи щодо подальшого підвищення добробуту радянського народу» </w:t>
      </w:r>
      <w:r w:rsidRPr="0078696C">
        <w:rPr>
          <w:rFonts w:ascii="Times New Roman" w:hAnsi="Times New Roman"/>
          <w:color w:val="000000"/>
          <w:sz w:val="28"/>
          <w:szCs w:val="28"/>
          <w:vertAlign w:val="superscript"/>
        </w:rPr>
        <w:footnoteReference w:id="131"/>
      </w:r>
      <w:r w:rsidRPr="0078696C">
        <w:rPr>
          <w:rFonts w:ascii="Times New Roman" w:hAnsi="Times New Roman"/>
          <w:color w:val="000000"/>
          <w:sz w:val="28"/>
          <w:szCs w:val="28"/>
        </w:rPr>
        <w:t xml:space="preserve">, якою передбачалось зниження пенсійного віку членам колгоспів з </w:t>
      </w:r>
      <w:r w:rsidRPr="0078696C">
        <w:rPr>
          <w:rFonts w:ascii="Times New Roman" w:hAnsi="Times New Roman"/>
          <w:color w:val="000000"/>
          <w:sz w:val="28"/>
          <w:szCs w:val="28"/>
        </w:rPr>
        <w:br/>
        <w:t xml:space="preserve">1 січня 1968 р. на 5 років (з 65 до 60 років </w:t>
      </w:r>
      <w:r w:rsidR="00536C1C" w:rsidRPr="0078696C">
        <w:rPr>
          <w:rFonts w:ascii="Times New Roman" w:hAnsi="Times New Roman"/>
          <w:color w:val="000000"/>
          <w:sz w:val="28"/>
          <w:szCs w:val="28"/>
        </w:rPr>
        <w:t>–</w:t>
      </w:r>
      <w:r w:rsidRPr="0078696C">
        <w:rPr>
          <w:rFonts w:ascii="Times New Roman" w:hAnsi="Times New Roman"/>
          <w:color w:val="000000"/>
          <w:sz w:val="28"/>
          <w:szCs w:val="28"/>
        </w:rPr>
        <w:t xml:space="preserve"> чоловікам і з 60 років до 55 років). Цією ж Постановою було запроваджене пенсійне забезпечення колгоспників по інвалідності III групи внаслідок трудового каліцтва або професійного захворювання.</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Остаточну рівність колгоспники отримали в 1978 році, коли держава відмовилася віднімати з пенсії 15% за присадибну ділянку, якщо вона перевищувала 15 соток.</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Пенсійна політика СРСР поступово ставала все більш щедрою. У </w:t>
      </w:r>
      <w:r w:rsidR="008362CA">
        <w:rPr>
          <w:rFonts w:ascii="Times New Roman" w:hAnsi="Times New Roman"/>
          <w:color w:val="000000"/>
          <w:sz w:val="28"/>
          <w:szCs w:val="28"/>
        </w:rPr>
        <w:br/>
      </w:r>
      <w:r w:rsidRPr="0078696C">
        <w:rPr>
          <w:rFonts w:ascii="Times New Roman" w:hAnsi="Times New Roman"/>
          <w:color w:val="000000"/>
          <w:sz w:val="28"/>
          <w:szCs w:val="28"/>
        </w:rPr>
        <w:t>1971 році був встановлений новий пенсійний мінімум для робітників і службовців – 45 карбованців. Активно впроваджувалися надбавки до пенсій.</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Також у 1970-ті роки збільшилися в розмірі і регулярно виплачувалися пенсії для інвалідів, пенсії для сімей, які втратили годувальника, пенсії для батьків, чиї діти загинули на фронті.</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Для тих, хто працював в екстремальних умовах, було знижено пенсійний вік (на 10 років) і стаж (на 5 років). Це торкнулося, наприклад, працівників, зайнятих на роботах під землею, в гарячих цехах і на шкідливих виробництвах.</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 початку 80-х років </w:t>
      </w:r>
      <w:r w:rsidR="00214CD0" w:rsidRPr="0078696C">
        <w:rPr>
          <w:rFonts w:ascii="Times New Roman" w:hAnsi="Times New Roman"/>
          <w:color w:val="000000"/>
          <w:sz w:val="28"/>
          <w:szCs w:val="28"/>
        </w:rPr>
        <w:t xml:space="preserve">ХХ століття </w:t>
      </w:r>
      <w:r w:rsidRPr="0078696C">
        <w:rPr>
          <w:rFonts w:ascii="Times New Roman" w:hAnsi="Times New Roman"/>
          <w:color w:val="000000"/>
          <w:sz w:val="28"/>
          <w:szCs w:val="28"/>
        </w:rPr>
        <w:t xml:space="preserve">уряду СРСР вдавалося забезпечувати виплату відносно пристойних пенсій лише тому, що: 1) економічна система не знаходилася у стані перманентної кризи; 2) демографічна ситуація була сприятливою для солідарної пенсійної системи; 3) існувала загальна трудова повинність для працездатного населення; 4) масштаби неформальної зайнятості були незначними та практично не існувало проблеми ухилення від сплати податків </w:t>
      </w:r>
      <w:r w:rsidRPr="0078696C">
        <w:rPr>
          <w:rFonts w:ascii="Times New Roman" w:hAnsi="Times New Roman"/>
          <w:color w:val="000000"/>
          <w:sz w:val="28"/>
          <w:szCs w:val="28"/>
          <w:vertAlign w:val="superscript"/>
        </w:rPr>
        <w:footnoteReference w:id="132"/>
      </w:r>
      <w:r w:rsidRPr="0078696C">
        <w:rPr>
          <w:rFonts w:ascii="Times New Roman" w:hAnsi="Times New Roman"/>
          <w:color w:val="000000"/>
          <w:sz w:val="28"/>
          <w:szCs w:val="28"/>
        </w:rPr>
        <w:t>.</w:t>
      </w:r>
    </w:p>
    <w:p w:rsidR="0072197D"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Наприкінці 1980-х років у СРСР почали відбуватися зміни у всіх сферах життя: політичній, економічній та, зрозуміло, соціальній. Витрати на пенсійне забезпечення стали суттєвим фінансовим навантаженням для радянської держави. Таким чином, виникла проблема пошуку небюджетних джерел для фінансування пенсій, а відтак – виникла потреба змінювати пенсійне законодавство. Тому у 1987-1988 рр. розпочалася робота над новим законом «Про пенсійне за</w:t>
      </w:r>
      <w:r w:rsidR="00F53BDE" w:rsidRPr="0078696C">
        <w:rPr>
          <w:rFonts w:ascii="Times New Roman" w:hAnsi="Times New Roman"/>
          <w:color w:val="000000"/>
          <w:sz w:val="28"/>
          <w:szCs w:val="28"/>
        </w:rPr>
        <w:t>безпечення громадян в СРСР», яки</w:t>
      </w:r>
      <w:r w:rsidRPr="0078696C">
        <w:rPr>
          <w:rFonts w:ascii="Times New Roman" w:hAnsi="Times New Roman"/>
          <w:color w:val="000000"/>
          <w:sz w:val="28"/>
          <w:szCs w:val="28"/>
        </w:rPr>
        <w:t xml:space="preserve">й був ухвалений Верховною Радою СРСР в травні 1990 р. та </w:t>
      </w:r>
      <w:r w:rsidR="00960A60" w:rsidRPr="0078696C">
        <w:rPr>
          <w:rFonts w:ascii="Times New Roman" w:hAnsi="Times New Roman"/>
          <w:color w:val="000000"/>
          <w:sz w:val="28"/>
          <w:szCs w:val="28"/>
        </w:rPr>
        <w:t>набув</w:t>
      </w:r>
      <w:r w:rsidRPr="0078696C">
        <w:rPr>
          <w:rFonts w:ascii="Times New Roman" w:hAnsi="Times New Roman"/>
          <w:color w:val="000000"/>
          <w:sz w:val="28"/>
          <w:szCs w:val="28"/>
        </w:rPr>
        <w:t xml:space="preserve"> чинності з 1 січня 1991 р.</w:t>
      </w:r>
      <w:r w:rsidR="0072197D" w:rsidRPr="0078696C">
        <w:rPr>
          <w:rStyle w:val="a8"/>
          <w:rFonts w:ascii="Times New Roman" w:hAnsi="Times New Roman"/>
          <w:color w:val="000000"/>
          <w:sz w:val="28"/>
          <w:szCs w:val="28"/>
        </w:rPr>
        <w:footnoteReference w:id="133"/>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Цей Закон гарантував усім непрацездатним громадянам СРСР право на матеріальне забезпечення за рахунок суспільних фондів споживання шляхом надання трудових і соціальних пенсій. Він був спрямований на те, щоб більш повно врахувати працю як джерело зростання добробуту народу та кожної радянської людини, виключався зрівняльний підхід у пенсійному забезпеченні, була встановлена єдність умов і норм пенсійного забезпечення робітників, службовців, членів колгоспів та інших категорій працівників.</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Принциповою відмінністю нового закону стало те, що виплата пенсій фінансувалася вже не з Державного бюджету, а з новоствореної інституції – Пенсійного фонду. Даним Законом було проголошено, що Пенсійний фонд СРСР є самостійною фінансово-банківською системою, не входить до складу державного бюджету СРСР, формується за рахунок коштів, які відраховуються підприємствами та організаціями на цілі соціального страхування за тарифами, диференційованими залежно від небезпечності, шкідливості, важкості робіт і стану інших умов праці, страхових внесків осіб, які займаються індивідуальною трудовою діяльністю, обов'язкових страхових внесків громадян, а також коштів державного бюджету СРСР. Положення про Пенсійний фонд СРСР затверджує Рада Міністрів СРСР спільно з ВЦРПС</w:t>
      </w:r>
      <w:r w:rsidRPr="0078696C">
        <w:rPr>
          <w:rFonts w:ascii="Times New Roman" w:hAnsi="Times New Roman"/>
          <w:color w:val="000000"/>
          <w:sz w:val="28"/>
          <w:szCs w:val="28"/>
          <w:vertAlign w:val="superscript"/>
        </w:rPr>
        <w:footnoteReference w:id="134"/>
      </w:r>
      <w:r w:rsidRPr="0078696C">
        <w:rPr>
          <w:rFonts w:ascii="Times New Roman" w:hAnsi="Times New Roman"/>
          <w:color w:val="000000"/>
          <w:sz w:val="28"/>
          <w:szCs w:val="28"/>
        </w:rPr>
        <w:t>.</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Даним Законом вперше на теренах СРСР закріплювалось, що головною умовою одержання права на трудову пенсію є сплата страхових внесків до Пенсійного фонду СРСР. Кожному працюючому за місцем роботи щорічно заповнювалась вкладка до трудової книжки з відміткою сплаченої суми страхових внесків у розмірі одного відсотку нарахованого заробітку. Також, зазначеним Законом вперше вводилась обов’язковість проведення підприємствами атестації робочих місць за умовами праці для подальшої можливості призначення пенсій за віком на пільгових умовах.</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Підписання Закону практично завершило процес створення єдиної всеохоплюючої системи пенсійного забезпечення, яка діяла за єдиними умовами та нормами.</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На початку 1990 року при Раді Міністрів СРСР було створено спеціальну робочу групу, до складу якої увійшли представники всіх союзних республік. Протягом року було напрацьовано необхідну нормативно-правову базу – Положення про Пенсійний фонд СРСР </w:t>
      </w:r>
      <w:r w:rsidRPr="0078696C">
        <w:rPr>
          <w:rFonts w:ascii="Times New Roman" w:hAnsi="Times New Roman"/>
          <w:color w:val="000000"/>
          <w:sz w:val="28"/>
          <w:szCs w:val="28"/>
          <w:vertAlign w:val="superscript"/>
        </w:rPr>
        <w:footnoteReference w:id="135"/>
      </w:r>
      <w:r w:rsidRPr="0078696C">
        <w:rPr>
          <w:rFonts w:ascii="Times New Roman" w:hAnsi="Times New Roman"/>
          <w:color w:val="000000"/>
          <w:sz w:val="28"/>
          <w:szCs w:val="28"/>
        </w:rPr>
        <w:t>, Інструкцію, що регулювала порядок сплати внесків до Пенсійного фонду та витрачання його коштів</w:t>
      </w:r>
      <w:r w:rsidRPr="0078696C">
        <w:rPr>
          <w:rFonts w:ascii="Times New Roman" w:hAnsi="Times New Roman"/>
          <w:color w:val="000000"/>
          <w:sz w:val="28"/>
          <w:szCs w:val="28"/>
          <w:vertAlign w:val="superscript"/>
        </w:rPr>
        <w:footnoteReference w:id="136"/>
      </w:r>
      <w:r w:rsidRPr="0078696C">
        <w:rPr>
          <w:rFonts w:ascii="Times New Roman" w:hAnsi="Times New Roman"/>
          <w:color w:val="000000"/>
          <w:sz w:val="28"/>
          <w:szCs w:val="28"/>
        </w:rPr>
        <w:t xml:space="preserve">, інші документи. Паралельно з цим відбувався процес формування організаційної структури Пенсійного фонду СРСР, яка на рівні союзних республік була представлена відповідними республіканськими відділеннями Фонду (крім РСФСР, яка одразу створила власний Пенсійний фонд, який не входив до складу Пенсійного фонду СРСР). Згодом, 21 грудня 1990 року, Радою Мiнiстрiв УРСР i Українською Радою профспiлок була ухвалена спільна постанова про утворення Українського республiканського вiддiлення </w:t>
      </w:r>
      <w:r w:rsidRPr="0078696C">
        <w:rPr>
          <w:rFonts w:ascii="Times New Roman" w:hAnsi="Times New Roman"/>
          <w:color w:val="000000"/>
          <w:sz w:val="28"/>
          <w:szCs w:val="28"/>
          <w:vertAlign w:val="superscript"/>
        </w:rPr>
        <w:footnoteReference w:id="137"/>
      </w:r>
      <w:r w:rsidRPr="0078696C">
        <w:rPr>
          <w:rFonts w:ascii="Times New Roman" w:hAnsi="Times New Roman"/>
          <w:color w:val="000000"/>
          <w:sz w:val="28"/>
          <w:szCs w:val="28"/>
        </w:rPr>
        <w:t>.</w:t>
      </w:r>
    </w:p>
    <w:p w:rsidR="00AF78D1" w:rsidRPr="0078696C" w:rsidRDefault="00AF78D1" w:rsidP="00AF78D1">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Уже з перших днів 1991 року нова пенсійна установа почала акумулювати страхові обов’язкові платежі підприємств і громадян, що дало можливість вже у грудні цього ж року вперше профінансувати видатки на виплату пенсій за рахунок коштів Фонду, а не з державного бюджету. Протягом 1991 року було сформовано структуру центрального апарату Українського республіканського відділення Пенсійного фонду СРСР у складі трьох управлінь, чотирьох самостійних відділів і ревізійної комісії. Крім того, в лютому було утворено регіональні органи Пенсійного фонду – філії відділення в Автономній Республіці Крим, областях та у місті Києві, в складі яких працювали уповноважені філій по районах, містах та районах у містах. І вже до кінця 1991 року в системі Республіканського відділення працювали понад </w:t>
      </w:r>
      <w:r w:rsidR="008362CA">
        <w:rPr>
          <w:rFonts w:ascii="Times New Roman" w:hAnsi="Times New Roman"/>
          <w:color w:val="000000"/>
          <w:sz w:val="28"/>
          <w:szCs w:val="28"/>
        </w:rPr>
        <w:br/>
      </w:r>
      <w:r w:rsidRPr="0078696C">
        <w:rPr>
          <w:rFonts w:ascii="Times New Roman" w:hAnsi="Times New Roman"/>
          <w:color w:val="000000"/>
          <w:sz w:val="28"/>
          <w:szCs w:val="28"/>
        </w:rPr>
        <w:lastRenderedPageBreak/>
        <w:t>2000 працівників, у тому числі в центральному апараті – понад 60 фахівців</w:t>
      </w:r>
      <w:r w:rsidRPr="0078696C">
        <w:rPr>
          <w:rFonts w:ascii="Times New Roman" w:hAnsi="Times New Roman"/>
          <w:color w:val="000000"/>
          <w:sz w:val="28"/>
          <w:szCs w:val="28"/>
          <w:vertAlign w:val="superscript"/>
        </w:rPr>
        <w:footnoteReference w:id="138"/>
      </w:r>
      <w:r w:rsidRPr="0078696C">
        <w:rPr>
          <w:rFonts w:ascii="Times New Roman" w:hAnsi="Times New Roman"/>
          <w:color w:val="000000"/>
          <w:sz w:val="28"/>
          <w:szCs w:val="28"/>
        </w:rPr>
        <w:t>. Фактично Пенсійний фонд Союзу функціонував лише один рік і припинив свою діяльність після розпаду СРСР.</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5 листопада 1991 року було прийнято Закон України «Про пенсійне забезпечення»</w:t>
      </w:r>
      <w:r w:rsidR="0072197D" w:rsidRPr="0078696C">
        <w:rPr>
          <w:rStyle w:val="a8"/>
          <w:rFonts w:ascii="Times New Roman" w:hAnsi="Times New Roman"/>
          <w:color w:val="000000"/>
          <w:sz w:val="28"/>
          <w:szCs w:val="28"/>
        </w:rPr>
        <w:footnoteReference w:id="139"/>
      </w:r>
      <w:r w:rsidR="00E51C71" w:rsidRPr="0078696C">
        <w:rPr>
          <w:rFonts w:ascii="Times New Roman" w:hAnsi="Times New Roman"/>
          <w:color w:val="000000"/>
          <w:sz w:val="28"/>
          <w:szCs w:val="28"/>
        </w:rPr>
        <w:t xml:space="preserve">, </w:t>
      </w:r>
      <w:r w:rsidR="005B5F3F" w:rsidRPr="0078696C">
        <w:rPr>
          <w:rFonts w:ascii="Times New Roman" w:hAnsi="Times New Roman"/>
          <w:color w:val="000000"/>
          <w:sz w:val="28"/>
          <w:szCs w:val="28"/>
        </w:rPr>
        <w:t>а 6 грудня того ж року – п</w:t>
      </w:r>
      <w:r w:rsidRPr="0078696C">
        <w:rPr>
          <w:rFonts w:ascii="Times New Roman" w:hAnsi="Times New Roman"/>
          <w:color w:val="000000"/>
          <w:sz w:val="28"/>
          <w:szCs w:val="28"/>
        </w:rPr>
        <w:t>останову ВР України «Про порядок введення в дію Закону України «Про пенсійне забезпечення»</w:t>
      </w:r>
      <w:r w:rsidR="00E51C71" w:rsidRPr="0078696C">
        <w:rPr>
          <w:rStyle w:val="a8"/>
          <w:rFonts w:ascii="Times New Roman" w:hAnsi="Times New Roman"/>
          <w:color w:val="000000"/>
          <w:sz w:val="28"/>
          <w:szCs w:val="28"/>
        </w:rPr>
        <w:footnoteReference w:id="140"/>
      </w:r>
      <w:r w:rsidRPr="0078696C">
        <w:rPr>
          <w:rFonts w:ascii="Times New Roman" w:hAnsi="Times New Roman"/>
          <w:color w:val="000000"/>
          <w:sz w:val="28"/>
          <w:szCs w:val="28"/>
        </w:rPr>
        <w:t>. Цією постановою вперше в Україні встановлювалися тарифи внесків на соціальне страхування для підприємств і організацій незалежно від форм власності й господарювання, громадських об'єднань, неприбуткових громадських об'єднань, громадян-підприємців тощо. Причому внески на соціальне страхування на той час складалися із внесків до Пенсійного фонду України і Фонду соціального страхування України.</w:t>
      </w:r>
    </w:p>
    <w:p w:rsidR="00AF78D1" w:rsidRPr="0078696C" w:rsidRDefault="00AF78D1" w:rsidP="00AF78D1">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З початку 1992 року і до сьогодні в Україні діє система загальнообов’язкового соціального страхування, за рахунок внесків до якої, які складають власні надходження ПФУ, і забезпечується виплата пенсій громадянам.</w:t>
      </w:r>
    </w:p>
    <w:p w:rsidR="00724FE9" w:rsidRDefault="00724FE9" w:rsidP="00AF78D1">
      <w:pPr>
        <w:spacing w:after="0" w:line="360" w:lineRule="auto"/>
        <w:ind w:firstLine="709"/>
        <w:contextualSpacing/>
        <w:jc w:val="both"/>
        <w:rPr>
          <w:rFonts w:ascii="Times New Roman" w:hAnsi="Times New Roman"/>
          <w:color w:val="000000"/>
          <w:sz w:val="28"/>
          <w:szCs w:val="28"/>
        </w:rPr>
      </w:pPr>
    </w:p>
    <w:p w:rsidR="008D2EA5" w:rsidRPr="0078696C" w:rsidRDefault="008D2EA5" w:rsidP="00AF78D1">
      <w:pPr>
        <w:spacing w:after="0" w:line="360" w:lineRule="auto"/>
        <w:ind w:firstLine="709"/>
        <w:contextualSpacing/>
        <w:jc w:val="both"/>
        <w:rPr>
          <w:rFonts w:ascii="Times New Roman" w:hAnsi="Times New Roman"/>
          <w:color w:val="000000"/>
          <w:sz w:val="28"/>
          <w:szCs w:val="28"/>
        </w:rPr>
      </w:pPr>
    </w:p>
    <w:p w:rsidR="00BF7D36" w:rsidRDefault="00BF7D36" w:rsidP="00724FE9">
      <w:pPr>
        <w:spacing w:after="0" w:line="360" w:lineRule="auto"/>
        <w:ind w:firstLine="709"/>
        <w:jc w:val="both"/>
        <w:rPr>
          <w:rFonts w:ascii="Times New Roman" w:hAnsi="Times New Roman"/>
          <w:b/>
          <w:color w:val="000000"/>
          <w:sz w:val="28"/>
          <w:szCs w:val="28"/>
        </w:rPr>
      </w:pPr>
    </w:p>
    <w:p w:rsidR="00BF7D36" w:rsidRDefault="00BF7D36" w:rsidP="00724FE9">
      <w:pPr>
        <w:spacing w:after="0" w:line="360" w:lineRule="auto"/>
        <w:ind w:firstLine="709"/>
        <w:jc w:val="both"/>
        <w:rPr>
          <w:rFonts w:ascii="Times New Roman" w:hAnsi="Times New Roman"/>
          <w:b/>
          <w:color w:val="000000"/>
          <w:sz w:val="28"/>
          <w:szCs w:val="28"/>
        </w:rPr>
      </w:pPr>
    </w:p>
    <w:p w:rsidR="00F36678" w:rsidRPr="0078696C" w:rsidRDefault="00F36678" w:rsidP="00724FE9">
      <w:pPr>
        <w:spacing w:after="0" w:line="360" w:lineRule="auto"/>
        <w:ind w:firstLine="709"/>
        <w:jc w:val="both"/>
        <w:rPr>
          <w:rFonts w:ascii="Times New Roman" w:hAnsi="Times New Roman"/>
          <w:b/>
          <w:color w:val="000000"/>
          <w:sz w:val="28"/>
          <w:szCs w:val="28"/>
        </w:rPr>
      </w:pPr>
      <w:r w:rsidRPr="0078696C">
        <w:rPr>
          <w:rFonts w:ascii="Times New Roman" w:hAnsi="Times New Roman"/>
          <w:b/>
          <w:color w:val="000000"/>
          <w:sz w:val="28"/>
          <w:szCs w:val="28"/>
        </w:rPr>
        <w:t>Висновки до розділу 1</w:t>
      </w:r>
    </w:p>
    <w:p w:rsidR="00F36678" w:rsidRPr="0078696C" w:rsidRDefault="00F36678" w:rsidP="00F36678">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Дослідження теоретичних засад державного управління пенсійним забезпеченням дає підстави зробити наступні висновки:</w:t>
      </w:r>
    </w:p>
    <w:p w:rsidR="00F36678" w:rsidRPr="0078696C" w:rsidRDefault="00F36678" w:rsidP="000E323C">
      <w:pPr>
        <w:numPr>
          <w:ilvl w:val="0"/>
          <w:numId w:val="14"/>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 науковому дискурсі державного управління відсутній єдиний підхід до визначення поняття пенсійного забезпечення. Спільним є те, що більшість дослідників відносять пенсійне забезпечення до системи соціального </w:t>
      </w:r>
      <w:r w:rsidRPr="0078696C">
        <w:rPr>
          <w:rFonts w:ascii="Times New Roman" w:hAnsi="Times New Roman"/>
          <w:color w:val="000000"/>
          <w:sz w:val="28"/>
          <w:szCs w:val="28"/>
        </w:rPr>
        <w:lastRenderedPageBreak/>
        <w:t>захисту населення, розглядаючи його як найважливіший компонент державної соціальної політики.</w:t>
      </w:r>
    </w:p>
    <w:p w:rsidR="000A7074" w:rsidRPr="0078696C" w:rsidRDefault="00F36678" w:rsidP="00BF7D36">
      <w:pPr>
        <w:spacing w:after="0" w:line="384"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Вчені виділяють широке та вузьке визначення даного поняття. У широкому розумінні пенсійне забезпечення включає в себе </w:t>
      </w:r>
      <w:r w:rsidR="00417F7F" w:rsidRPr="0078696C">
        <w:rPr>
          <w:rFonts w:ascii="Times New Roman" w:hAnsi="Times New Roman"/>
          <w:color w:val="000000"/>
          <w:sz w:val="28"/>
          <w:szCs w:val="28"/>
        </w:rPr>
        <w:t>у</w:t>
      </w:r>
      <w:r w:rsidRPr="0078696C">
        <w:rPr>
          <w:rFonts w:ascii="Times New Roman" w:hAnsi="Times New Roman"/>
          <w:color w:val="000000"/>
          <w:sz w:val="28"/>
          <w:szCs w:val="28"/>
        </w:rPr>
        <w:t>сі види пенсій, які формуються і виплачуються в рамках пенсійної системи, з урахуванням виплат із солідарного та накопичувального рівнів, а також за рахунок внесків до недержавних пенсійних фондів. У вузькому – пенсійне забезпечення розуміється як виплата пенсій за рахунок коштів державного бюджету, та не включає в себе поняття пенсійного страхування. У свою чергу, пенсійне страхування – це важлива складова соціального страхування, яка характеризується специфічним суб’єктним складом учасників відносин, чіткими часовими рамками взаємодії та фіксованою фінансовою складовою. У широкому розумінні поняття пенсійного забезпечення та пенсійного страхування відносяться як «ціле до частки».</w:t>
      </w:r>
    </w:p>
    <w:p w:rsidR="00F36678" w:rsidRPr="0078696C" w:rsidRDefault="00F36678" w:rsidP="00BF7D36">
      <w:pPr>
        <w:spacing w:after="0" w:line="384"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Також, проведений аналіз дав можливість автору виділити три основні аспекти поняття пенсійного забезпечення з позиції науки державного управління: як конституційної гарантії, як гуманітарної складової державної політики та як фінансової складової державної політики.</w:t>
      </w:r>
    </w:p>
    <w:p w:rsidR="00F36678" w:rsidRPr="0078696C" w:rsidRDefault="00F36678" w:rsidP="00BF7D36">
      <w:pPr>
        <w:numPr>
          <w:ilvl w:val="0"/>
          <w:numId w:val="14"/>
        </w:numPr>
        <w:spacing w:after="0" w:line="384"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Поняття «джерело пенсійного забезпечення» є вужчим від поняття «джерело права» та відрізняється від останнього сферою регулювання та колом </w:t>
      </w:r>
      <w:r w:rsidR="00724FE9" w:rsidRPr="0078696C">
        <w:rPr>
          <w:rFonts w:ascii="Times New Roman" w:hAnsi="Times New Roman"/>
          <w:color w:val="000000"/>
          <w:sz w:val="28"/>
          <w:szCs w:val="28"/>
        </w:rPr>
        <w:t>осіб, на яких воно поширюється.</w:t>
      </w:r>
    </w:p>
    <w:p w:rsidR="00F36678" w:rsidRPr="0078696C" w:rsidRDefault="00F36678" w:rsidP="00BF7D36">
      <w:pPr>
        <w:spacing w:after="0" w:line="384"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Проведений аналіз дав підстави провести класифікацію джерел пенсійного забезпечення за юридичною силою, за колом осіб, за змістом, в залежності від фінансових джерел.</w:t>
      </w:r>
    </w:p>
    <w:p w:rsidR="00F36678" w:rsidRPr="0078696C" w:rsidRDefault="005D146F" w:rsidP="00BF7D36">
      <w:pPr>
        <w:numPr>
          <w:ilvl w:val="0"/>
          <w:numId w:val="14"/>
        </w:numPr>
        <w:spacing w:after="0" w:line="384"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Аналіз </w:t>
      </w:r>
      <w:r w:rsidR="00F36678" w:rsidRPr="0078696C">
        <w:rPr>
          <w:rFonts w:ascii="Times New Roman" w:hAnsi="Times New Roman"/>
          <w:color w:val="000000"/>
          <w:sz w:val="28"/>
          <w:szCs w:val="28"/>
        </w:rPr>
        <w:t xml:space="preserve">вітчизняного досвіду становлення та розвитку системи пенсійного страхування України підтвердив, що дана система пройшла тривалий та складний період своєї еволюції та бере свій початок не у радянській системі соціального забезпечення, як це подавала радянська доктрина права соціального забезпечення, а в законодавстві тих країн, до </w:t>
      </w:r>
      <w:r w:rsidR="00F36678" w:rsidRPr="0078696C">
        <w:rPr>
          <w:rFonts w:ascii="Times New Roman" w:hAnsi="Times New Roman"/>
          <w:color w:val="000000"/>
          <w:sz w:val="28"/>
          <w:szCs w:val="28"/>
        </w:rPr>
        <w:lastRenderedPageBreak/>
        <w:t>складу яких входили українські землі. Все це було зумовлено станом соціально-економічного та політичного розвитку відповідної країни. Найбільш прогресивним за того</w:t>
      </w:r>
      <w:r w:rsidRPr="0078696C">
        <w:rPr>
          <w:rFonts w:ascii="Times New Roman" w:hAnsi="Times New Roman"/>
          <w:color w:val="000000"/>
          <w:sz w:val="28"/>
          <w:szCs w:val="28"/>
        </w:rPr>
        <w:t>часними мірками можна вважати ав</w:t>
      </w:r>
      <w:r w:rsidR="00F36678" w:rsidRPr="0078696C">
        <w:rPr>
          <w:rFonts w:ascii="Times New Roman" w:hAnsi="Times New Roman"/>
          <w:color w:val="000000"/>
          <w:sz w:val="28"/>
          <w:szCs w:val="28"/>
        </w:rPr>
        <w:t xml:space="preserve">стро-угорське соціальне забезпечення, в той час як соціальна політика на землях, які входили до складу Російської імперії, була </w:t>
      </w:r>
      <w:r w:rsidR="00960A60" w:rsidRPr="0078696C">
        <w:rPr>
          <w:rFonts w:ascii="Times New Roman" w:hAnsi="Times New Roman"/>
          <w:color w:val="000000"/>
          <w:sz w:val="28"/>
          <w:szCs w:val="28"/>
        </w:rPr>
        <w:t>менш розвинутою</w:t>
      </w:r>
      <w:r w:rsidR="00F36678" w:rsidRPr="0078696C">
        <w:rPr>
          <w:rFonts w:ascii="Times New Roman" w:hAnsi="Times New Roman"/>
          <w:color w:val="000000"/>
          <w:sz w:val="28"/>
          <w:szCs w:val="28"/>
        </w:rPr>
        <w:t>.</w:t>
      </w:r>
    </w:p>
    <w:p w:rsidR="00F36678" w:rsidRPr="0078696C" w:rsidRDefault="00F36678" w:rsidP="00BF7D36">
      <w:pPr>
        <w:spacing w:after="0" w:line="384"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Перші значущі зміни, які відбулися в пенсійній системі радянських республік, серед яких і України, було проведення уніфікації пенсійного законодавства шляхом прийняття законів «Про державні пенсії» 1956 року та «Про пенсії і допомоги членам колгоспу» 1964 року. Ухвалені закони закріпили існуючу на той час нерівність у соціальному забезпеченні робітників і службовців, з одного боку, і колгоспників – з іншого. Незважаючи на соціальну несправедливість діючого на той час законодавства, прийняття зазначених законів стало величезним кроком вперед у створенні державної всеохоплюючої система пенсійного забезпечення населення.</w:t>
      </w:r>
    </w:p>
    <w:p w:rsidR="00F36678" w:rsidRPr="0078696C" w:rsidRDefault="00F36678" w:rsidP="00BF7D36">
      <w:pPr>
        <w:spacing w:after="0" w:line="384"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Подальші фундаментальні зміни пенсійного забезпечення відбулися в 1985 році та трохи пізніше, коли в 1990 році було прийнято Закон «Про пенсійне забезпечення громадян в СРСР». З прийняттям цього Закону та Закону «Про пенсійне забезпечення військовослужбовців» в 1990 році практично завершився процес створення єдиної всеохоплюючої системи пенсійного забезпечення, яка діяла за єдиними умовами та нормами. Звичайно, ця система не була побудована повністю на принципах страхування, скоріш за все, це було поєднання принципів соціального страхування і соціальної допомоги, але вона започаткувала закладення страхових основ, передбачивши відокремлення пенсійної системи від держбюджету.</w:t>
      </w:r>
    </w:p>
    <w:p w:rsidR="00F36678" w:rsidRPr="0078696C" w:rsidRDefault="00F36678" w:rsidP="00BF7D36">
      <w:pPr>
        <w:spacing w:after="0" w:line="384"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Побудова власної пенсійної системи розпочинається з прийняття нового закону незалежної України «Про пенсійне забезпечення» від 05 листопада 1991 року, який став, по суті, калькою союзному Закону 1990 р. та своєрідною перехідною формою до запровадження персоніфікованого обліку страхового стажу та сплачених внесків до Пенсійного фонду України. Відбулась спроба </w:t>
      </w:r>
      <w:r w:rsidRPr="0078696C">
        <w:rPr>
          <w:rFonts w:ascii="Times New Roman" w:hAnsi="Times New Roman"/>
          <w:color w:val="000000"/>
          <w:sz w:val="28"/>
          <w:szCs w:val="28"/>
        </w:rPr>
        <w:lastRenderedPageBreak/>
        <w:t>створити нову модель пенсійного забезпечення на принципах страхування, пенсійне забезпечення осіб з обмеженими можливостями стало більш диференційованим залежно від ступеню втрати працездатності та групи інвалідності, суттєво розширився список категорій осіб, які мали право на пільгову пенсію за соціальною та професійною ознаками.</w:t>
      </w:r>
    </w:p>
    <w:p w:rsidR="00BF7D36" w:rsidRDefault="00BF7D36" w:rsidP="002F5DAD">
      <w:pPr>
        <w:spacing w:after="0" w:line="360" w:lineRule="auto"/>
        <w:jc w:val="center"/>
        <w:rPr>
          <w:rFonts w:ascii="Times New Roman" w:hAnsi="Times New Roman"/>
          <w:color w:val="000000"/>
          <w:sz w:val="28"/>
          <w:szCs w:val="28"/>
        </w:rPr>
      </w:pPr>
    </w:p>
    <w:p w:rsidR="002F5DAD" w:rsidRPr="0078696C" w:rsidRDefault="003879F6" w:rsidP="002F5DAD">
      <w:pPr>
        <w:spacing w:after="0" w:line="360" w:lineRule="auto"/>
        <w:jc w:val="center"/>
        <w:rPr>
          <w:rFonts w:ascii="Times New Roman" w:hAnsi="Times New Roman"/>
          <w:b/>
          <w:color w:val="000000"/>
          <w:sz w:val="28"/>
          <w:szCs w:val="28"/>
        </w:rPr>
      </w:pPr>
      <w:r w:rsidRPr="0078696C">
        <w:rPr>
          <w:rFonts w:ascii="Times New Roman" w:hAnsi="Times New Roman"/>
          <w:color w:val="000000"/>
          <w:sz w:val="28"/>
          <w:szCs w:val="28"/>
        </w:rPr>
        <w:br w:type="page"/>
      </w:r>
      <w:r w:rsidR="002F5DAD" w:rsidRPr="0078696C">
        <w:rPr>
          <w:rFonts w:ascii="Times New Roman" w:hAnsi="Times New Roman"/>
          <w:b/>
          <w:color w:val="000000"/>
          <w:sz w:val="28"/>
          <w:szCs w:val="28"/>
        </w:rPr>
        <w:lastRenderedPageBreak/>
        <w:t>РОЗДІЛ 2</w:t>
      </w:r>
    </w:p>
    <w:p w:rsidR="00795E62" w:rsidRPr="0078696C" w:rsidRDefault="00795E62" w:rsidP="002F5DAD">
      <w:pPr>
        <w:spacing w:after="0" w:line="360" w:lineRule="auto"/>
        <w:jc w:val="center"/>
        <w:rPr>
          <w:rFonts w:ascii="Times New Roman" w:hAnsi="Times New Roman"/>
          <w:color w:val="000000"/>
          <w:sz w:val="28"/>
          <w:szCs w:val="28"/>
        </w:rPr>
      </w:pPr>
      <w:r w:rsidRPr="0078696C">
        <w:rPr>
          <w:rFonts w:ascii="Times New Roman" w:hAnsi="Times New Roman"/>
          <w:b/>
          <w:color w:val="000000"/>
          <w:sz w:val="28"/>
          <w:szCs w:val="28"/>
        </w:rPr>
        <w:t>СУЧАСНИЙ СТАН ДЕРЖАВНОГО УПРАВЛІННЯ СИСТЕМОЮ ПЕНСІЙНОГО ЗАБЕЗПЕЧЕННЯ УКРАЇНИ</w:t>
      </w:r>
    </w:p>
    <w:p w:rsidR="00795E62" w:rsidRPr="0078696C" w:rsidRDefault="00795E62" w:rsidP="00F00873">
      <w:pPr>
        <w:spacing w:line="360" w:lineRule="auto"/>
        <w:rPr>
          <w:rFonts w:ascii="Times New Roman" w:hAnsi="Times New Roman"/>
          <w:b/>
          <w:color w:val="000000"/>
          <w:sz w:val="28"/>
          <w:szCs w:val="28"/>
        </w:rPr>
      </w:pPr>
    </w:p>
    <w:p w:rsidR="009976CE" w:rsidRPr="0078696C" w:rsidRDefault="00795E62" w:rsidP="00417F7F">
      <w:pPr>
        <w:spacing w:after="0" w:line="360" w:lineRule="auto"/>
        <w:ind w:firstLine="709"/>
        <w:jc w:val="both"/>
        <w:rPr>
          <w:rFonts w:ascii="Times New Roman" w:hAnsi="Times New Roman"/>
          <w:b/>
          <w:color w:val="000000"/>
          <w:sz w:val="28"/>
          <w:szCs w:val="28"/>
        </w:rPr>
      </w:pPr>
      <w:r w:rsidRPr="0078696C">
        <w:rPr>
          <w:rFonts w:ascii="Times New Roman" w:hAnsi="Times New Roman"/>
          <w:b/>
          <w:color w:val="000000"/>
          <w:sz w:val="28"/>
          <w:szCs w:val="28"/>
        </w:rPr>
        <w:t xml:space="preserve">2.1 Основні </w:t>
      </w:r>
      <w:r w:rsidR="00ED14D0" w:rsidRPr="0078696C">
        <w:rPr>
          <w:rFonts w:ascii="Times New Roman" w:hAnsi="Times New Roman"/>
          <w:b/>
          <w:color w:val="000000"/>
          <w:sz w:val="28"/>
          <w:szCs w:val="28"/>
        </w:rPr>
        <w:t xml:space="preserve">етапи </w:t>
      </w:r>
      <w:r w:rsidR="00585215" w:rsidRPr="0078696C">
        <w:rPr>
          <w:rFonts w:ascii="Times New Roman" w:hAnsi="Times New Roman"/>
          <w:b/>
          <w:color w:val="000000"/>
          <w:sz w:val="28"/>
          <w:szCs w:val="28"/>
        </w:rPr>
        <w:t>реформування</w:t>
      </w:r>
      <w:r w:rsidRPr="0078696C">
        <w:rPr>
          <w:rFonts w:ascii="Times New Roman" w:hAnsi="Times New Roman"/>
          <w:b/>
          <w:color w:val="000000"/>
          <w:sz w:val="28"/>
          <w:szCs w:val="28"/>
        </w:rPr>
        <w:t xml:space="preserve"> системи </w:t>
      </w:r>
      <w:r w:rsidR="00417F7F" w:rsidRPr="0078696C">
        <w:rPr>
          <w:rFonts w:ascii="Times New Roman" w:hAnsi="Times New Roman"/>
          <w:b/>
          <w:color w:val="000000"/>
          <w:sz w:val="28"/>
          <w:szCs w:val="28"/>
        </w:rPr>
        <w:t>пенсійного забезпечення України</w:t>
      </w:r>
    </w:p>
    <w:p w:rsidR="00F13124" w:rsidRPr="0078696C" w:rsidRDefault="00794428" w:rsidP="00417F7F">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На</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шляху</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розбудови</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незалежної</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Української</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держави,</w:t>
      </w:r>
      <w:r w:rsidR="005B5F3F" w:rsidRPr="0078696C">
        <w:rPr>
          <w:rFonts w:ascii="Times New Roman" w:hAnsi="Times New Roman"/>
          <w:color w:val="000000"/>
          <w:sz w:val="28"/>
          <w:szCs w:val="28"/>
        </w:rPr>
        <w:t xml:space="preserve"> здатної забезпечити </w:t>
      </w:r>
      <w:r w:rsidRPr="0078696C">
        <w:rPr>
          <w:rFonts w:ascii="Times New Roman" w:hAnsi="Times New Roman"/>
          <w:color w:val="000000"/>
          <w:sz w:val="28"/>
          <w:szCs w:val="28"/>
        </w:rPr>
        <w:t>високий рівень суспільного</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життя населення та соціально-економічного розвитку країни,</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важливим завданням</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є</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ефективне</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реформування</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всіх</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сфер</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життя</w:t>
      </w:r>
      <w:r w:rsidR="007F3B41">
        <w:rPr>
          <w:rFonts w:ascii="Times New Roman" w:hAnsi="Times New Roman"/>
          <w:color w:val="000000"/>
          <w:sz w:val="28"/>
          <w:szCs w:val="28"/>
        </w:rPr>
        <w:t xml:space="preserve"> </w:t>
      </w:r>
      <w:r w:rsidRPr="0078696C">
        <w:rPr>
          <w:rFonts w:ascii="Times New Roman" w:hAnsi="Times New Roman"/>
          <w:color w:val="000000"/>
          <w:sz w:val="28"/>
          <w:szCs w:val="28"/>
        </w:rPr>
        <w:t>суспільства</w:t>
      </w:r>
      <w:r w:rsidR="007F3B41">
        <w:rPr>
          <w:rFonts w:ascii="Times New Roman" w:hAnsi="Times New Roman"/>
          <w:color w:val="000000"/>
          <w:sz w:val="28"/>
          <w:szCs w:val="28"/>
        </w:rPr>
        <w:t xml:space="preserve"> </w:t>
      </w:r>
      <w:r w:rsidR="00F13124" w:rsidRPr="0078696C">
        <w:rPr>
          <w:rFonts w:ascii="Times New Roman" w:hAnsi="Times New Roman"/>
          <w:color w:val="000000"/>
          <w:sz w:val="28"/>
          <w:szCs w:val="28"/>
        </w:rPr>
        <w:t>ві</w:t>
      </w:r>
      <w:r w:rsidRPr="0078696C">
        <w:rPr>
          <w:rFonts w:ascii="Times New Roman" w:hAnsi="Times New Roman"/>
          <w:color w:val="000000"/>
          <w:sz w:val="28"/>
          <w:szCs w:val="28"/>
        </w:rPr>
        <w:t xml:space="preserve">дповідно </w:t>
      </w:r>
      <w:r w:rsidR="005B5F3F" w:rsidRPr="0078696C">
        <w:rPr>
          <w:rFonts w:ascii="Times New Roman" w:hAnsi="Times New Roman"/>
          <w:color w:val="000000"/>
          <w:sz w:val="28"/>
          <w:szCs w:val="28"/>
        </w:rPr>
        <w:t xml:space="preserve">до демократичних </w:t>
      </w:r>
      <w:r w:rsidR="00F13124" w:rsidRPr="0078696C">
        <w:rPr>
          <w:rFonts w:ascii="Times New Roman" w:hAnsi="Times New Roman"/>
          <w:color w:val="000000"/>
          <w:sz w:val="28"/>
          <w:szCs w:val="28"/>
        </w:rPr>
        <w:t>стандартів</w:t>
      </w:r>
      <w:r w:rsidRPr="0078696C">
        <w:rPr>
          <w:rStyle w:val="a8"/>
          <w:rFonts w:ascii="Times New Roman" w:hAnsi="Times New Roman"/>
          <w:color w:val="000000"/>
          <w:sz w:val="28"/>
          <w:szCs w:val="28"/>
        </w:rPr>
        <w:footnoteReference w:id="141"/>
      </w:r>
      <w:r w:rsidRPr="0078696C">
        <w:rPr>
          <w:rFonts w:ascii="Times New Roman" w:hAnsi="Times New Roman"/>
          <w:color w:val="000000"/>
          <w:sz w:val="28"/>
          <w:szCs w:val="28"/>
        </w:rPr>
        <w:t>.</w:t>
      </w:r>
    </w:p>
    <w:p w:rsidR="009976CE" w:rsidRPr="0078696C" w:rsidRDefault="009976CE" w:rsidP="009976CE">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Діюча у 90-ті роки ХХ сторіччя система пенсійного забезпечення  фактично дісталася нам у спадок від колишнього СРСР і за своєю сутністю нічим не відрізнялася від радянської: була солідарною, сформованою за принципом перерозподілу коштів між поколіннями працюючих і пенсіонерів. Пенсійні виплати у ній напряму не були пов'язані із здійсненням цільових відрахувань на пенсійне забезпечення впродовж активної трудової діяльності</w:t>
      </w:r>
      <w:r w:rsidR="00AB52B9" w:rsidRPr="0078696C">
        <w:rPr>
          <w:rFonts w:ascii="Times New Roman" w:hAnsi="Times New Roman"/>
          <w:color w:val="000000"/>
          <w:sz w:val="28"/>
          <w:szCs w:val="28"/>
        </w:rPr>
        <w:t>.</w:t>
      </w:r>
    </w:p>
    <w:p w:rsidR="004A73C4" w:rsidRPr="0078696C" w:rsidRDefault="00303AF6" w:rsidP="00303AF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Після проголошення незалежності України в серпні 1991 року та взяття курсу на європейську інтеграцію перед державними інституціями постало нагальне завдання – створення власної незалежної системи пенсійного забезпечення </w:t>
      </w:r>
      <w:r w:rsidR="00AB52B9" w:rsidRPr="0078696C">
        <w:rPr>
          <w:rFonts w:ascii="Times New Roman" w:hAnsi="Times New Roman"/>
          <w:color w:val="000000"/>
          <w:sz w:val="28"/>
          <w:szCs w:val="28"/>
        </w:rPr>
        <w:t>на основі страхових принципів.</w:t>
      </w:r>
      <w:r w:rsidR="004A73C4" w:rsidRPr="0078696C">
        <w:rPr>
          <w:rFonts w:ascii="Times New Roman" w:hAnsi="Times New Roman"/>
          <w:color w:val="000000"/>
          <w:sz w:val="28"/>
          <w:szCs w:val="28"/>
        </w:rPr>
        <w:t xml:space="preserve"> І саме вимога по реформуванню </w:t>
      </w:r>
      <w:r w:rsidR="00AB52B9" w:rsidRPr="0078696C">
        <w:rPr>
          <w:rFonts w:ascii="Times New Roman" w:hAnsi="Times New Roman"/>
          <w:color w:val="000000"/>
          <w:sz w:val="28"/>
          <w:szCs w:val="28"/>
        </w:rPr>
        <w:t xml:space="preserve">пенсійної системи </w:t>
      </w:r>
      <w:r w:rsidR="00417F7F" w:rsidRPr="0078696C">
        <w:rPr>
          <w:rFonts w:ascii="Times New Roman" w:hAnsi="Times New Roman"/>
          <w:color w:val="000000"/>
          <w:sz w:val="28"/>
          <w:szCs w:val="28"/>
        </w:rPr>
        <w:t>стала</w:t>
      </w:r>
      <w:r w:rsidR="00AB52B9" w:rsidRPr="0078696C">
        <w:rPr>
          <w:rFonts w:ascii="Times New Roman" w:hAnsi="Times New Roman"/>
          <w:color w:val="000000"/>
          <w:sz w:val="28"/>
          <w:szCs w:val="28"/>
        </w:rPr>
        <w:t xml:space="preserve"> однією з ключових, яку вимага</w:t>
      </w:r>
      <w:r w:rsidR="00417F7F" w:rsidRPr="0078696C">
        <w:rPr>
          <w:rFonts w:ascii="Times New Roman" w:hAnsi="Times New Roman"/>
          <w:color w:val="000000"/>
          <w:sz w:val="28"/>
          <w:szCs w:val="28"/>
        </w:rPr>
        <w:t>ло</w:t>
      </w:r>
      <w:r w:rsidR="005B5F3F" w:rsidRPr="0078696C">
        <w:rPr>
          <w:rFonts w:ascii="Times New Roman" w:hAnsi="Times New Roman"/>
          <w:color w:val="000000"/>
          <w:sz w:val="28"/>
          <w:szCs w:val="28"/>
        </w:rPr>
        <w:t xml:space="preserve"> Європейське співтовариство.</w:t>
      </w:r>
    </w:p>
    <w:p w:rsidR="00AB52B9" w:rsidRPr="0078696C" w:rsidRDefault="00AB52B9" w:rsidP="004A73C4">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Реформування пенсійної системи – це складний і комплексний процес, який </w:t>
      </w:r>
      <w:r w:rsidR="004A73C4" w:rsidRPr="0078696C">
        <w:rPr>
          <w:rFonts w:ascii="Times New Roman" w:hAnsi="Times New Roman"/>
          <w:color w:val="000000"/>
          <w:sz w:val="28"/>
          <w:szCs w:val="28"/>
        </w:rPr>
        <w:t xml:space="preserve">поєднує в собі зміни не тільки соціально-економічної сфери суспільства, а є й </w:t>
      </w:r>
      <w:r w:rsidRPr="0078696C">
        <w:rPr>
          <w:rFonts w:ascii="Times New Roman" w:hAnsi="Times New Roman"/>
          <w:color w:val="000000"/>
          <w:sz w:val="28"/>
          <w:szCs w:val="28"/>
        </w:rPr>
        <w:t xml:space="preserve">політичного </w:t>
      </w:r>
      <w:r w:rsidR="004A73C4" w:rsidRPr="0078696C">
        <w:rPr>
          <w:rFonts w:ascii="Times New Roman" w:hAnsi="Times New Roman"/>
          <w:color w:val="000000"/>
          <w:sz w:val="28"/>
          <w:szCs w:val="28"/>
        </w:rPr>
        <w:t>вектору держави</w:t>
      </w:r>
      <w:r w:rsidRPr="0078696C">
        <w:rPr>
          <w:rFonts w:ascii="Times New Roman" w:hAnsi="Times New Roman"/>
          <w:color w:val="000000"/>
          <w:sz w:val="28"/>
          <w:szCs w:val="28"/>
        </w:rPr>
        <w:t xml:space="preserve">. </w:t>
      </w:r>
      <w:r w:rsidR="004A73C4" w:rsidRPr="0078696C">
        <w:rPr>
          <w:rFonts w:ascii="Times New Roman" w:hAnsi="Times New Roman"/>
          <w:color w:val="000000"/>
          <w:sz w:val="28"/>
          <w:szCs w:val="28"/>
        </w:rPr>
        <w:t xml:space="preserve">З огляду на зазначене, </w:t>
      </w:r>
      <w:r w:rsidR="00C227F1" w:rsidRPr="0078696C">
        <w:rPr>
          <w:rFonts w:ascii="Times New Roman" w:hAnsi="Times New Roman"/>
          <w:color w:val="000000"/>
          <w:sz w:val="28"/>
          <w:szCs w:val="28"/>
        </w:rPr>
        <w:t>процес втілення реформ був</w:t>
      </w:r>
      <w:r w:rsidR="004A73C4" w:rsidRPr="0078696C">
        <w:rPr>
          <w:rFonts w:ascii="Times New Roman" w:hAnsi="Times New Roman"/>
          <w:color w:val="000000"/>
          <w:sz w:val="28"/>
          <w:szCs w:val="28"/>
        </w:rPr>
        <w:t xml:space="preserve"> напряму пов'язаний</w:t>
      </w:r>
      <w:r w:rsidR="00C227F1" w:rsidRPr="0078696C">
        <w:rPr>
          <w:rFonts w:ascii="Times New Roman" w:hAnsi="Times New Roman"/>
          <w:color w:val="000000"/>
          <w:sz w:val="28"/>
          <w:szCs w:val="28"/>
        </w:rPr>
        <w:t xml:space="preserve"> з економічною та фінансовою ситуацією в країні, її політичним керівництвом</w:t>
      </w:r>
      <w:r w:rsidRPr="0078696C">
        <w:rPr>
          <w:rFonts w:ascii="Times New Roman" w:hAnsi="Times New Roman"/>
          <w:color w:val="000000"/>
          <w:sz w:val="28"/>
          <w:szCs w:val="28"/>
        </w:rPr>
        <w:t>, функціонування</w:t>
      </w:r>
      <w:r w:rsidR="00226ACD" w:rsidRPr="0078696C">
        <w:rPr>
          <w:rFonts w:ascii="Times New Roman" w:hAnsi="Times New Roman"/>
          <w:color w:val="000000"/>
          <w:sz w:val="28"/>
          <w:szCs w:val="28"/>
        </w:rPr>
        <w:t>м</w:t>
      </w:r>
      <w:r w:rsidRPr="0078696C">
        <w:rPr>
          <w:rFonts w:ascii="Times New Roman" w:hAnsi="Times New Roman"/>
          <w:color w:val="000000"/>
          <w:sz w:val="28"/>
          <w:szCs w:val="28"/>
        </w:rPr>
        <w:t xml:space="preserve"> ринк</w:t>
      </w:r>
      <w:r w:rsidR="00226ACD" w:rsidRPr="0078696C">
        <w:rPr>
          <w:rFonts w:ascii="Times New Roman" w:hAnsi="Times New Roman"/>
          <w:color w:val="000000"/>
          <w:sz w:val="28"/>
          <w:szCs w:val="28"/>
        </w:rPr>
        <w:t>у</w:t>
      </w:r>
      <w:r w:rsidRPr="0078696C">
        <w:rPr>
          <w:rFonts w:ascii="Times New Roman" w:hAnsi="Times New Roman"/>
          <w:color w:val="000000"/>
          <w:sz w:val="28"/>
          <w:szCs w:val="28"/>
        </w:rPr>
        <w:t xml:space="preserve"> праці </w:t>
      </w:r>
      <w:r w:rsidR="00226ACD" w:rsidRPr="0078696C">
        <w:rPr>
          <w:rFonts w:ascii="Times New Roman" w:hAnsi="Times New Roman"/>
          <w:color w:val="000000"/>
          <w:sz w:val="28"/>
          <w:szCs w:val="28"/>
        </w:rPr>
        <w:t>та</w:t>
      </w:r>
      <w:r w:rsidRPr="0078696C">
        <w:rPr>
          <w:rFonts w:ascii="Times New Roman" w:hAnsi="Times New Roman"/>
          <w:color w:val="000000"/>
          <w:sz w:val="28"/>
          <w:szCs w:val="28"/>
        </w:rPr>
        <w:t xml:space="preserve"> капіталу.</w:t>
      </w:r>
    </w:p>
    <w:p w:rsidR="00576B97" w:rsidRPr="0078696C" w:rsidRDefault="00C227F1" w:rsidP="00576B97">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rPr>
        <w:lastRenderedPageBreak/>
        <w:t xml:space="preserve">Становлення та розвиток пенсійної системи сучасної України бере </w:t>
      </w:r>
      <w:r w:rsidR="00226ACD" w:rsidRPr="0078696C">
        <w:rPr>
          <w:rFonts w:ascii="Times New Roman" w:hAnsi="Times New Roman"/>
          <w:color w:val="000000"/>
          <w:sz w:val="28"/>
        </w:rPr>
        <w:t>свій початок</w:t>
      </w:r>
      <w:r w:rsidR="00777771">
        <w:rPr>
          <w:rFonts w:ascii="Times New Roman" w:hAnsi="Times New Roman"/>
          <w:color w:val="000000"/>
          <w:sz w:val="28"/>
        </w:rPr>
        <w:t xml:space="preserve"> </w:t>
      </w:r>
      <w:r w:rsidR="00226ACD" w:rsidRPr="0078696C">
        <w:rPr>
          <w:rFonts w:ascii="Times New Roman" w:hAnsi="Times New Roman"/>
          <w:color w:val="000000"/>
          <w:sz w:val="28"/>
        </w:rPr>
        <w:t>з</w:t>
      </w:r>
      <w:r w:rsidRPr="0078696C">
        <w:rPr>
          <w:rFonts w:ascii="Times New Roman" w:hAnsi="Times New Roman"/>
          <w:color w:val="000000"/>
          <w:sz w:val="28"/>
        </w:rPr>
        <w:t xml:space="preserve"> прийняття у листопаді 1991 року Закону України «Про пенсійне забезпечення», який набрав</w:t>
      </w:r>
      <w:r w:rsidR="00226ACD" w:rsidRPr="0078696C">
        <w:rPr>
          <w:rFonts w:ascii="Times New Roman" w:hAnsi="Times New Roman"/>
          <w:color w:val="000000"/>
          <w:sz w:val="28"/>
        </w:rPr>
        <w:t xml:space="preserve"> чинності з 1 січня 1992 року. Вважаємо, що саме з моменту ухвалення даного Закону варто розпочинати відлік </w:t>
      </w:r>
      <w:r w:rsidR="00303AF6" w:rsidRPr="0078696C">
        <w:rPr>
          <w:rFonts w:ascii="Times New Roman" w:hAnsi="Times New Roman"/>
          <w:color w:val="000000"/>
          <w:sz w:val="28"/>
        </w:rPr>
        <w:t>у періодизації реформ вітчизняної системи пенсійного забезпечення, яку ми пропонуємо</w:t>
      </w:r>
      <w:r w:rsidR="00777771">
        <w:rPr>
          <w:rFonts w:ascii="Times New Roman" w:hAnsi="Times New Roman"/>
          <w:color w:val="000000"/>
          <w:sz w:val="28"/>
        </w:rPr>
        <w:t xml:space="preserve"> </w:t>
      </w:r>
      <w:r w:rsidR="00303AF6" w:rsidRPr="0078696C">
        <w:rPr>
          <w:rFonts w:ascii="Times New Roman" w:hAnsi="Times New Roman"/>
          <w:color w:val="000000"/>
          <w:sz w:val="28"/>
          <w:szCs w:val="28"/>
        </w:rPr>
        <w:t>розглядати в контексті шести основних етапів (додаток</w:t>
      </w:r>
      <w:r w:rsidR="000030F6" w:rsidRPr="0078696C">
        <w:rPr>
          <w:rFonts w:ascii="Times New Roman" w:hAnsi="Times New Roman"/>
          <w:color w:val="000000"/>
          <w:sz w:val="28"/>
          <w:szCs w:val="28"/>
        </w:rPr>
        <w:t xml:space="preserve"> Б.2</w:t>
      </w:r>
      <w:r w:rsidR="005B5F3F" w:rsidRPr="0078696C">
        <w:rPr>
          <w:rFonts w:ascii="Times New Roman" w:hAnsi="Times New Roman"/>
          <w:color w:val="000000"/>
          <w:sz w:val="28"/>
          <w:szCs w:val="28"/>
        </w:rPr>
        <w:t>).</w:t>
      </w:r>
    </w:p>
    <w:p w:rsidR="00795E62" w:rsidRPr="0078696C" w:rsidRDefault="00795E62" w:rsidP="00724FE9">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 xml:space="preserve">Перший етап </w:t>
      </w:r>
      <w:r w:rsidRPr="0078696C">
        <w:rPr>
          <w:rFonts w:ascii="Times New Roman" w:hAnsi="Times New Roman"/>
          <w:color w:val="000000"/>
          <w:sz w:val="28"/>
          <w:szCs w:val="28"/>
        </w:rPr>
        <w:t>(1991-1997 роки) характеризується створенням власної нормативно-правової, фінансової та управлінської бази для побудови та формування самостійної української системи пенсійного забезпечення.</w:t>
      </w:r>
    </w:p>
    <w:p w:rsidR="00C374F2" w:rsidRPr="0078696C" w:rsidRDefault="00C374F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Як нами зазначалося вище, </w:t>
      </w:r>
      <w:r w:rsidRPr="0078696C">
        <w:rPr>
          <w:rFonts w:ascii="Times New Roman" w:hAnsi="Times New Roman"/>
          <w:color w:val="000000"/>
          <w:sz w:val="28"/>
        </w:rPr>
        <w:t xml:space="preserve">у листопаді 1991 року </w:t>
      </w:r>
      <w:r w:rsidRPr="0078696C">
        <w:rPr>
          <w:rFonts w:ascii="Times New Roman" w:hAnsi="Times New Roman"/>
          <w:color w:val="000000"/>
          <w:sz w:val="28"/>
          <w:szCs w:val="28"/>
        </w:rPr>
        <w:t xml:space="preserve">було ухвалено </w:t>
      </w:r>
      <w:r w:rsidR="00795E62" w:rsidRPr="0078696C">
        <w:rPr>
          <w:rFonts w:ascii="Times New Roman" w:hAnsi="Times New Roman"/>
          <w:color w:val="000000"/>
          <w:sz w:val="28"/>
          <w:szCs w:val="28"/>
        </w:rPr>
        <w:t xml:space="preserve">Закон України «Про пенсійне забезпечення», </w:t>
      </w:r>
      <w:r w:rsidRPr="0078696C">
        <w:rPr>
          <w:rFonts w:ascii="Times New Roman" w:hAnsi="Times New Roman"/>
          <w:color w:val="000000"/>
          <w:sz w:val="28"/>
          <w:szCs w:val="28"/>
        </w:rPr>
        <w:t>якийгарантував всім непрацездатним громадянам України право на матеріальне забезпечення за рахунок суспільних фондів споживання шляхом надання трудових (за віком, по інвалідності, в разі втрати годувальника, за вислугу років) і соціальних пенсій особам, які не мали право на пенсію, інвалідам та деяким іншим категоріям населення</w:t>
      </w:r>
      <w:r w:rsidR="00425633" w:rsidRPr="0078696C">
        <w:rPr>
          <w:rStyle w:val="a8"/>
          <w:rFonts w:ascii="Times New Roman" w:hAnsi="Times New Roman"/>
          <w:color w:val="000000"/>
          <w:sz w:val="28"/>
          <w:szCs w:val="28"/>
        </w:rPr>
        <w:footnoteReference w:id="142"/>
      </w:r>
      <w:r w:rsidRPr="0078696C">
        <w:rPr>
          <w:rFonts w:ascii="Times New Roman" w:hAnsi="Times New Roman"/>
          <w:color w:val="000000"/>
          <w:sz w:val="28"/>
          <w:szCs w:val="28"/>
        </w:rPr>
        <w:t>.</w:t>
      </w:r>
    </w:p>
    <w:p w:rsidR="00A979E3" w:rsidRPr="0078696C" w:rsidRDefault="00425633" w:rsidP="0042563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Крім цього, даний Закон </w:t>
      </w:r>
      <w:r w:rsidR="00795E62" w:rsidRPr="0078696C">
        <w:rPr>
          <w:rFonts w:ascii="Times New Roman" w:hAnsi="Times New Roman"/>
          <w:color w:val="000000"/>
          <w:sz w:val="28"/>
          <w:szCs w:val="28"/>
        </w:rPr>
        <w:t>чітко визначав статус Пенсійного фонду як самостійної фінансово-банківської системи</w:t>
      </w:r>
      <w:r w:rsidR="00A979E3" w:rsidRPr="0078696C">
        <w:rPr>
          <w:rStyle w:val="a8"/>
          <w:rFonts w:ascii="Times New Roman" w:hAnsi="Times New Roman"/>
          <w:color w:val="000000"/>
          <w:sz w:val="28"/>
          <w:szCs w:val="28"/>
        </w:rPr>
        <w:footnoteReference w:id="143"/>
      </w:r>
      <w:r w:rsidR="00795E62"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 розпочалася робота зі створення Пенсiйного фонду України, яка завершилася 28 сiчня 1992 року ухваленням постанови Кабiнету Мiнiстрiв України №39 про створення на базi Українського республіканського вiддiлення Пенсiйного фонду СРСР Пенсiйного фонду України, а на базі філій, відділень – управлінь в Автономній Республіці Крим, областях і місті Києві </w:t>
      </w:r>
      <w:r w:rsidRPr="0078696C">
        <w:rPr>
          <w:rFonts w:ascii="Times New Roman" w:hAnsi="Times New Roman"/>
          <w:color w:val="000000"/>
          <w:sz w:val="28"/>
          <w:szCs w:val="28"/>
          <w:vertAlign w:val="superscript"/>
        </w:rPr>
        <w:footnoteReference w:id="144"/>
      </w:r>
      <w:r w:rsidRPr="0078696C">
        <w:rPr>
          <w:rFonts w:ascii="Times New Roman" w:hAnsi="Times New Roman"/>
          <w:color w:val="000000"/>
          <w:sz w:val="28"/>
          <w:szCs w:val="28"/>
        </w:rPr>
        <w:t>. Управління Пенсійного фонду у місті Сева</w:t>
      </w:r>
      <w:r w:rsidR="00612CFA" w:rsidRPr="0078696C">
        <w:rPr>
          <w:rFonts w:ascii="Times New Roman" w:hAnsi="Times New Roman"/>
          <w:color w:val="000000"/>
          <w:sz w:val="28"/>
          <w:szCs w:val="28"/>
        </w:rPr>
        <w:t>стополі було утворено згідно з п</w:t>
      </w:r>
      <w:r w:rsidRPr="0078696C">
        <w:rPr>
          <w:rFonts w:ascii="Times New Roman" w:hAnsi="Times New Roman"/>
          <w:color w:val="000000"/>
          <w:sz w:val="28"/>
          <w:szCs w:val="28"/>
        </w:rPr>
        <w:t xml:space="preserve">остановою Кабінету Міністрів України №534 від 16 вересня 1992 року на базі міського відділу Кримського республіканського управління Фонду </w:t>
      </w:r>
      <w:r w:rsidRPr="0078696C">
        <w:rPr>
          <w:rFonts w:ascii="Times New Roman" w:hAnsi="Times New Roman"/>
          <w:color w:val="000000"/>
          <w:sz w:val="28"/>
          <w:szCs w:val="28"/>
          <w:vertAlign w:val="superscript"/>
        </w:rPr>
        <w:footnoteReference w:id="145"/>
      </w:r>
      <w:r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Урядовою постановою був затверджений перший склад правління Пенсійного фонду та перше положення про Фонд, на підставі якого він почав діяти. До цього ж часу виконання функцій, покладених на Пенсійний фонд, у районах і містах продовжували виконувати уповноважені відповідних обласних управлінь. А ще за </w:t>
      </w:r>
      <w:r w:rsidR="00231D91" w:rsidRPr="0078696C">
        <w:rPr>
          <w:rFonts w:ascii="Times New Roman" w:hAnsi="Times New Roman"/>
          <w:color w:val="000000"/>
          <w:sz w:val="28"/>
          <w:szCs w:val="28"/>
        </w:rPr>
        <w:t>кілька</w:t>
      </w:r>
      <w:r w:rsidR="00777771">
        <w:rPr>
          <w:rFonts w:ascii="Times New Roman" w:hAnsi="Times New Roman"/>
          <w:color w:val="000000"/>
          <w:sz w:val="28"/>
          <w:szCs w:val="28"/>
        </w:rPr>
        <w:t xml:space="preserve"> </w:t>
      </w:r>
      <w:r w:rsidR="00231D91" w:rsidRPr="0078696C">
        <w:rPr>
          <w:rFonts w:ascii="Times New Roman" w:hAnsi="Times New Roman"/>
          <w:color w:val="000000"/>
          <w:sz w:val="28"/>
          <w:szCs w:val="28"/>
        </w:rPr>
        <w:t>тижнів</w:t>
      </w:r>
      <w:r w:rsidRPr="0078696C">
        <w:rPr>
          <w:rFonts w:ascii="Times New Roman" w:hAnsi="Times New Roman"/>
          <w:color w:val="000000"/>
          <w:sz w:val="28"/>
          <w:szCs w:val="28"/>
        </w:rPr>
        <w:t xml:space="preserve"> щойно утворене </w:t>
      </w:r>
      <w:r w:rsidR="00231D91" w:rsidRPr="0078696C">
        <w:rPr>
          <w:rFonts w:ascii="Times New Roman" w:hAnsi="Times New Roman"/>
          <w:color w:val="000000"/>
          <w:sz w:val="28"/>
          <w:szCs w:val="28"/>
        </w:rPr>
        <w:t>правління</w:t>
      </w:r>
      <w:r w:rsidR="00777771">
        <w:rPr>
          <w:rFonts w:ascii="Times New Roman" w:hAnsi="Times New Roman"/>
          <w:color w:val="000000"/>
          <w:sz w:val="28"/>
          <w:szCs w:val="28"/>
        </w:rPr>
        <w:t xml:space="preserve"> </w:t>
      </w:r>
      <w:r w:rsidR="00231D91" w:rsidRPr="0078696C">
        <w:rPr>
          <w:rFonts w:ascii="Times New Roman" w:hAnsi="Times New Roman"/>
          <w:color w:val="000000"/>
          <w:sz w:val="28"/>
          <w:szCs w:val="28"/>
        </w:rPr>
        <w:t>Пенсійного</w:t>
      </w:r>
      <w:r w:rsidRPr="0078696C">
        <w:rPr>
          <w:rFonts w:ascii="Times New Roman" w:hAnsi="Times New Roman"/>
          <w:color w:val="000000"/>
          <w:sz w:val="28"/>
          <w:szCs w:val="28"/>
        </w:rPr>
        <w:t xml:space="preserve"> фонду України затвердило </w:t>
      </w:r>
      <w:r w:rsidR="00231D91" w:rsidRPr="0078696C">
        <w:rPr>
          <w:rFonts w:ascii="Times New Roman" w:hAnsi="Times New Roman"/>
          <w:color w:val="000000"/>
          <w:sz w:val="28"/>
          <w:szCs w:val="28"/>
        </w:rPr>
        <w:t>власні</w:t>
      </w:r>
      <w:r w:rsidR="00777771">
        <w:rPr>
          <w:rFonts w:ascii="Times New Roman" w:hAnsi="Times New Roman"/>
          <w:color w:val="000000"/>
          <w:sz w:val="28"/>
          <w:szCs w:val="28"/>
        </w:rPr>
        <w:t xml:space="preserve"> </w:t>
      </w:r>
      <w:r w:rsidR="00231D91" w:rsidRPr="0078696C">
        <w:rPr>
          <w:rFonts w:ascii="Times New Roman" w:hAnsi="Times New Roman"/>
          <w:color w:val="000000"/>
          <w:sz w:val="28"/>
          <w:szCs w:val="28"/>
        </w:rPr>
        <w:t>нормативні документи: інструкці</w:t>
      </w:r>
      <w:r w:rsidRPr="0078696C">
        <w:rPr>
          <w:rFonts w:ascii="Times New Roman" w:hAnsi="Times New Roman"/>
          <w:color w:val="000000"/>
          <w:sz w:val="28"/>
          <w:szCs w:val="28"/>
        </w:rPr>
        <w:t xml:space="preserve">ю зі сплати збору, положення про </w:t>
      </w:r>
      <w:r w:rsidR="00231D91" w:rsidRPr="0078696C">
        <w:rPr>
          <w:rFonts w:ascii="Times New Roman" w:hAnsi="Times New Roman"/>
          <w:color w:val="000000"/>
          <w:sz w:val="28"/>
          <w:szCs w:val="28"/>
        </w:rPr>
        <w:t>управління</w:t>
      </w:r>
      <w:r w:rsidR="00777771">
        <w:rPr>
          <w:rFonts w:ascii="Times New Roman" w:hAnsi="Times New Roman"/>
          <w:color w:val="000000"/>
          <w:sz w:val="28"/>
          <w:szCs w:val="28"/>
        </w:rPr>
        <w:t xml:space="preserve"> </w:t>
      </w:r>
      <w:r w:rsidR="00231D91" w:rsidRPr="0078696C">
        <w:rPr>
          <w:rFonts w:ascii="Times New Roman" w:hAnsi="Times New Roman"/>
          <w:color w:val="000000"/>
          <w:sz w:val="28"/>
          <w:szCs w:val="28"/>
        </w:rPr>
        <w:t>Пенсійного</w:t>
      </w:r>
      <w:r w:rsidRPr="0078696C">
        <w:rPr>
          <w:rFonts w:ascii="Times New Roman" w:hAnsi="Times New Roman"/>
          <w:color w:val="000000"/>
          <w:sz w:val="28"/>
          <w:szCs w:val="28"/>
        </w:rPr>
        <w:t xml:space="preserve"> фонду в АР Крим, областях та м. </w:t>
      </w:r>
      <w:r w:rsidR="00231D91" w:rsidRPr="0078696C">
        <w:rPr>
          <w:rFonts w:ascii="Times New Roman" w:hAnsi="Times New Roman"/>
          <w:color w:val="000000"/>
          <w:sz w:val="28"/>
          <w:szCs w:val="28"/>
        </w:rPr>
        <w:t>Києві</w:t>
      </w:r>
      <w:r w:rsidRPr="0078696C">
        <w:rPr>
          <w:rFonts w:ascii="Times New Roman" w:hAnsi="Times New Roman"/>
          <w:color w:val="000000"/>
          <w:sz w:val="28"/>
          <w:szCs w:val="28"/>
        </w:rPr>
        <w:t>. Тобто на початку 1992 року законодавча база функціонування Пенсійного фонду нової незалежної держави була повністю сформована.</w:t>
      </w:r>
    </w:p>
    <w:p w:rsidR="00795E62" w:rsidRPr="0078696C" w:rsidRDefault="00C808D8"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 1994-</w:t>
      </w:r>
      <w:r w:rsidR="00795E62" w:rsidRPr="0078696C">
        <w:rPr>
          <w:rFonts w:ascii="Times New Roman" w:hAnsi="Times New Roman"/>
          <w:color w:val="000000"/>
          <w:sz w:val="28"/>
          <w:szCs w:val="28"/>
        </w:rPr>
        <w:t xml:space="preserve">1997 роках згідно з Законами про Державний бюджет на відповідні роки кошти Пенсійного фонду включалися до складу Держбюджету. Починаючи з 1997 року Пенсійний фонд України став державним позабюджетним цільовим фондом. Перехід на фінансування пенсій через Пенсійний фонд сам по собі одразу не міг вирішити всіх складних питань у сфері пенсійного забезпечення, натомість висвітлив та окреслив багато інших проблем і чинників як усередині самої пенсійної системи, так і поза її межами, які мали значний негативний вплив на її фінансовий стан. Зокрема поширилося таке явище, як неплатежі до Пенсійного фонду на тлі глибокої затяжної економічної кризи, яка породила тінізацію економіки та безробіття, суттєво підірвала і деформувала фінансову базу пенсійної системи. Негативний вплив на її фінансовий стан справляло покладення на видатки Фонду фінансування пенсій окремим категоріям громадян відповідно до ухвалених за ці роки у чималій кількості законів, які регулювали питання пенсійного забезпечення разом з базовим Законом «Про пенсійне забезпечення» </w:t>
      </w:r>
      <w:r w:rsidR="00640D1B" w:rsidRPr="0078696C">
        <w:rPr>
          <w:rStyle w:val="a8"/>
          <w:rFonts w:ascii="Times New Roman" w:hAnsi="Times New Roman"/>
          <w:color w:val="000000"/>
          <w:sz w:val="28"/>
          <w:szCs w:val="28"/>
        </w:rPr>
        <w:footnoteReference w:id="146"/>
      </w:r>
      <w:r w:rsidR="00795E62" w:rsidRPr="0078696C">
        <w:rPr>
          <w:rFonts w:ascii="Times New Roman" w:hAnsi="Times New Roman"/>
          <w:color w:val="000000"/>
          <w:sz w:val="28"/>
          <w:szCs w:val="28"/>
        </w:rPr>
        <w:t>(наприклад, закони України «Про державну службу»</w:t>
      </w:r>
      <w:r w:rsidR="00640D1B" w:rsidRPr="0078696C">
        <w:rPr>
          <w:rStyle w:val="a8"/>
          <w:rFonts w:ascii="Times New Roman" w:hAnsi="Times New Roman"/>
          <w:color w:val="000000"/>
          <w:sz w:val="28"/>
          <w:szCs w:val="28"/>
        </w:rPr>
        <w:footnoteReference w:id="147"/>
      </w:r>
      <w:r w:rsidR="00795E62" w:rsidRPr="0078696C">
        <w:rPr>
          <w:rFonts w:ascii="Times New Roman" w:hAnsi="Times New Roman"/>
          <w:color w:val="000000"/>
          <w:sz w:val="28"/>
          <w:szCs w:val="28"/>
        </w:rPr>
        <w:t>, «Про прокуратуру»</w:t>
      </w:r>
      <w:r w:rsidR="00640D1B" w:rsidRPr="0078696C">
        <w:rPr>
          <w:rStyle w:val="a8"/>
          <w:rFonts w:ascii="Times New Roman" w:hAnsi="Times New Roman"/>
          <w:color w:val="000000"/>
          <w:sz w:val="28"/>
          <w:szCs w:val="28"/>
        </w:rPr>
        <w:footnoteReference w:id="148"/>
      </w:r>
      <w:r w:rsidR="00795E62" w:rsidRPr="0078696C">
        <w:rPr>
          <w:rFonts w:ascii="Times New Roman" w:hAnsi="Times New Roman"/>
          <w:color w:val="000000"/>
          <w:sz w:val="28"/>
          <w:szCs w:val="28"/>
        </w:rPr>
        <w:t xml:space="preserve">, «Про статус і соціальний захист громадян, що постраждали внаслідок Чорнобильської </w:t>
      </w:r>
      <w:r w:rsidR="00795E62" w:rsidRPr="0078696C">
        <w:rPr>
          <w:rFonts w:ascii="Times New Roman" w:hAnsi="Times New Roman"/>
          <w:color w:val="000000"/>
          <w:sz w:val="28"/>
          <w:szCs w:val="28"/>
        </w:rPr>
        <w:lastRenderedPageBreak/>
        <w:t>катастрофи»</w:t>
      </w:r>
      <w:r w:rsidR="00640D1B" w:rsidRPr="0078696C">
        <w:rPr>
          <w:rStyle w:val="a8"/>
          <w:rFonts w:ascii="Times New Roman" w:hAnsi="Times New Roman"/>
          <w:color w:val="000000"/>
          <w:sz w:val="28"/>
          <w:szCs w:val="28"/>
        </w:rPr>
        <w:footnoteReference w:id="149"/>
      </w:r>
      <w:r w:rsidR="00795E62" w:rsidRPr="0078696C">
        <w:rPr>
          <w:rFonts w:ascii="Times New Roman" w:hAnsi="Times New Roman"/>
          <w:color w:val="000000"/>
          <w:sz w:val="28"/>
          <w:szCs w:val="28"/>
        </w:rPr>
        <w:t>, «Про статус суддів»</w:t>
      </w:r>
      <w:r w:rsidR="00640D1B" w:rsidRPr="0078696C">
        <w:rPr>
          <w:rStyle w:val="a8"/>
          <w:rFonts w:ascii="Times New Roman" w:hAnsi="Times New Roman"/>
          <w:color w:val="000000"/>
          <w:sz w:val="28"/>
          <w:szCs w:val="28"/>
        </w:rPr>
        <w:footnoteReference w:id="150"/>
      </w:r>
      <w:r w:rsidR="00795E62" w:rsidRPr="0078696C">
        <w:rPr>
          <w:rFonts w:ascii="Times New Roman" w:hAnsi="Times New Roman"/>
          <w:color w:val="000000"/>
          <w:sz w:val="28"/>
          <w:szCs w:val="28"/>
        </w:rPr>
        <w:t>, «Про наукову та науково-технічну діяльність»</w:t>
      </w:r>
      <w:r w:rsidR="00640D1B" w:rsidRPr="0078696C">
        <w:rPr>
          <w:rStyle w:val="a8"/>
          <w:rFonts w:ascii="Times New Roman" w:hAnsi="Times New Roman"/>
          <w:color w:val="000000"/>
          <w:sz w:val="28"/>
          <w:szCs w:val="28"/>
        </w:rPr>
        <w:footnoteReference w:id="151"/>
      </w:r>
      <w:r w:rsidR="00795E62" w:rsidRPr="0078696C">
        <w:rPr>
          <w:rFonts w:ascii="Times New Roman" w:hAnsi="Times New Roman"/>
          <w:color w:val="000000"/>
          <w:sz w:val="28"/>
          <w:szCs w:val="28"/>
        </w:rPr>
        <w:t>, «Про статус народного депутата України»</w:t>
      </w:r>
      <w:r w:rsidR="00640D1B" w:rsidRPr="0078696C">
        <w:rPr>
          <w:rStyle w:val="a8"/>
          <w:rFonts w:ascii="Times New Roman" w:hAnsi="Times New Roman"/>
          <w:color w:val="000000"/>
          <w:sz w:val="28"/>
          <w:szCs w:val="28"/>
        </w:rPr>
        <w:footnoteReference w:id="152"/>
      </w:r>
      <w:r w:rsidR="00795E62" w:rsidRPr="0078696C">
        <w:rPr>
          <w:rFonts w:ascii="Times New Roman" w:hAnsi="Times New Roman"/>
          <w:color w:val="000000"/>
          <w:sz w:val="28"/>
          <w:szCs w:val="28"/>
        </w:rPr>
        <w:t xml:space="preserve"> та ін.). Крім того, в різний час за кошти Фонду фінансувалися соціальні виплати, які взагалі не були пов’язані з пенсійною системою і за своєю природою мали б здійснюватися за бюджетні кошти – допомога на дітей, доплати на догляд за інвалідами та ін. Фінансування з коштів Пенсійного фонду пенсій, призначених на пільгових умовах у зв’язку зі шкідливими умовами праці, також можна віднести до негативних факторів. Починаючи з 1992 року пенсійні гарантії таких працівників були значно розширені. Разом з тим, не зважаючи на обов’язок відшкодування відповідних витрат Фонду підприємствами, де існують згадані умови, реальний рівень відшкодування витрат на виплату пенсій за так званими Списками № 1 та № 2 наприкінці 1990-х становив у середньому лише 30%. Унаслідок усього цього з 1995 року почала виникати заборгованість з виплати пенсій. І це при тому, що рівень пенсійного забезпечення залишився низьким, а його диференціацію залежно від трудового внеску працівника фактично було втрачено.</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Все це формувало в суспільстві усвідомлення необхідності проведення пенсійної реформи, але для її здійснення потрібно було подолати гострі кризові явища у самій пенсійній системі. Тож головним завданням Пенсійного фонду у другій половині 1990-х років стали фінансова стабілізація пенсійної системи, ліквідація заборгованості з виплати пенсій, створення необхідних передумов для проведення пенсійної реформи.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 xml:space="preserve">Другий етап </w:t>
      </w:r>
      <w:r w:rsidRPr="0078696C">
        <w:rPr>
          <w:rFonts w:ascii="Times New Roman" w:hAnsi="Times New Roman"/>
          <w:color w:val="000000"/>
          <w:sz w:val="28"/>
          <w:szCs w:val="28"/>
        </w:rPr>
        <w:t>(1998-2003 роки)</w:t>
      </w:r>
      <w:r w:rsidR="005753DE" w:rsidRPr="0078696C">
        <w:rPr>
          <w:rFonts w:ascii="Times New Roman" w:hAnsi="Times New Roman"/>
          <w:color w:val="000000"/>
          <w:sz w:val="28"/>
          <w:szCs w:val="28"/>
        </w:rPr>
        <w:t xml:space="preserve"> розпочинається з </w:t>
      </w:r>
      <w:r w:rsidRPr="0078696C">
        <w:rPr>
          <w:rFonts w:ascii="Times New Roman" w:hAnsi="Times New Roman"/>
          <w:color w:val="000000"/>
          <w:sz w:val="28"/>
          <w:szCs w:val="28"/>
        </w:rPr>
        <w:t xml:space="preserve">прийняття у 1998 р. «Основ законодавства про соціальне страхування», якими визначено, що пенсійне реформування здійснюватиметься в напрямі створення </w:t>
      </w:r>
      <w:r w:rsidRPr="0078696C">
        <w:rPr>
          <w:rFonts w:ascii="Times New Roman" w:hAnsi="Times New Roman"/>
          <w:color w:val="000000"/>
          <w:sz w:val="28"/>
          <w:szCs w:val="28"/>
        </w:rPr>
        <w:lastRenderedPageBreak/>
        <w:t>багаторівневого пенсійного забезпечення на принципах страхової та солідарної системи</w:t>
      </w:r>
      <w:r w:rsidRPr="0078696C">
        <w:rPr>
          <w:rFonts w:ascii="Times New Roman" w:hAnsi="Times New Roman"/>
          <w:color w:val="000000"/>
          <w:sz w:val="28"/>
          <w:szCs w:val="28"/>
          <w:vertAlign w:val="superscript"/>
        </w:rPr>
        <w:footnoteReference w:id="153"/>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Концепцію реформування та структуру майбутньої пенсійної системи України запропоновано Указом Президента України від 13 квітня 1998 р. «Про Основні напрями реформування пенсійного забезпечення в Україні»</w:t>
      </w:r>
      <w:r w:rsidR="001D39F3" w:rsidRPr="0078696C">
        <w:rPr>
          <w:rStyle w:val="a8"/>
          <w:rFonts w:ascii="Times New Roman" w:hAnsi="Times New Roman"/>
          <w:color w:val="000000"/>
          <w:sz w:val="28"/>
          <w:szCs w:val="28"/>
        </w:rPr>
        <w:footnoteReference w:id="154"/>
      </w:r>
      <w:r w:rsidRPr="0078696C">
        <w:rPr>
          <w:rFonts w:ascii="Times New Roman" w:hAnsi="Times New Roman"/>
          <w:color w:val="000000"/>
          <w:sz w:val="28"/>
          <w:szCs w:val="28"/>
        </w:rPr>
        <w:t>. Цим актом були визначені етапи здійснення важливої для суспільства реформи та основні її завдання</w:t>
      </w:r>
      <w:r w:rsidR="001D39F3"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Звісно, Концепція була б неповною без здійснення реальних управлінських заходів, спрямованих на виконання основних завдань реформи. І на даному шляху, з метою забезпечення захисту інтересів пенсіонерів під час запровадження нового порядку виплати пенсій, Указом Президента України </w:t>
      </w:r>
      <w:r w:rsidR="00724FE9" w:rsidRPr="0078696C">
        <w:rPr>
          <w:rFonts w:ascii="Times New Roman" w:hAnsi="Times New Roman"/>
          <w:color w:val="000000"/>
          <w:sz w:val="28"/>
          <w:szCs w:val="28"/>
        </w:rPr>
        <w:br/>
      </w:r>
      <w:r w:rsidRPr="0078696C">
        <w:rPr>
          <w:rFonts w:ascii="Times New Roman" w:hAnsi="Times New Roman"/>
          <w:color w:val="000000"/>
          <w:sz w:val="28"/>
          <w:szCs w:val="28"/>
        </w:rPr>
        <w:t xml:space="preserve">Л. Кучми від 10.09.1998 р. № 997/98 було встановлено проведення обов’язкових заходів щодо поетапного з 1 січня 1999 року до 1 липня 1999 року запровадження виплати пенсій та грошової допомоги через особові рахунки пенсіонерів в установах банків (крім пенсіонерів та одержувачів грошової допомоги, які проживають у сільській місцевості, де немає відділень установ банків), передбачивши при цьому безоплатну доставку пенсій і грошової допомоги пенсіонерам, які за станом здоров'я не можуть самостійно отримувати їх в установах банків </w:t>
      </w:r>
      <w:r w:rsidRPr="0078696C">
        <w:rPr>
          <w:rFonts w:ascii="Times New Roman" w:hAnsi="Times New Roman"/>
          <w:color w:val="000000"/>
          <w:sz w:val="28"/>
          <w:szCs w:val="28"/>
          <w:vertAlign w:val="superscript"/>
        </w:rPr>
        <w:footnoteReference w:id="155"/>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10 жовтня 2001 року Президент України звернувся до Верховної Р</w:t>
      </w:r>
      <w:r w:rsidR="004C7590" w:rsidRPr="0078696C">
        <w:rPr>
          <w:rFonts w:ascii="Times New Roman" w:hAnsi="Times New Roman"/>
          <w:color w:val="000000"/>
          <w:sz w:val="28"/>
          <w:szCs w:val="28"/>
        </w:rPr>
        <w:t>ади та Кабінету Міністрів з Посл</w:t>
      </w:r>
      <w:r w:rsidRPr="0078696C">
        <w:rPr>
          <w:rFonts w:ascii="Times New Roman" w:hAnsi="Times New Roman"/>
          <w:color w:val="000000"/>
          <w:sz w:val="28"/>
          <w:szCs w:val="28"/>
        </w:rPr>
        <w:t xml:space="preserve">анням під назвою «Про Основні напрями реформування системи пенсійного забезпечення населення України». Даний документ насправді є історичним, адже вперше за багато років Глава держави привернув справжню увагу всього суспільства до проблем діючої пенсійної </w:t>
      </w:r>
      <w:r w:rsidRPr="0078696C">
        <w:rPr>
          <w:rFonts w:ascii="Times New Roman" w:hAnsi="Times New Roman"/>
          <w:color w:val="000000"/>
          <w:sz w:val="28"/>
          <w:szCs w:val="28"/>
        </w:rPr>
        <w:lastRenderedPageBreak/>
        <w:t xml:space="preserve">системи, які мали, на переконання Президента, соціальний та економічний характер </w:t>
      </w:r>
      <w:r w:rsidRPr="0078696C">
        <w:rPr>
          <w:rFonts w:ascii="Times New Roman" w:hAnsi="Times New Roman"/>
          <w:color w:val="000000"/>
          <w:sz w:val="28"/>
          <w:szCs w:val="28"/>
          <w:vertAlign w:val="superscript"/>
        </w:rPr>
        <w:footnoteReference w:id="156"/>
      </w:r>
      <w:r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Серед основних проблем соціального характеру на той час були: низький рівень трудових пенсій; необхідність продовжувати працювати, перебуваючи на пенсії, в зв’язку з вкрай мізерними пенсійними виплатами; відсутність прямого зв’язку між розміром пенсії та трудовим стажем особи, а також сплаченими пенсійними внесками, в зв’язку з цим незацікавленість роботодавців і працівників у сплаті внесків; величезна диференціація у розмірах пенсій, призначених за різними законами; колосальний розрив у розмірі мінімальних та максимальних пенсій; збільшення кількості дострокових пенсій; відсутність обмежень у розмірі заробітку, з якого обчислюється пенсія, при наявності обмеження у максимальному розмірі пенсійного внеску; несправедливі обмеження у розмірі пенсій різних категорій громадян; відсутність співмірності між сумою сплачених особою за життя страхових внесків та розміром пенсії в зв’язку з втратою годувальника; наявність широкого кола пільг при сплаті внесків; надто складні і непрозорі процедури призначення та перерахунку пенсій; відсутність кодифікації пенсійного законодавства.</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Серед проблем економічного характеру того часу можна виділити: високі навантаження на роботодавців при сплаті внесків за працівників, а звідси – тінізація економіки та безробіття; низький рівень оплати праці і заборгованість з її виплати; виплата заробітної плати у натуральній формі; поширення пільг у сплаті пенсійних внесків; періодичне списання заборгованості перед Пенсійним фондом тощо.</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 виконання завдань, поставлених у цих документах, і була спрямована робота всієї системи Пенсійного фонду. Принципи загальнодержавного обов’язкового пенсійного страхування вимагали створення системи обліку, яка б дозволяла мати інформацію про сплату пенсійних внесків застрахованими </w:t>
      </w:r>
      <w:r w:rsidRPr="0078696C">
        <w:rPr>
          <w:rFonts w:ascii="Times New Roman" w:hAnsi="Times New Roman"/>
          <w:color w:val="000000"/>
          <w:sz w:val="28"/>
          <w:szCs w:val="28"/>
        </w:rPr>
        <w:lastRenderedPageBreak/>
        <w:t>особами та їх роботодавцями. Тому, на виконання Указу Президента України від 04.05.1998 р. № 401 «Про заходи щодо впровадження персоніфікованого обліку відомостей у системі обов'язкового державного пенсійного</w:t>
      </w:r>
      <w:r w:rsidR="000E6E9A">
        <w:rPr>
          <w:rFonts w:ascii="Times New Roman" w:hAnsi="Times New Roman"/>
          <w:color w:val="000000"/>
          <w:sz w:val="28"/>
          <w:szCs w:val="28"/>
        </w:rPr>
        <w:br/>
      </w:r>
      <w:r w:rsidRPr="0078696C">
        <w:rPr>
          <w:rFonts w:ascii="Times New Roman" w:hAnsi="Times New Roman"/>
          <w:color w:val="000000"/>
          <w:sz w:val="28"/>
          <w:szCs w:val="28"/>
        </w:rPr>
        <w:t xml:space="preserve"> страхування»</w:t>
      </w:r>
      <w:r w:rsidRPr="0078696C">
        <w:rPr>
          <w:rFonts w:ascii="Times New Roman" w:hAnsi="Times New Roman"/>
          <w:color w:val="000000"/>
          <w:sz w:val="28"/>
          <w:szCs w:val="28"/>
          <w:vertAlign w:val="superscript"/>
        </w:rPr>
        <w:footnoteReference w:id="157"/>
      </w:r>
      <w:r w:rsidRPr="0078696C">
        <w:rPr>
          <w:rFonts w:ascii="Times New Roman" w:hAnsi="Times New Roman"/>
          <w:color w:val="000000"/>
          <w:sz w:val="28"/>
          <w:szCs w:val="28"/>
        </w:rPr>
        <w:t>, постанов Кабінету Міністрів України від 04.06.1998 р. № 794 «Про затвердження Положення про організацію персоніфікованого обліку відомостей у системі загальнообов'язкового державного пенсійного страхування»</w:t>
      </w:r>
      <w:r w:rsidRPr="0078696C">
        <w:rPr>
          <w:rFonts w:ascii="Times New Roman" w:hAnsi="Times New Roman"/>
          <w:color w:val="000000"/>
          <w:sz w:val="28"/>
          <w:szCs w:val="28"/>
          <w:vertAlign w:val="superscript"/>
        </w:rPr>
        <w:footnoteReference w:id="158"/>
      </w:r>
      <w:r w:rsidRPr="0078696C">
        <w:rPr>
          <w:rFonts w:ascii="Times New Roman" w:hAnsi="Times New Roman"/>
          <w:color w:val="000000"/>
          <w:sz w:val="28"/>
          <w:szCs w:val="28"/>
        </w:rPr>
        <w:t xml:space="preserve"> та від 08.06.1998 р. № 832 «Про заходи щодо поетапного впровадження у Пенсійному фонді автоматизованого персоніфікованого обліку відомостей у системі загальнообов'язкового державного пенсійного страхування»</w:t>
      </w:r>
      <w:r w:rsidRPr="0078696C">
        <w:rPr>
          <w:rFonts w:ascii="Times New Roman" w:hAnsi="Times New Roman"/>
          <w:color w:val="000000"/>
          <w:sz w:val="28"/>
          <w:szCs w:val="28"/>
          <w:vertAlign w:val="superscript"/>
        </w:rPr>
        <w:footnoteReference w:id="159"/>
      </w:r>
      <w:r w:rsidRPr="0078696C">
        <w:rPr>
          <w:rFonts w:ascii="Times New Roman" w:hAnsi="Times New Roman"/>
          <w:color w:val="000000"/>
          <w:sz w:val="28"/>
          <w:szCs w:val="28"/>
        </w:rPr>
        <w:t xml:space="preserve"> розпочато створення такої системи, відомості з якої, починаючи з липня 2000 року є обов’язковими при обчисленні розміру пенсії згідно </w:t>
      </w:r>
      <w:r w:rsidR="00724FE9" w:rsidRPr="0078696C">
        <w:rPr>
          <w:rFonts w:ascii="Times New Roman" w:hAnsi="Times New Roman"/>
          <w:color w:val="000000"/>
          <w:sz w:val="28"/>
          <w:szCs w:val="28"/>
        </w:rPr>
        <w:t xml:space="preserve">з </w:t>
      </w:r>
      <w:r w:rsidRPr="0078696C">
        <w:rPr>
          <w:rFonts w:ascii="Times New Roman" w:hAnsi="Times New Roman"/>
          <w:color w:val="000000"/>
          <w:sz w:val="28"/>
          <w:szCs w:val="28"/>
        </w:rPr>
        <w:t>Зак</w:t>
      </w:r>
      <w:r w:rsidR="00724FE9" w:rsidRPr="0078696C">
        <w:rPr>
          <w:rFonts w:ascii="Times New Roman" w:hAnsi="Times New Roman"/>
          <w:color w:val="000000"/>
          <w:sz w:val="28"/>
          <w:szCs w:val="28"/>
        </w:rPr>
        <w:t>оном</w:t>
      </w:r>
      <w:r w:rsidRPr="0078696C">
        <w:rPr>
          <w:rFonts w:ascii="Times New Roman" w:hAnsi="Times New Roman"/>
          <w:color w:val="000000"/>
          <w:sz w:val="28"/>
          <w:szCs w:val="28"/>
        </w:rPr>
        <w:t xml:space="preserve"> України «Про загальнообов’язкове державне пенсійне страхування»</w:t>
      </w:r>
      <w:r w:rsidR="00847C8C" w:rsidRPr="0078696C">
        <w:rPr>
          <w:rStyle w:val="a8"/>
          <w:rFonts w:ascii="Times New Roman" w:hAnsi="Times New Roman"/>
          <w:color w:val="000000"/>
          <w:sz w:val="28"/>
          <w:szCs w:val="28"/>
        </w:rPr>
        <w:footnoteReference w:id="160"/>
      </w:r>
      <w:r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започаткування підсистеми персоніфікованого обліку відомостей в системі обов’язкового державного пенсійного страхування є спрацюванням «закону необхідної рі</w:t>
      </w:r>
      <w:r w:rsidR="004C7590" w:rsidRPr="0078696C">
        <w:rPr>
          <w:rFonts w:ascii="Times New Roman" w:hAnsi="Times New Roman"/>
          <w:color w:val="000000"/>
          <w:sz w:val="28"/>
          <w:szCs w:val="28"/>
        </w:rPr>
        <w:t>зноманіт</w:t>
      </w:r>
      <w:r w:rsidR="00426CE9" w:rsidRPr="0078696C">
        <w:rPr>
          <w:rFonts w:ascii="Times New Roman" w:hAnsi="Times New Roman"/>
          <w:color w:val="000000"/>
          <w:sz w:val="28"/>
          <w:szCs w:val="28"/>
        </w:rPr>
        <w:t xml:space="preserve">ності», сформульований </w:t>
      </w:r>
      <w:r w:rsidR="00426CE9" w:rsidRPr="0078696C">
        <w:rPr>
          <w:rFonts w:ascii="Times New Roman" w:hAnsi="Times New Roman"/>
          <w:color w:val="000000"/>
          <w:sz w:val="28"/>
          <w:szCs w:val="28"/>
        </w:rPr>
        <w:br/>
      </w:r>
      <w:r w:rsidRPr="0078696C">
        <w:rPr>
          <w:rFonts w:ascii="Times New Roman" w:hAnsi="Times New Roman"/>
          <w:color w:val="000000"/>
          <w:sz w:val="28"/>
          <w:szCs w:val="28"/>
        </w:rPr>
        <w:t xml:space="preserve">У.Р. Ешбі, який полягає у тому, що підвищення стійкості системи відбувається шляхом зростання різноманітності елементів системи </w:t>
      </w:r>
      <w:r w:rsidRPr="0078696C">
        <w:rPr>
          <w:rFonts w:ascii="Times New Roman" w:hAnsi="Times New Roman"/>
          <w:color w:val="000000"/>
          <w:sz w:val="28"/>
          <w:szCs w:val="28"/>
          <w:vertAlign w:val="superscript"/>
        </w:rPr>
        <w:footnoteReference w:id="161"/>
      </w:r>
      <w:r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Важливу роль у розвитку Пенсійного фонду та його утвердженні як центрального органу виконавчої влади відіграла передача органам Фонду функцій з призначення пенсій і оформлення документів для їх виплати, які раніше здійснювались органами соціального захисту населення. Цей процес розпочався 1 січня 1999 року з експерименту у Львівській області і остаточно </w:t>
      </w:r>
      <w:r w:rsidRPr="0078696C">
        <w:rPr>
          <w:rFonts w:ascii="Times New Roman" w:hAnsi="Times New Roman"/>
          <w:color w:val="000000"/>
          <w:sz w:val="28"/>
          <w:szCs w:val="28"/>
        </w:rPr>
        <w:lastRenderedPageBreak/>
        <w:t>завершився 1 липня 2002 року</w:t>
      </w:r>
      <w:r w:rsidRPr="0078696C">
        <w:rPr>
          <w:rFonts w:ascii="Times New Roman" w:hAnsi="Times New Roman"/>
          <w:color w:val="000000"/>
          <w:sz w:val="28"/>
          <w:szCs w:val="28"/>
          <w:vertAlign w:val="superscript"/>
        </w:rPr>
        <w:footnoteReference w:id="162"/>
      </w:r>
      <w:r w:rsidRPr="0078696C">
        <w:rPr>
          <w:rFonts w:ascii="Times New Roman" w:hAnsi="Times New Roman"/>
          <w:color w:val="000000"/>
          <w:sz w:val="28"/>
          <w:szCs w:val="28"/>
        </w:rPr>
        <w:t xml:space="preserve">. Так, підсистема призначення і виплати пенсій увійшла до структури Пенсійного фонду України, чим було реалізовано «принцип </w:t>
      </w:r>
      <w:r w:rsidR="00426CE9" w:rsidRPr="0078696C">
        <w:rPr>
          <w:rFonts w:ascii="Times New Roman" w:hAnsi="Times New Roman"/>
          <w:color w:val="000000"/>
          <w:sz w:val="28"/>
          <w:szCs w:val="28"/>
        </w:rPr>
        <w:t>моноцентризму», розроблений А.</w:t>
      </w:r>
      <w:r w:rsidRPr="0078696C">
        <w:rPr>
          <w:rFonts w:ascii="Times New Roman" w:hAnsi="Times New Roman"/>
          <w:color w:val="000000"/>
          <w:sz w:val="28"/>
          <w:szCs w:val="28"/>
        </w:rPr>
        <w:t xml:space="preserve"> Богдановим, який передбачає, що система «характеризується одним центром, а якщо вона складна, ланцюгова, то у неї є один вищий, загальний центр»</w:t>
      </w:r>
      <w:r w:rsidRPr="0078696C">
        <w:rPr>
          <w:rFonts w:ascii="Times New Roman" w:hAnsi="Times New Roman"/>
          <w:color w:val="000000"/>
          <w:sz w:val="28"/>
          <w:szCs w:val="28"/>
          <w:vertAlign w:val="superscript"/>
        </w:rPr>
        <w:footnoteReference w:id="163"/>
      </w:r>
      <w:r w:rsidRPr="0078696C">
        <w:rPr>
          <w:rFonts w:ascii="Times New Roman" w:hAnsi="Times New Roman"/>
          <w:color w:val="000000"/>
          <w:sz w:val="28"/>
          <w:szCs w:val="28"/>
        </w:rPr>
        <w:t>.</w:t>
      </w:r>
    </w:p>
    <w:p w:rsidR="00576F48" w:rsidRPr="0078696C" w:rsidRDefault="00795E62" w:rsidP="00576F48">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на кінець 2002 року у системі Пенсійного Фонду України було сформовано усі необхідні підсистеми: адміністрування страхових внесків, призначення та виплати пенсій, персоніфікованого обліку, які у своїй взаємодії забезпечують повноцінне функціонування ПФУ.</w:t>
      </w:r>
    </w:p>
    <w:p w:rsidR="00795E62" w:rsidRPr="0078696C" w:rsidRDefault="00795E62" w:rsidP="004C7590">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Третій етап (</w:t>
      </w:r>
      <w:r w:rsidR="004C7590" w:rsidRPr="0078696C">
        <w:rPr>
          <w:rFonts w:ascii="Times New Roman" w:hAnsi="Times New Roman"/>
          <w:i/>
          <w:color w:val="000000"/>
          <w:sz w:val="28"/>
          <w:szCs w:val="28"/>
        </w:rPr>
        <w:t xml:space="preserve">січень </w:t>
      </w:r>
      <w:r w:rsidRPr="0078696C">
        <w:rPr>
          <w:rFonts w:ascii="Times New Roman" w:hAnsi="Times New Roman"/>
          <w:i/>
          <w:color w:val="000000"/>
          <w:sz w:val="28"/>
          <w:szCs w:val="28"/>
        </w:rPr>
        <w:t xml:space="preserve">2004 р. – </w:t>
      </w:r>
      <w:r w:rsidR="004C7590" w:rsidRPr="0078696C">
        <w:rPr>
          <w:rFonts w:ascii="Times New Roman" w:hAnsi="Times New Roman"/>
          <w:i/>
          <w:color w:val="000000"/>
          <w:sz w:val="28"/>
          <w:szCs w:val="28"/>
        </w:rPr>
        <w:t>вересень 2011 р.</w:t>
      </w:r>
      <w:r w:rsidRPr="0078696C">
        <w:rPr>
          <w:rFonts w:ascii="Times New Roman" w:hAnsi="Times New Roman"/>
          <w:i/>
          <w:color w:val="000000"/>
          <w:sz w:val="28"/>
          <w:szCs w:val="28"/>
        </w:rPr>
        <w:t>):</w:t>
      </w:r>
      <w:r w:rsidRPr="0078696C">
        <w:rPr>
          <w:rFonts w:ascii="Times New Roman" w:hAnsi="Times New Roman"/>
          <w:color w:val="000000"/>
          <w:sz w:val="28"/>
          <w:szCs w:val="28"/>
        </w:rPr>
        <w:t xml:space="preserve"> становлення і розвиток трирівневої пенсійної системи. Новий етап у розвитку пенсійної системи України розпочинає свій відлік з 1 січня 2004 р. – з набуття чинності Закону України «Про загальнообов’язкове державне пенсійне страхування»</w:t>
      </w:r>
      <w:r w:rsidR="00701C0F" w:rsidRPr="0078696C">
        <w:rPr>
          <w:rStyle w:val="a8"/>
          <w:rFonts w:ascii="Times New Roman" w:hAnsi="Times New Roman"/>
          <w:color w:val="000000"/>
          <w:sz w:val="28"/>
          <w:szCs w:val="28"/>
        </w:rPr>
        <w:footnoteReference w:id="164"/>
      </w:r>
      <w:r w:rsidRPr="0078696C">
        <w:rPr>
          <w:rFonts w:ascii="Times New Roman" w:hAnsi="Times New Roman"/>
          <w:color w:val="000000"/>
          <w:sz w:val="28"/>
          <w:szCs w:val="28"/>
        </w:rPr>
        <w:t>. Даний Закон проголосив перехід пенсійної системи України на трирівневу конструкцію: п</w:t>
      </w:r>
      <w:r w:rsidRPr="0078696C">
        <w:rPr>
          <w:rFonts w:ascii="Times New Roman" w:hAnsi="Times New Roman"/>
          <w:bCs/>
          <w:iCs/>
          <w:color w:val="000000"/>
          <w:sz w:val="28"/>
          <w:szCs w:val="28"/>
        </w:rPr>
        <w:t>ерший рівень</w:t>
      </w:r>
      <w:r w:rsidRPr="0078696C">
        <w:rPr>
          <w:rFonts w:ascii="Times New Roman" w:hAnsi="Times New Roman"/>
          <w:i/>
          <w:color w:val="000000"/>
          <w:sz w:val="28"/>
          <w:szCs w:val="28"/>
        </w:rPr>
        <w:t>–</w:t>
      </w:r>
      <w:r w:rsidRPr="0078696C">
        <w:rPr>
          <w:rFonts w:ascii="Times New Roman" w:hAnsi="Times New Roman"/>
          <w:color w:val="000000"/>
          <w:sz w:val="28"/>
          <w:szCs w:val="28"/>
        </w:rPr>
        <w:t xml:space="preserve"> реформована солідарна система, в якій усі кошти, що перераховуються підприємствами та застрахованими особами до Пенсійного фонду України, одразу ж виплачуються нинішнім пенсіонерам; д</w:t>
      </w:r>
      <w:r w:rsidRPr="0078696C">
        <w:rPr>
          <w:rFonts w:ascii="Times New Roman" w:hAnsi="Times New Roman"/>
          <w:bCs/>
          <w:iCs/>
          <w:color w:val="000000"/>
          <w:sz w:val="28"/>
          <w:szCs w:val="28"/>
        </w:rPr>
        <w:t>ругий рівень</w:t>
      </w:r>
      <w:r w:rsidR="00777771">
        <w:rPr>
          <w:rFonts w:ascii="Times New Roman" w:hAnsi="Times New Roman"/>
          <w:bCs/>
          <w:iCs/>
          <w:color w:val="000000"/>
          <w:sz w:val="28"/>
          <w:szCs w:val="28"/>
        </w:rPr>
        <w:t xml:space="preserve"> </w:t>
      </w:r>
      <w:r w:rsidRPr="0078696C">
        <w:rPr>
          <w:rFonts w:ascii="Times New Roman" w:hAnsi="Times New Roman"/>
          <w:i/>
          <w:color w:val="000000"/>
          <w:sz w:val="28"/>
          <w:szCs w:val="28"/>
        </w:rPr>
        <w:t>–</w:t>
      </w:r>
      <w:r w:rsidRPr="0078696C">
        <w:rPr>
          <w:rFonts w:ascii="Times New Roman" w:hAnsi="Times New Roman"/>
          <w:color w:val="000000"/>
          <w:sz w:val="28"/>
          <w:szCs w:val="28"/>
        </w:rPr>
        <w:t xml:space="preserve"> обов’язкова накопичувальна складова, яка передбачає перерахування частини обов'язкових пенсійних відрахувань на персональні рахунки громадян; </w:t>
      </w:r>
      <w:r w:rsidRPr="0078696C">
        <w:rPr>
          <w:rFonts w:ascii="Times New Roman" w:hAnsi="Times New Roman"/>
          <w:bCs/>
          <w:iCs/>
          <w:color w:val="000000"/>
          <w:sz w:val="28"/>
          <w:szCs w:val="28"/>
        </w:rPr>
        <w:t>третій рівень</w:t>
      </w:r>
      <w:r w:rsidR="00777771">
        <w:rPr>
          <w:rFonts w:ascii="Times New Roman" w:hAnsi="Times New Roman"/>
          <w:bCs/>
          <w:iCs/>
          <w:color w:val="000000"/>
          <w:sz w:val="28"/>
          <w:szCs w:val="28"/>
        </w:rPr>
        <w:t xml:space="preserve"> </w:t>
      </w:r>
      <w:r w:rsidRPr="0078696C">
        <w:rPr>
          <w:rFonts w:ascii="Times New Roman" w:hAnsi="Times New Roman"/>
          <w:i/>
          <w:color w:val="000000"/>
          <w:sz w:val="28"/>
          <w:szCs w:val="28"/>
        </w:rPr>
        <w:t>–</w:t>
      </w:r>
      <w:r w:rsidRPr="0078696C">
        <w:rPr>
          <w:rFonts w:ascii="Times New Roman" w:hAnsi="Times New Roman"/>
          <w:color w:val="000000"/>
          <w:sz w:val="28"/>
          <w:szCs w:val="28"/>
        </w:rPr>
        <w:t xml:space="preserve"> система недержавного пенсійного забезпечення за добровільної участі громадян та роботодавців.</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Важливим у Законі </w:t>
      </w:r>
      <w:r w:rsidRPr="0078696C">
        <w:rPr>
          <w:rFonts w:ascii="Times New Roman" w:hAnsi="Times New Roman"/>
          <w:b/>
          <w:color w:val="000000"/>
          <w:sz w:val="28"/>
          <w:szCs w:val="28"/>
        </w:rPr>
        <w:t>«</w:t>
      </w:r>
      <w:r w:rsidRPr="0078696C">
        <w:rPr>
          <w:rFonts w:ascii="Times New Roman" w:hAnsi="Times New Roman"/>
          <w:color w:val="000000"/>
          <w:sz w:val="28"/>
          <w:szCs w:val="28"/>
        </w:rPr>
        <w:t xml:space="preserve">Про загальнообов'язкове державне пенсійне страхування» є те, що вперше було визначено поняття пенсійного законодавства та предмет його правового регулювання. Згідно зі статтею 4 цього Закону, законодавство про пенсійне забезпечення базується на Конституції України, складається з основ законодавства України про </w:t>
      </w:r>
      <w:r w:rsidRPr="0078696C">
        <w:rPr>
          <w:rFonts w:ascii="Times New Roman" w:hAnsi="Times New Roman"/>
          <w:color w:val="000000"/>
          <w:sz w:val="28"/>
          <w:szCs w:val="28"/>
        </w:rPr>
        <w:lastRenderedPageBreak/>
        <w:t xml:space="preserve">загальнообов'язкове державне соціальне страхування, Закону </w:t>
      </w:r>
      <w:r w:rsidR="00724FE9" w:rsidRPr="0078696C">
        <w:rPr>
          <w:rFonts w:ascii="Times New Roman" w:hAnsi="Times New Roman"/>
          <w:color w:val="000000"/>
          <w:sz w:val="28"/>
          <w:szCs w:val="28"/>
        </w:rPr>
        <w:br/>
      </w:r>
      <w:r w:rsidRPr="0078696C">
        <w:rPr>
          <w:rFonts w:ascii="Times New Roman" w:hAnsi="Times New Roman"/>
          <w:color w:val="000000"/>
          <w:sz w:val="28"/>
          <w:szCs w:val="28"/>
        </w:rPr>
        <w:t>«Про загальнообов'язкове державне пенсійне страхування», Закону України «Про недержавне пенсійне забезпечення», законів, якими встановлюються умови пенсійного забезпечення, відмінні від загальнообов'язкового державного пенсійного страхування та недержавного пенсійного забезпечення, міжнародних договорів з пенсійного забезпечення, згода на обов'язковість яких надана Верховною Радою України, а також інших законів і нормативно-правових актів, ухвалених відповідно до законів про пенсійне забезпечення, що регулюють відносини у сфері пенсійного забезпечення в Україні.</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 прийняття вказаного Закону всі ці питання регулювалися різними законодавчими (а іноді підзаконними) актами, які належали до різних галузей права. Наприклад, умови та розміри пенсій визначалися Законом «Про пенсійне забезпечення» </w:t>
      </w:r>
      <w:r w:rsidRPr="0078696C">
        <w:rPr>
          <w:rFonts w:ascii="Times New Roman" w:hAnsi="Times New Roman"/>
          <w:color w:val="000000"/>
          <w:sz w:val="28"/>
          <w:szCs w:val="28"/>
          <w:vertAlign w:val="superscript"/>
        </w:rPr>
        <w:footnoteReference w:id="165"/>
      </w:r>
      <w:r w:rsidRPr="0078696C">
        <w:rPr>
          <w:rFonts w:ascii="Times New Roman" w:hAnsi="Times New Roman"/>
          <w:color w:val="000000"/>
          <w:sz w:val="28"/>
          <w:szCs w:val="28"/>
        </w:rPr>
        <w:t>, питання обов'язкових платежів до Пенсійного фонду – Законом України «Про збір на обов'язкове державне пенсійне страхування»</w:t>
      </w:r>
      <w:r w:rsidRPr="0078696C">
        <w:rPr>
          <w:rFonts w:ascii="Times New Roman" w:hAnsi="Times New Roman"/>
          <w:color w:val="000000"/>
          <w:sz w:val="28"/>
          <w:szCs w:val="28"/>
          <w:vertAlign w:val="superscript"/>
        </w:rPr>
        <w:footnoteReference w:id="166"/>
      </w:r>
      <w:r w:rsidRPr="0078696C">
        <w:rPr>
          <w:rFonts w:ascii="Times New Roman" w:hAnsi="Times New Roman"/>
          <w:color w:val="000000"/>
          <w:sz w:val="28"/>
          <w:szCs w:val="28"/>
        </w:rPr>
        <w:t>, а сам механізм управління пенсійною системою взагалі не було врегульовано на законодавчому рівні.</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Позитивним, на нашу думку, є те, що статтею 5 Закону «Про загальнообов'язкове державне пенсійне страхування» </w:t>
      </w:r>
      <w:r w:rsidRPr="0078696C">
        <w:rPr>
          <w:rFonts w:ascii="Times New Roman" w:hAnsi="Times New Roman"/>
          <w:color w:val="000000"/>
          <w:sz w:val="28"/>
          <w:szCs w:val="28"/>
          <w:vertAlign w:val="superscript"/>
        </w:rPr>
        <w:footnoteReference w:id="167"/>
      </w:r>
      <w:r w:rsidRPr="0078696C">
        <w:rPr>
          <w:rFonts w:ascii="Times New Roman" w:hAnsi="Times New Roman"/>
          <w:color w:val="000000"/>
          <w:sz w:val="28"/>
          <w:szCs w:val="28"/>
        </w:rPr>
        <w:t xml:space="preserve"> визначено коло питань, які регулюються виключно цим законом, а саме:</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принципи та структура системи пенсійного страхування;</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коло осіб, які підлягають пенсійному страхуванню;</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платники страхових внесків, їхні права й обов'язки;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порядок нарахування, обчислення і сплати страхових внесків;</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стягнення заборгованості за цими внесками;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види пенсійних виплат;</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умови набуття права та порядок визначення розмірів пенсійних виплат;</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пенсійний вік для чоловіків і жінок;</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мінімальний розмір пенсії за віком;</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порядок здійснення пенсійних виплат за державним пенсійним страхуванням;</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порядок використання коштів Пенсійного фонду та Накопичувального фонду;</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організація та порядок управління в системі загальнообов'язкового державного пенсійного страхування.</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 прийняттям законів України «Про загальнообов'язкове державне пенсійне страхування» </w:t>
      </w:r>
      <w:r w:rsidR="00701C0F" w:rsidRPr="0078696C">
        <w:rPr>
          <w:rStyle w:val="a8"/>
          <w:rFonts w:ascii="Times New Roman" w:hAnsi="Times New Roman"/>
          <w:color w:val="000000"/>
          <w:sz w:val="28"/>
          <w:szCs w:val="28"/>
        </w:rPr>
        <w:footnoteReference w:id="168"/>
      </w:r>
      <w:r w:rsidRPr="0078696C">
        <w:rPr>
          <w:rFonts w:ascii="Times New Roman" w:hAnsi="Times New Roman"/>
          <w:color w:val="000000"/>
          <w:sz w:val="28"/>
          <w:szCs w:val="28"/>
        </w:rPr>
        <w:t>і «Про недержавне пенсійне забезпечення»</w:t>
      </w:r>
      <w:r w:rsidR="003324BA" w:rsidRPr="0078696C">
        <w:rPr>
          <w:rStyle w:val="a8"/>
          <w:rFonts w:ascii="Times New Roman" w:hAnsi="Times New Roman"/>
          <w:color w:val="000000"/>
          <w:sz w:val="28"/>
          <w:szCs w:val="28"/>
        </w:rPr>
        <w:footnoteReference w:id="169"/>
      </w:r>
      <w:r w:rsidRPr="0078696C">
        <w:rPr>
          <w:rFonts w:ascii="Times New Roman" w:hAnsi="Times New Roman"/>
          <w:color w:val="000000"/>
          <w:sz w:val="28"/>
          <w:szCs w:val="28"/>
        </w:rPr>
        <w:t xml:space="preserve"> в </w:t>
      </w:r>
      <w:r w:rsidR="00231D91" w:rsidRPr="0078696C">
        <w:rPr>
          <w:rFonts w:ascii="Times New Roman" w:hAnsi="Times New Roman"/>
          <w:color w:val="000000"/>
          <w:sz w:val="28"/>
          <w:szCs w:val="28"/>
        </w:rPr>
        <w:br/>
      </w:r>
      <w:r w:rsidRPr="0078696C">
        <w:rPr>
          <w:rFonts w:ascii="Times New Roman" w:hAnsi="Times New Roman"/>
          <w:color w:val="000000"/>
          <w:sz w:val="28"/>
          <w:szCs w:val="28"/>
        </w:rPr>
        <w:t>2004 році розпочато впровадження пенсійної реформи, сутність якої полягає в переході до трирівневої пенсійної системи: перший рівень – солідарна система загальнообов'язкового державного пенсійного страхування, другий рівень – накопичувальна система загальнообов'язкового державного пенсійного страхування, третій рівень – система недержавного пенсійного забезпечення.</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Здійснення пенсійної реформи було спрямовано на:</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підвищення рівня життя пенсіонерів;</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встановлення залежності розмірів пенсій від сум заробітної плати, на яку нараховуються страхові внески, і страхового стажу;</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забезпечення фінансової стабільності пенсійної системи;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заохочення громадян до заощадження коштів на старість;</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диверсифікацію джерел фінансування пенсій за рахунок внесків на загальнообов'язкове державне пенсійне страхування та обов'язкових і добровільних пенсійних накопичень;</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створення ефективної та більш дієвої системи адміністративного управління в пенсійному забезпеченні.</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Під час реалізації пенсійної реформи вдалося досягти певних позитивних перетворень. Зокрема, в солідарній системі загальнообов'язкового державного пенсійного страхування:</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 </w:t>
      </w:r>
      <w:r w:rsidR="000030F6" w:rsidRPr="0078696C">
        <w:rPr>
          <w:rFonts w:ascii="Times New Roman" w:hAnsi="Times New Roman"/>
          <w:color w:val="000000"/>
          <w:sz w:val="28"/>
          <w:szCs w:val="28"/>
        </w:rPr>
        <w:t>в</w:t>
      </w:r>
      <w:r w:rsidRPr="0078696C">
        <w:rPr>
          <w:rFonts w:ascii="Times New Roman" w:hAnsi="Times New Roman"/>
          <w:color w:val="000000"/>
          <w:sz w:val="28"/>
          <w:szCs w:val="28"/>
        </w:rPr>
        <w:t>становлено мінімальну пенсійну виплату на рівні не нижче</w:t>
      </w:r>
      <w:r w:rsidR="00803F35" w:rsidRPr="0078696C">
        <w:rPr>
          <w:rFonts w:ascii="Times New Roman" w:hAnsi="Times New Roman"/>
          <w:color w:val="000000"/>
          <w:sz w:val="28"/>
          <w:szCs w:val="28"/>
        </w:rPr>
        <w:t>,</w:t>
      </w:r>
      <w:r w:rsidRPr="0078696C">
        <w:rPr>
          <w:rFonts w:ascii="Times New Roman" w:hAnsi="Times New Roman"/>
          <w:color w:val="000000"/>
          <w:sz w:val="28"/>
          <w:szCs w:val="28"/>
        </w:rPr>
        <w:t xml:space="preserve"> ніж прожитковий мінімум для осіб, які втратили працездатність, що дало змогу виконати в повному обсязі вимоги статті 46 Конституції України;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забезпечено призначення пенсій на підставі даних системи персоніфікованого обліку;</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зменшено обсяг пільг зі сплати страхових внесків і законодавчо розмежовано системи сплати податків і страхових внесків;</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за рахунок коштів Державного бюджету України здійснюється сплата страхових внесків на загальнообов'язкове державне пенсійне страхування за осіб, які проходять строкову військову службу у Збройних Силах України; за осіб, які відповідно до законів отримують допомогу по догляду за дитиною до досягнення нею трирічного віку; за осіб, які здійснюють догляд за дитиною-інвалідом, а також за непрацюючих працездатних осіб, які здійснюють догляд за інвалідом I групи або престарілим;</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врегульовано питання щодо пенсійного забезпечення батьків-вихователів дитячих будинків сімейного типу і прийомних батьків шляхом сплати за них внесків на загальнообов'язкове державне пенсійне страхування за рахунок коштів державного бюджету;</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i/>
          <w:color w:val="000000"/>
          <w:sz w:val="28"/>
          <w:szCs w:val="28"/>
        </w:rPr>
        <w:t>–</w:t>
      </w:r>
      <w:r w:rsidRPr="0078696C">
        <w:rPr>
          <w:rFonts w:ascii="Times New Roman" w:hAnsi="Times New Roman"/>
          <w:color w:val="000000"/>
          <w:sz w:val="28"/>
          <w:szCs w:val="28"/>
        </w:rPr>
        <w:t xml:space="preserve"> запроваджено єдиний соціальний внесок.</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Крім того, законодавчі зміни, впроваджені з 1 січня 2008 року, щодо актуалізації заробітної плати, яка враховується при призначенні (перерахунку) пенсій (виходячи з розміру середньої заробітної плати, з якої сплачувались страхові внески, за 2006 рік – 928,81 гривні), та підвищення вартості року страхового стажу з 1 до 1,2 відсотка, а з 1 жовтня 2008 року – до 1,35 відсотка сприяли відновленню диференціації розмірів пенсій для 8 млн. пенсіонерів </w:t>
      </w:r>
      <w:r w:rsidRPr="0078696C">
        <w:rPr>
          <w:rFonts w:ascii="Times New Roman" w:hAnsi="Times New Roman"/>
          <w:color w:val="000000"/>
          <w:sz w:val="28"/>
          <w:szCs w:val="28"/>
          <w:vertAlign w:val="superscript"/>
        </w:rPr>
        <w:footnoteReference w:id="170"/>
      </w:r>
      <w:r w:rsidRPr="0078696C">
        <w:rPr>
          <w:rFonts w:ascii="Times New Roman" w:hAnsi="Times New Roman"/>
          <w:color w:val="000000"/>
          <w:sz w:val="28"/>
          <w:szCs w:val="28"/>
        </w:rPr>
        <w:t>.</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Отже, на даному етапі у солідарній системі було зроблено наступні важливі кроки: запроваджено персоніфікацію обліку та контроль фактичної сплати внесків при визначенні страхового; визначено нову пенсійну формулу, </w:t>
      </w:r>
      <w:r w:rsidRPr="0078696C">
        <w:rPr>
          <w:rFonts w:ascii="Times New Roman" w:hAnsi="Times New Roman"/>
          <w:color w:val="000000"/>
          <w:sz w:val="28"/>
          <w:szCs w:val="28"/>
        </w:rPr>
        <w:lastRenderedPageBreak/>
        <w:t>яка крім тривалості стажу враховує заробіток людини протягом усього трудового періоду (обраховується помісячно по відношенню до середнього по країні), скоригований на зарплатну базу нарахування пенсії; уточнено розмежування пенсійних програм за джерелами фінансування на страхові, які фінансуються з власних надходжень Пенсійного фонду, та невластиві, які фінансуються за рахунок бюджетних коштів.</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Накопичувальна складова введена так і не була в зв’язку з величезним дефіцитом ПФУ.</w:t>
      </w:r>
    </w:p>
    <w:p w:rsidR="00795E62" w:rsidRPr="0078696C" w:rsidRDefault="00126E81"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Четвертий етап (ж</w:t>
      </w:r>
      <w:r w:rsidR="00795E62" w:rsidRPr="0078696C">
        <w:rPr>
          <w:rFonts w:ascii="Times New Roman" w:hAnsi="Times New Roman"/>
          <w:i/>
          <w:color w:val="000000"/>
          <w:sz w:val="28"/>
          <w:szCs w:val="28"/>
        </w:rPr>
        <w:t>овтень 2011</w:t>
      </w:r>
      <w:r w:rsidR="00A272B0" w:rsidRPr="0078696C">
        <w:rPr>
          <w:rFonts w:ascii="Times New Roman" w:hAnsi="Times New Roman"/>
          <w:i/>
          <w:color w:val="000000"/>
          <w:sz w:val="28"/>
          <w:szCs w:val="28"/>
        </w:rPr>
        <w:t xml:space="preserve"> р.</w:t>
      </w:r>
      <w:r w:rsidR="00795E62" w:rsidRPr="0078696C">
        <w:rPr>
          <w:rFonts w:ascii="Times New Roman" w:hAnsi="Times New Roman"/>
          <w:i/>
          <w:color w:val="000000"/>
          <w:sz w:val="28"/>
          <w:szCs w:val="28"/>
        </w:rPr>
        <w:t xml:space="preserve"> – березень 2014 р.</w:t>
      </w:r>
      <w:r w:rsidRPr="0078696C">
        <w:rPr>
          <w:rFonts w:ascii="Times New Roman" w:hAnsi="Times New Roman"/>
          <w:i/>
          <w:color w:val="000000"/>
          <w:sz w:val="28"/>
          <w:szCs w:val="28"/>
        </w:rPr>
        <w:t>).</w:t>
      </w:r>
      <w:r w:rsidR="00795E62" w:rsidRPr="0078696C">
        <w:rPr>
          <w:rFonts w:ascii="Times New Roman" w:hAnsi="Times New Roman"/>
          <w:color w:val="000000"/>
          <w:sz w:val="28"/>
          <w:szCs w:val="28"/>
        </w:rPr>
        <w:t xml:space="preserve">У кризових умовах функціонування пенсійної системи України з метою визначення заходів подальшого її реформування та збалансування солідарної системи пенсійного страхування Урядом було запропоновано наступний етап реформування – розроблено проект Закону України «Про заходи щодо законодавчого забезпечення реформування пенсійної системи» № 7455 від 13.12.2010 р., який був підписаний Президентом України як Закон «Про заходи щодо законодавчого забезпечення реформування пенсійної системи» № 3668-VI від 08.07.2011 р </w:t>
      </w:r>
      <w:r w:rsidR="00795E62" w:rsidRPr="0078696C">
        <w:rPr>
          <w:rFonts w:ascii="Times New Roman" w:hAnsi="Times New Roman"/>
          <w:color w:val="000000"/>
          <w:sz w:val="28"/>
          <w:szCs w:val="28"/>
          <w:vertAlign w:val="superscript"/>
        </w:rPr>
        <w:footnoteReference w:id="171"/>
      </w:r>
      <w:r w:rsidR="00795E62" w:rsidRPr="0078696C">
        <w:rPr>
          <w:rFonts w:ascii="Times New Roman" w:hAnsi="Times New Roman"/>
          <w:color w:val="000000"/>
          <w:sz w:val="28"/>
          <w:szCs w:val="28"/>
        </w:rPr>
        <w:t>. Законом введено другий рівень пенсійної системи (накопичувальна пенсійна система (фонд), яка полягає в перерахуванні страхових внесків до індивідуального накопичувального пенсійного рахунку особи).</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Внесено низку змін до 22 законодавчих актів, </w:t>
      </w:r>
      <w:r w:rsidR="00A272B0" w:rsidRPr="0078696C">
        <w:rPr>
          <w:rFonts w:ascii="Times New Roman" w:hAnsi="Times New Roman"/>
          <w:color w:val="000000"/>
          <w:sz w:val="28"/>
          <w:szCs w:val="28"/>
        </w:rPr>
        <w:t>зокрема до</w:t>
      </w:r>
      <w:r w:rsidRPr="0078696C">
        <w:rPr>
          <w:rFonts w:ascii="Times New Roman" w:hAnsi="Times New Roman"/>
          <w:color w:val="000000"/>
          <w:sz w:val="28"/>
          <w:szCs w:val="28"/>
        </w:rPr>
        <w:t xml:space="preserve"> Законів України</w:t>
      </w:r>
      <w:r w:rsidR="00A272B0" w:rsidRPr="0078696C">
        <w:rPr>
          <w:rFonts w:ascii="Times New Roman" w:hAnsi="Times New Roman"/>
          <w:color w:val="000000"/>
          <w:sz w:val="28"/>
          <w:szCs w:val="28"/>
        </w:rPr>
        <w:t>:</w:t>
      </w:r>
      <w:r w:rsidRPr="0078696C">
        <w:rPr>
          <w:rFonts w:ascii="Times New Roman" w:hAnsi="Times New Roman"/>
          <w:color w:val="000000"/>
          <w:sz w:val="28"/>
          <w:szCs w:val="28"/>
        </w:rPr>
        <w:t xml:space="preserve"> «Про загальнообов'язкове державне пенсійне страхування», «Про пенсійне забезпечення», «Про недержавне пенсійне забезпечення», «Про державну соціальну допомогу особам, які не мають права на пенсію, та інвалідам», «Про прокуратуру», «Про пенсійне забезпечення осіб, звільнених з військової служби, та деяких інших осіб», «Про державну службу», «Про наукову і науково-технічну діяльність», «Про службу в органах місцевого самоврядування», «Про статус народного депутата України», «Про судоустрій і статус суддів».</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lastRenderedPageBreak/>
        <w:t>Даний етап характеризується істотними параметричними змінами у солідарній системі з метою стимулювання населення до п</w:t>
      </w:r>
      <w:r w:rsidR="00A272B0" w:rsidRPr="0078696C">
        <w:rPr>
          <w:rFonts w:ascii="Times New Roman" w:hAnsi="Times New Roman"/>
          <w:color w:val="000000"/>
          <w:sz w:val="28"/>
          <w:szCs w:val="28"/>
        </w:rPr>
        <w:t>р</w:t>
      </w:r>
      <w:r w:rsidRPr="0078696C">
        <w:rPr>
          <w:rFonts w:ascii="Times New Roman" w:hAnsi="Times New Roman"/>
          <w:color w:val="000000"/>
          <w:sz w:val="28"/>
          <w:szCs w:val="28"/>
        </w:rPr>
        <w:t xml:space="preserve">одовження трудового періоду. </w:t>
      </w:r>
      <w:r w:rsidR="00231D91" w:rsidRPr="0078696C">
        <w:rPr>
          <w:rFonts w:ascii="Times New Roman" w:hAnsi="Times New Roman"/>
          <w:color w:val="000000"/>
          <w:sz w:val="28"/>
          <w:szCs w:val="28"/>
        </w:rPr>
        <w:t xml:space="preserve">Пенсійний вік для жінок згідно Закону </w:t>
      </w:r>
      <w:r w:rsidRPr="0078696C">
        <w:rPr>
          <w:rFonts w:ascii="Times New Roman" w:hAnsi="Times New Roman"/>
          <w:color w:val="000000"/>
          <w:sz w:val="28"/>
          <w:szCs w:val="28"/>
        </w:rPr>
        <w:t xml:space="preserve">підвищено до </w:t>
      </w:r>
      <w:r w:rsidR="00231D91" w:rsidRPr="0078696C">
        <w:rPr>
          <w:rFonts w:ascii="Times New Roman" w:hAnsi="Times New Roman"/>
          <w:color w:val="000000"/>
          <w:sz w:val="28"/>
          <w:szCs w:val="28"/>
        </w:rPr>
        <w:br/>
      </w:r>
      <w:r w:rsidRPr="0078696C">
        <w:rPr>
          <w:rFonts w:ascii="Times New Roman" w:hAnsi="Times New Roman"/>
          <w:color w:val="000000"/>
          <w:sz w:val="28"/>
          <w:szCs w:val="28"/>
        </w:rPr>
        <w:t>60 років за графіком дати народження з кроком «півроку на рік». Мінімальний стаж для призначення пенсії за віком зріс з 5 до 15 років. Підвищено вимоги до стажу для призначення пенсій за віком у розмірі, не нижчому за мінімальну: з 20 до 30 років – для жінок, з 25 до 35 років – для чоловіків. Пенсійний вік чоловіків-держслужбовців підвищено до 62 років. Введено більш гнучку систему нарахування бонусів за відтермінування виходу на пенсію та істотні обмеження індексації виплат працюючим пенсіонерам.</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Встановлено максимальний розмір пенсії на рівні 10 прожиткових мінімумів для осіб, які втратили працездатність. Також Законом передбачено створення приватних пенсійних фондів тощо.</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Рішення про підвищення пенсійного віку тільки для жінок було прийнято з урахуванням демографічних та економічних реалій (у жінок очікувана тривалість життя при народженні на 10 років довша, ніж у чоловіків; серед населення працездатного віку рівень смертності чоловіків втричі вищий, ніж у жінок), а також з метою зменшення гендерної нерівності та ризиків бідності серед літніх жінок. Заходи реформи 2011 року дали змогу зменшити кількість нових пенсіонерів за віком та кількість пенсіонерів загалом, але не змогли зупинити зростання обсягу пенсійних видатків та дефіциту Пенсійного фонду.</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Прийняті законодавчі зміни, по суті, лише впливають на перерозподільні відносини Пенсійного фонду України, однак не вирішують принципових проблем пенсійної системи, зокрема забезпечення власних надходжень Пенсійного фонду та фінансування належного рівня виплат. Підвищення пенсійного віку за умов старіння населення лише тимчасово забезпечує обмеження зростання кількості пенсіонерів, і навіть у середньостроковій перспективі не здатне вирішити проблеми дефіциту бюджету Пенсійного фонду України.</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lastRenderedPageBreak/>
        <w:t>Запропоновані напрями реформування в кризових умовах не визначають реальних економічних важелів впливу на збільшення надходжень до пенсійної системи України. Тому вважаємо, що вони є скоріше інструментами подолання дефіциту коштів, ніж виваженими складовими реформування системи пенсійного забезпечення.</w:t>
      </w:r>
    </w:p>
    <w:p w:rsidR="00795E62" w:rsidRPr="0078696C" w:rsidRDefault="00A272B0"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П’ятий етап(к</w:t>
      </w:r>
      <w:r w:rsidR="00795E62" w:rsidRPr="0078696C">
        <w:rPr>
          <w:rFonts w:ascii="Times New Roman" w:hAnsi="Times New Roman"/>
          <w:i/>
          <w:color w:val="000000"/>
          <w:sz w:val="28"/>
          <w:szCs w:val="28"/>
        </w:rPr>
        <w:t>вітень 2014 р. – вересень 2017 р.</w:t>
      </w:r>
      <w:r w:rsidRPr="0078696C">
        <w:rPr>
          <w:rFonts w:ascii="Times New Roman" w:hAnsi="Times New Roman"/>
          <w:i/>
          <w:color w:val="000000"/>
          <w:sz w:val="28"/>
          <w:szCs w:val="28"/>
        </w:rPr>
        <w:t>).</w:t>
      </w:r>
      <w:r w:rsidR="00795E62" w:rsidRPr="0078696C">
        <w:rPr>
          <w:rFonts w:ascii="Times New Roman" w:hAnsi="Times New Roman"/>
          <w:color w:val="000000"/>
          <w:sz w:val="28"/>
          <w:szCs w:val="28"/>
        </w:rPr>
        <w:t xml:space="preserve"> Даний етап характеризується жорсткими обмеженнями та замороженням індексації пенсій. Гостра економічна криза, посилена напруженою військово-політичною ситуацією, спонукала до запровадження режиму жорсткої економії та консолідації соціальних видатків.</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27 березня 2014 року Верховною Радою України прийнято Закон України № 1166-VII «Про запобігання фінансової катастрофи та створення передумов для економічного зростання в Україні» </w:t>
      </w:r>
      <w:r w:rsidRPr="0078696C">
        <w:rPr>
          <w:rFonts w:ascii="Times New Roman" w:hAnsi="Times New Roman"/>
          <w:color w:val="000000"/>
          <w:sz w:val="28"/>
          <w:szCs w:val="28"/>
          <w:vertAlign w:val="superscript"/>
        </w:rPr>
        <w:footnoteReference w:id="172"/>
      </w:r>
      <w:r w:rsidRPr="0078696C">
        <w:rPr>
          <w:rFonts w:ascii="Times New Roman" w:hAnsi="Times New Roman"/>
          <w:color w:val="000000"/>
          <w:sz w:val="28"/>
          <w:szCs w:val="28"/>
        </w:rPr>
        <w:t xml:space="preserve">, яким внесено зміни до більш, ніж </w:t>
      </w:r>
      <w:r w:rsidR="00231D91" w:rsidRPr="0078696C">
        <w:rPr>
          <w:rFonts w:ascii="Times New Roman" w:hAnsi="Times New Roman"/>
          <w:color w:val="000000"/>
          <w:sz w:val="28"/>
          <w:szCs w:val="28"/>
        </w:rPr>
        <w:br/>
      </w:r>
      <w:r w:rsidRPr="0078696C">
        <w:rPr>
          <w:rFonts w:ascii="Times New Roman" w:hAnsi="Times New Roman"/>
          <w:color w:val="000000"/>
          <w:sz w:val="28"/>
          <w:szCs w:val="28"/>
        </w:rPr>
        <w:t>20 законів.</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Зокрема, з 1 квітня 2014 року відновлено збір на обов’язкове державне пенс</w:t>
      </w:r>
      <w:r w:rsidR="005D146F" w:rsidRPr="0078696C">
        <w:rPr>
          <w:rFonts w:ascii="Times New Roman" w:hAnsi="Times New Roman"/>
          <w:color w:val="000000"/>
          <w:sz w:val="28"/>
          <w:szCs w:val="28"/>
        </w:rPr>
        <w:t>ійне страхування за ставкою 0,5</w:t>
      </w:r>
      <w:r w:rsidRPr="0078696C">
        <w:rPr>
          <w:rFonts w:ascii="Times New Roman" w:hAnsi="Times New Roman"/>
          <w:color w:val="000000"/>
          <w:sz w:val="28"/>
          <w:szCs w:val="28"/>
        </w:rPr>
        <w:t>% при здійсненні операцій з купівлі іноземної валюти в безготівковій та/або в готівковій формі юридичними та фізичними особами.</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Законом України «Про внесення змін до деяких законодавчих актів України щодо забезпечення проведення мобілізації» </w:t>
      </w:r>
      <w:r w:rsidRPr="0078696C">
        <w:rPr>
          <w:rFonts w:ascii="Times New Roman" w:hAnsi="Times New Roman"/>
          <w:color w:val="000000"/>
          <w:sz w:val="28"/>
          <w:szCs w:val="28"/>
          <w:vertAlign w:val="superscript"/>
        </w:rPr>
        <w:footnoteReference w:id="173"/>
      </w:r>
      <w:r w:rsidRPr="0078696C">
        <w:rPr>
          <w:rFonts w:ascii="Times New Roman" w:hAnsi="Times New Roman"/>
          <w:color w:val="000000"/>
          <w:sz w:val="28"/>
          <w:szCs w:val="28"/>
        </w:rPr>
        <w:t xml:space="preserve">, який набрав чинності з 1 квітня 2014 року внесено зміни до статті 2 Закону України «Про пенсійне забезпечення осіб, звільнених з військової служби, та деяких інших осіб», згідно з якими не припиняється виплата пенсій пенсіонерам з числа військовослужбовців та осіб, які отримують пенсію за зазначеним Законом, у разі призову їх на військову службу під час мобілізації, на особливий період до Збройних Сил України, інших утворених відповідно до законів України військових формувань та Державної спеціальної служби транспорту, на службу </w:t>
      </w:r>
      <w:r w:rsidRPr="0078696C">
        <w:rPr>
          <w:rFonts w:ascii="Times New Roman" w:hAnsi="Times New Roman"/>
          <w:color w:val="000000"/>
          <w:sz w:val="28"/>
          <w:szCs w:val="28"/>
        </w:rPr>
        <w:lastRenderedPageBreak/>
        <w:t>до органів внутрішніх справ, Державної служби спеціального зв’язку та захисту інформації України, органів та підрозділів цивільного захисту, податкової міліції та Державної кримінально-виконавчої служби України.</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Після звільнення зі служби цих осіб виплата пенсій їм здійснюється з урахуванням додаткової вислуги років на день їх демобілізації. Якщо новий розмір пенсії у цих осіб буде нижчим за розмір, який вони отримували в мирний час, виплата пенсії їм здійснюється у розмірі, який вони отримували на день призову на службу у зв’язку з мобілізацією.</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З 1 січня 2015 року при призначенні пенсій таким категоріям пенсіонерів, як прокурори, державні службовці, судді, народні депутати, службовці органів місцевого самоврядування, відсоток від заробітної плати, що береться для обчислення пенсії, зменшується з 70 до 60.</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При призначенні пенсій за законом «Про наукову та науково-технічну діяльність» відсоток від заробітної плати, що береться для обчислення пенсії, зменшено з 80 до 60.</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Передбачено, що пенсіонер будь-якої із «спеціальних» категорій позбавляється права на одержання «спеціальної» пенсії у разі вчинення корупційного діяння (звільнення з роботи у зв’язку із засудженням за умисний злочин із використанням свого посадового становища або притягнення до адміністративної відповідальності за правопорушення, пов’язане з корупцією).</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Перерахунок «спеціальних» пенсій вже не буде проводитися щоразу при зростанні заробітної плати працюючих службовців. Порядок проведення перерахунків таких пенсій визначатиме Кабінет Міністрів України.</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Розміри мінімальної пенсії інвалідам-чорнобильцям, додаткової пенсії за шкоду, заподіяну здоров’ю внаслідок аварії на ЧАЕС, розміри компенсацій сім’ям за втрату годувальника внаслідок чорнобильської катастрофи встановлюються Кабінетом Міністрів України. Скасовано норму щодо призначення до пенсій доплат за проживання на забруднених територіях. Розміри раніше призначених пенсій у зв’язку із прийняттям цієї норми не зменшилися, але для пенсій, призначених після 1 січня 2015 року, відповідна </w:t>
      </w:r>
      <w:r w:rsidRPr="0078696C">
        <w:rPr>
          <w:rFonts w:ascii="Times New Roman" w:hAnsi="Times New Roman"/>
          <w:color w:val="000000"/>
          <w:sz w:val="28"/>
          <w:szCs w:val="28"/>
        </w:rPr>
        <w:lastRenderedPageBreak/>
        <w:t>доплата встановлюватися вже не буде (розмір доплати становив від 5,20 грн. до 13,20 грн.).</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Законом про Державний бюджет України на 2015рік </w:t>
      </w:r>
      <w:r w:rsidRPr="0078696C">
        <w:rPr>
          <w:rFonts w:ascii="Times New Roman" w:hAnsi="Times New Roman"/>
          <w:color w:val="000000"/>
          <w:sz w:val="28"/>
          <w:szCs w:val="28"/>
          <w:vertAlign w:val="superscript"/>
        </w:rPr>
        <w:footnoteReference w:id="174"/>
      </w:r>
      <w:r w:rsidRPr="0078696C">
        <w:rPr>
          <w:rFonts w:ascii="Times New Roman" w:hAnsi="Times New Roman"/>
          <w:color w:val="000000"/>
          <w:sz w:val="28"/>
          <w:szCs w:val="28"/>
        </w:rPr>
        <w:t xml:space="preserve"> підтверджено право Кабінету Міністрів України на встановлення розмірів окремих соціальних виплат, у тому числі чорнобильцям, дітям війни, військовослужбовцям та деяким іншим категоріям громадян.</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Згідно із законодавством, яке діяло до 1 січня 2015 року, оподаткуванню підлягали суми пенсії, що перевищували 10 тис. гривень, у частині такого перевищення. З 1 січня 2015 року внесено зміни до статті 164 Податкового кодексу </w:t>
      </w:r>
      <w:r w:rsidRPr="0078696C">
        <w:rPr>
          <w:rFonts w:ascii="Times New Roman" w:hAnsi="Times New Roman"/>
          <w:color w:val="000000"/>
          <w:sz w:val="28"/>
          <w:szCs w:val="28"/>
          <w:vertAlign w:val="superscript"/>
        </w:rPr>
        <w:footnoteReference w:id="175"/>
      </w:r>
      <w:r w:rsidRPr="0078696C">
        <w:rPr>
          <w:rFonts w:ascii="Times New Roman" w:hAnsi="Times New Roman"/>
          <w:color w:val="000000"/>
          <w:sz w:val="28"/>
          <w:szCs w:val="28"/>
        </w:rPr>
        <w:t>, і тепер оподаткуванню підлягали пенсії, розмір яких перевищує три мінімальних заробітних плати (3654 грн.), в частині такого перевищення за ставкою 15 % (для працюючих пенсіонерів). Наприклад, якщо розмір пенсії становить 4100 грн., то оподатковуються тільки 446 грн. – та частина, яка перевищує межу в 3654 грн. Якщо ж сума перевищення над трьома мінімальними заробітними платами більша за 10-кратний розмір мінімальної заробітної плати, то ставка податку збільшується до 20 %.Оподаткування пенсій здійснювалося органами Пенсійного фонду України в автоматичному режимі.</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Окрім цього, значна кількість заходів була спрямована на скасування дострокових пенсій: для безробітних, які зареєстровані в Державній службі зайнятості і яким з моменту звільнення до досягнення пенсійного віку залишилося не більше 1,5 року; істотно скорочено перелік виробництв, професій, посад, зайнятість в яких дає право на пенсію за віком на пільгових умовах; встановлено обмеження мінімального віку та розпочато поступове підвищення на 5 років професійного страхового стажу, необхідного для виходу на пенсію за вислугу років.</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Але головним способом економії стало повне припинення індексації пенсій та мінімальних гарантій, включаючи замороження прожиткового </w:t>
      </w:r>
      <w:r w:rsidRPr="0078696C">
        <w:rPr>
          <w:rFonts w:ascii="Times New Roman" w:hAnsi="Times New Roman"/>
          <w:color w:val="000000"/>
          <w:sz w:val="28"/>
          <w:szCs w:val="28"/>
        </w:rPr>
        <w:lastRenderedPageBreak/>
        <w:t>мінімуму та фіксацію багатьох пенсійних надбавок/доплат в номінальному розмірі станом на грудень 2013 р.</w:t>
      </w:r>
    </w:p>
    <w:p w:rsidR="00795E62" w:rsidRPr="0078696C" w:rsidRDefault="004B1AD3"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Шостий етап (</w:t>
      </w:r>
      <w:r w:rsidR="00927160" w:rsidRPr="0078696C">
        <w:rPr>
          <w:rFonts w:ascii="Times New Roman" w:hAnsi="Times New Roman"/>
          <w:i/>
          <w:color w:val="000000"/>
          <w:sz w:val="28"/>
          <w:szCs w:val="28"/>
        </w:rPr>
        <w:t>ж</w:t>
      </w:r>
      <w:r w:rsidR="00795E62" w:rsidRPr="0078696C">
        <w:rPr>
          <w:rFonts w:ascii="Times New Roman" w:hAnsi="Times New Roman"/>
          <w:i/>
          <w:color w:val="000000"/>
          <w:sz w:val="28"/>
          <w:szCs w:val="28"/>
        </w:rPr>
        <w:t>овтень 2017 р. – теперішній час</w:t>
      </w:r>
      <w:r w:rsidRPr="0078696C">
        <w:rPr>
          <w:rFonts w:ascii="Times New Roman" w:hAnsi="Times New Roman"/>
          <w:i/>
          <w:color w:val="000000"/>
          <w:sz w:val="28"/>
          <w:szCs w:val="28"/>
        </w:rPr>
        <w:t>)</w:t>
      </w:r>
      <w:r w:rsidR="00795E62" w:rsidRPr="0078696C">
        <w:rPr>
          <w:rFonts w:ascii="Times New Roman" w:hAnsi="Times New Roman"/>
          <w:i/>
          <w:color w:val="000000"/>
          <w:sz w:val="28"/>
          <w:szCs w:val="28"/>
        </w:rPr>
        <w:t>.</w:t>
      </w:r>
      <w:r w:rsidR="00795E62" w:rsidRPr="0078696C">
        <w:rPr>
          <w:rFonts w:ascii="Times New Roman" w:hAnsi="Times New Roman"/>
          <w:color w:val="000000"/>
          <w:sz w:val="28"/>
          <w:szCs w:val="28"/>
        </w:rPr>
        <w:t xml:space="preserve"> 3-го жовтня 2017 року Верховна Рада України ухвалила у другому читанні законопроект № 6614 «Про внесення змін до деяких законодавчих актів України щодо підвищення пенсій»</w:t>
      </w:r>
      <w:r w:rsidR="00795E62" w:rsidRPr="0078696C">
        <w:rPr>
          <w:rFonts w:ascii="Times New Roman" w:hAnsi="Times New Roman"/>
          <w:color w:val="000000"/>
          <w:sz w:val="28"/>
          <w:szCs w:val="28"/>
          <w:vertAlign w:val="superscript"/>
        </w:rPr>
        <w:footnoteReference w:id="176"/>
      </w:r>
      <w:r w:rsidR="00795E62" w:rsidRPr="0078696C">
        <w:rPr>
          <w:rFonts w:ascii="Times New Roman" w:hAnsi="Times New Roman"/>
          <w:color w:val="000000"/>
          <w:sz w:val="28"/>
          <w:szCs w:val="28"/>
        </w:rPr>
        <w:t>, ініц</w:t>
      </w:r>
      <w:r w:rsidR="00724FE9" w:rsidRPr="0078696C">
        <w:rPr>
          <w:rFonts w:ascii="Times New Roman" w:hAnsi="Times New Roman"/>
          <w:color w:val="000000"/>
          <w:sz w:val="28"/>
          <w:szCs w:val="28"/>
        </w:rPr>
        <w:t xml:space="preserve">іатором якого виступив </w:t>
      </w:r>
      <w:r w:rsidR="005D146F" w:rsidRPr="0078696C">
        <w:rPr>
          <w:rFonts w:ascii="Times New Roman" w:hAnsi="Times New Roman"/>
          <w:color w:val="000000"/>
          <w:sz w:val="28"/>
          <w:szCs w:val="28"/>
        </w:rPr>
        <w:t>п</w:t>
      </w:r>
      <w:r w:rsidR="00795E62" w:rsidRPr="0078696C">
        <w:rPr>
          <w:rFonts w:ascii="Times New Roman" w:hAnsi="Times New Roman"/>
          <w:color w:val="000000"/>
          <w:sz w:val="28"/>
          <w:szCs w:val="28"/>
        </w:rPr>
        <w:t>рем’єр-міністр України Гройсман Володимир Борисович.</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Згідно </w:t>
      </w:r>
      <w:r w:rsidR="00724FE9" w:rsidRPr="0078696C">
        <w:rPr>
          <w:rFonts w:ascii="Times New Roman" w:hAnsi="Times New Roman"/>
          <w:color w:val="000000"/>
          <w:sz w:val="28"/>
          <w:szCs w:val="28"/>
        </w:rPr>
        <w:t>з запропонованою</w:t>
      </w:r>
      <w:r w:rsidRPr="0078696C">
        <w:rPr>
          <w:rFonts w:ascii="Times New Roman" w:hAnsi="Times New Roman"/>
          <w:color w:val="000000"/>
          <w:sz w:val="28"/>
          <w:szCs w:val="28"/>
        </w:rPr>
        <w:t xml:space="preserve"> поя</w:t>
      </w:r>
      <w:r w:rsidR="00724FE9" w:rsidRPr="0078696C">
        <w:rPr>
          <w:rFonts w:ascii="Times New Roman" w:hAnsi="Times New Roman"/>
          <w:color w:val="000000"/>
          <w:sz w:val="28"/>
          <w:szCs w:val="28"/>
        </w:rPr>
        <w:t>снювальною запискою</w:t>
      </w:r>
      <w:r w:rsidR="004B1AD3" w:rsidRPr="0078696C">
        <w:rPr>
          <w:rFonts w:ascii="Times New Roman" w:hAnsi="Times New Roman"/>
          <w:color w:val="000000"/>
          <w:sz w:val="28"/>
          <w:szCs w:val="28"/>
        </w:rPr>
        <w:t xml:space="preserve"> мета даного </w:t>
      </w:r>
      <w:r w:rsidRPr="0078696C">
        <w:rPr>
          <w:rFonts w:ascii="Times New Roman" w:hAnsi="Times New Roman"/>
          <w:color w:val="000000"/>
          <w:sz w:val="28"/>
          <w:szCs w:val="28"/>
        </w:rPr>
        <w:t xml:space="preserve">нормативно-правового акту полягала в наступному: відновлення диференціації розмірів пенсій залежно від заробітку та страхового стажу; перегляд умов перерахунку (індексації) пенсій; зміна механізму відшкодування пільгових пенсій на сплату єдиного внеску; перегляд умов призначення пенсій за віком на пільгових умовах та за вислугу років; впровадження єдиних підходів до обчислення пенсій відповідно до норм Закону № 1058 держслужбовцям, науковцям, посадовим особам місцевого самоврядування, прокурорам, працівникам Національного антикорупційного бюро та Національного агентства з питань запобігання корупції; звільнення солідарної системи від невластивих для неї видатків </w:t>
      </w:r>
      <w:r w:rsidRPr="0078696C">
        <w:rPr>
          <w:rFonts w:ascii="Times New Roman" w:hAnsi="Times New Roman"/>
          <w:color w:val="000000"/>
          <w:sz w:val="28"/>
          <w:szCs w:val="28"/>
          <w:vertAlign w:val="superscript"/>
        </w:rPr>
        <w:footnoteReference w:id="177"/>
      </w:r>
      <w:r w:rsidRPr="0078696C">
        <w:rPr>
          <w:rFonts w:ascii="Times New Roman" w:hAnsi="Times New Roman"/>
          <w:color w:val="000000"/>
          <w:sz w:val="28"/>
          <w:szCs w:val="28"/>
        </w:rPr>
        <w:t>.</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Найбільш ключовою та довгоочікуваною зміною стало «осучаснення пенсій», тобто їх перерахунок відповідно до показника середньої заробітної плати по Україні, з якої сплачуються страхові внески, за 2014-2016 роки у розмірі 3764,40 грн. Останній раз таке «осучаснення» відбулося в 2012 році, але із застосуванням показника середньої заробітної плати по Україні за 2007 рік в розмірі 1197,91 грн. Також, позитивним стало скасування оподаткування пенсій та збільшення </w:t>
      </w:r>
      <w:r w:rsidR="00724FE9" w:rsidRPr="0078696C">
        <w:rPr>
          <w:rFonts w:ascii="Times New Roman" w:hAnsi="Times New Roman"/>
          <w:color w:val="000000"/>
          <w:sz w:val="28"/>
          <w:szCs w:val="28"/>
        </w:rPr>
        <w:t>мінімальної пенсії до 1452 грн.</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Решту змін назвати оптимістичними важко, адже відповідно до нового законодавства, щоб вийти на пенсію у 60 років мінімальний страховий стаж з </w:t>
      </w:r>
      <w:r w:rsidRPr="0078696C">
        <w:rPr>
          <w:rFonts w:ascii="Times New Roman" w:hAnsi="Times New Roman"/>
          <w:color w:val="000000"/>
          <w:sz w:val="28"/>
          <w:szCs w:val="28"/>
        </w:rPr>
        <w:lastRenderedPageBreak/>
        <w:t>01.01.2018 р. повинен становити не менше 25 років, а станом на 2028 рік – уже не менше 35. Окрім цього, скасовано коефіцієнт підвищення вартості одного року страхового стажу, який з 01.10.2008 року було встановлено на рівні 1,35, що призвело до суттєво зменшення розміру раніше призначених пенсій.</w:t>
      </w:r>
    </w:p>
    <w:p w:rsidR="00795E62" w:rsidRPr="0078696C" w:rsidRDefault="00795E62" w:rsidP="00795E62">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Отже, Закон України «Про внесення змін до деяких законодавчих актів України щодо підвищення пенсій», хоча і спрямований, перш за все, на справедливе та достойне пенсійне забезпечення осіб, які втратили працездатність, однак, як показує більш як річний досвід в умовах дії даного Закону, основною його новацією, як не прикро це констатувати, стало завуальоване збільшення пенсійного віку та страхового стажу. Проголошене запровадження накопичувального рівня не діє і до сьогодні.</w:t>
      </w:r>
    </w:p>
    <w:p w:rsidR="00A979E3" w:rsidRPr="0078696C" w:rsidRDefault="00795E62" w:rsidP="0005799F">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На жаль, прийняті зміни фактично не вирішили принципових проблем пенсійної системи: забезпечення потужних надхо</w:t>
      </w:r>
      <w:r w:rsidR="00126F2F" w:rsidRPr="0078696C">
        <w:rPr>
          <w:rFonts w:ascii="Times New Roman" w:hAnsi="Times New Roman"/>
          <w:color w:val="000000"/>
          <w:sz w:val="28"/>
          <w:szCs w:val="28"/>
        </w:rPr>
        <w:t>джень і подолання дефіциту ПФУ.</w:t>
      </w:r>
    </w:p>
    <w:p w:rsidR="00516E89" w:rsidRPr="0078696C" w:rsidRDefault="00516E89" w:rsidP="0005799F">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Таким чином, в основу запропонованої періодизації пенсійних реформ в Україні нами було покладено </w:t>
      </w:r>
      <w:r w:rsidR="0069160F" w:rsidRPr="0078696C">
        <w:rPr>
          <w:rFonts w:ascii="Times New Roman" w:hAnsi="Times New Roman"/>
          <w:color w:val="000000"/>
          <w:sz w:val="28"/>
          <w:szCs w:val="28"/>
        </w:rPr>
        <w:t>ключові</w:t>
      </w:r>
      <w:r w:rsidRPr="0078696C">
        <w:rPr>
          <w:rFonts w:ascii="Times New Roman" w:hAnsi="Times New Roman"/>
          <w:color w:val="000000"/>
          <w:sz w:val="28"/>
          <w:szCs w:val="28"/>
        </w:rPr>
        <w:t xml:space="preserve"> зміни </w:t>
      </w:r>
      <w:r w:rsidR="00D121F6" w:rsidRPr="0078696C">
        <w:rPr>
          <w:rFonts w:ascii="Times New Roman" w:hAnsi="Times New Roman"/>
          <w:color w:val="000000"/>
          <w:sz w:val="28"/>
          <w:szCs w:val="28"/>
        </w:rPr>
        <w:t xml:space="preserve">у </w:t>
      </w:r>
      <w:r w:rsidR="0069160F" w:rsidRPr="0078696C">
        <w:rPr>
          <w:rFonts w:ascii="Times New Roman" w:hAnsi="Times New Roman"/>
          <w:color w:val="000000"/>
          <w:sz w:val="28"/>
          <w:szCs w:val="28"/>
        </w:rPr>
        <w:t>пенсійно</w:t>
      </w:r>
      <w:r w:rsidR="00D121F6" w:rsidRPr="0078696C">
        <w:rPr>
          <w:rFonts w:ascii="Times New Roman" w:hAnsi="Times New Roman"/>
          <w:color w:val="000000"/>
          <w:sz w:val="28"/>
          <w:szCs w:val="28"/>
        </w:rPr>
        <w:t>му законодавствіта діяльності органів ПФУ</w:t>
      </w:r>
      <w:r w:rsidR="00B3752A" w:rsidRPr="0078696C">
        <w:rPr>
          <w:rFonts w:ascii="Times New Roman" w:hAnsi="Times New Roman"/>
          <w:color w:val="000000"/>
          <w:sz w:val="28"/>
          <w:szCs w:val="28"/>
        </w:rPr>
        <w:t>, що було спричинено економічною та політичною ситуацією в країні</w:t>
      </w:r>
      <w:r w:rsidR="00D121F6" w:rsidRPr="0078696C">
        <w:rPr>
          <w:rFonts w:ascii="Times New Roman" w:hAnsi="Times New Roman"/>
          <w:color w:val="000000"/>
          <w:sz w:val="28"/>
          <w:szCs w:val="28"/>
        </w:rPr>
        <w:t xml:space="preserve">. Кожному </w:t>
      </w:r>
      <w:r w:rsidR="00231D91" w:rsidRPr="0078696C">
        <w:rPr>
          <w:rFonts w:ascii="Times New Roman" w:hAnsi="Times New Roman"/>
          <w:color w:val="000000"/>
          <w:sz w:val="28"/>
          <w:szCs w:val="28"/>
        </w:rPr>
        <w:t>виділеному нами</w:t>
      </w:r>
      <w:r w:rsidR="00D121F6" w:rsidRPr="0078696C">
        <w:rPr>
          <w:rFonts w:ascii="Times New Roman" w:hAnsi="Times New Roman"/>
          <w:color w:val="000000"/>
          <w:sz w:val="28"/>
          <w:szCs w:val="28"/>
        </w:rPr>
        <w:t xml:space="preserve"> етапу характерні певні особливості </w:t>
      </w:r>
      <w:r w:rsidR="00B3752A" w:rsidRPr="0078696C">
        <w:rPr>
          <w:rFonts w:ascii="Times New Roman" w:hAnsi="Times New Roman"/>
          <w:color w:val="000000"/>
          <w:sz w:val="28"/>
          <w:szCs w:val="28"/>
        </w:rPr>
        <w:t>щодо умов призначення та перерахунку пенсій (вимоги щодо пенсійного віку, страхового стажу), механізму їх обчислення (загальне та спеціальне законодавство), джерел фінансування та розподілу пенсійних виплат (за рахунок коштів ПФУ, Державного бюджету чи роботодавців), функціонально</w:t>
      </w:r>
      <w:r w:rsidR="00EF513E" w:rsidRPr="0078696C">
        <w:rPr>
          <w:rFonts w:ascii="Times New Roman" w:hAnsi="Times New Roman"/>
          <w:color w:val="000000"/>
          <w:sz w:val="28"/>
          <w:szCs w:val="28"/>
        </w:rPr>
        <w:t>го призначення</w:t>
      </w:r>
      <w:r w:rsidR="00B3752A" w:rsidRPr="0078696C">
        <w:rPr>
          <w:rFonts w:ascii="Times New Roman" w:hAnsi="Times New Roman"/>
          <w:color w:val="000000"/>
          <w:sz w:val="28"/>
          <w:szCs w:val="28"/>
        </w:rPr>
        <w:t xml:space="preserve"> органів ПФУ. </w:t>
      </w:r>
    </w:p>
    <w:p w:rsidR="00516E89" w:rsidRPr="0078696C" w:rsidRDefault="00516E89" w:rsidP="005D146F">
      <w:pPr>
        <w:spacing w:after="0" w:line="360" w:lineRule="auto"/>
        <w:jc w:val="both"/>
        <w:rPr>
          <w:rFonts w:ascii="Times New Roman" w:hAnsi="Times New Roman"/>
          <w:color w:val="000000"/>
          <w:sz w:val="28"/>
          <w:szCs w:val="28"/>
        </w:rPr>
      </w:pPr>
    </w:p>
    <w:p w:rsidR="00576F48" w:rsidRPr="0078696C" w:rsidRDefault="00126F2F" w:rsidP="00576F48">
      <w:pPr>
        <w:spacing w:line="360" w:lineRule="auto"/>
        <w:ind w:firstLine="709"/>
        <w:contextualSpacing/>
        <w:jc w:val="both"/>
        <w:rPr>
          <w:rFonts w:ascii="Times New Roman" w:hAnsi="Times New Roman"/>
          <w:b/>
          <w:color w:val="000000"/>
          <w:sz w:val="28"/>
          <w:szCs w:val="28"/>
        </w:rPr>
      </w:pPr>
      <w:r w:rsidRPr="0078696C">
        <w:rPr>
          <w:rFonts w:ascii="Times New Roman" w:hAnsi="Times New Roman"/>
          <w:b/>
          <w:color w:val="000000"/>
          <w:sz w:val="28"/>
          <w:szCs w:val="28"/>
        </w:rPr>
        <w:t xml:space="preserve">2.2 Реалізація прав </w:t>
      </w:r>
      <w:r w:rsidR="00860382" w:rsidRPr="0078696C">
        <w:rPr>
          <w:rFonts w:ascii="Times New Roman" w:hAnsi="Times New Roman"/>
          <w:b/>
          <w:color w:val="000000"/>
          <w:sz w:val="28"/>
          <w:szCs w:val="28"/>
        </w:rPr>
        <w:t>громадян на призначення пенсії</w:t>
      </w:r>
    </w:p>
    <w:p w:rsidR="00901F15" w:rsidRPr="0078696C" w:rsidRDefault="00126F2F" w:rsidP="00126F2F">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Реалізація прав громадян на призначення пенсії у солідарній системі здійснюється згідно з чинним законодавством в залежності від виду пенсії, на яку претендує особа.</w:t>
      </w:r>
    </w:p>
    <w:p w:rsidR="00126F2F" w:rsidRPr="0078696C" w:rsidRDefault="00126F2F" w:rsidP="00126F2F">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 огляду на зазначене, пенсіонерів у солідарній системі можна поділити на дві групи:</w:t>
      </w:r>
    </w:p>
    <w:p w:rsidR="00126F2F" w:rsidRPr="0078696C" w:rsidRDefault="00126F2F" w:rsidP="00126F2F">
      <w:pPr>
        <w:numPr>
          <w:ilvl w:val="0"/>
          <w:numId w:val="9"/>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ті, що претендують на пенсію відповідно до Закону України «Про загальнообов’язкове державне пенсійне страхування» (з 01.10.2011 р. встановлюється однаковий для обох статей пенсійний вік у 60 років, проте із перехідним періодом для жінок, яким пенсійний вік піднімається);</w:t>
      </w:r>
    </w:p>
    <w:p w:rsidR="00126F2F" w:rsidRPr="0078696C" w:rsidRDefault="00126F2F" w:rsidP="00126F2F">
      <w:pPr>
        <w:numPr>
          <w:ilvl w:val="0"/>
          <w:numId w:val="9"/>
        </w:numPr>
        <w:spacing w:after="0" w:line="360" w:lineRule="auto"/>
        <w:ind w:left="0"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ті, пенсійне забезпечення яких визначається іншими законами.</w:t>
      </w:r>
    </w:p>
    <w:p w:rsidR="00126F2F" w:rsidRPr="0078696C" w:rsidRDefault="00126F2F" w:rsidP="00126F2F">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Пенсійний вік – це нормативно визначений вік людини, з настанням якого вона має право на пенсійну виплату </w:t>
      </w:r>
      <w:r w:rsidRPr="0078696C">
        <w:rPr>
          <w:rFonts w:ascii="Times New Roman" w:hAnsi="Times New Roman"/>
          <w:color w:val="000000"/>
          <w:sz w:val="28"/>
          <w:szCs w:val="28"/>
          <w:vertAlign w:val="superscript"/>
        </w:rPr>
        <w:footnoteReference w:id="178"/>
      </w:r>
      <w:r w:rsidRPr="0078696C">
        <w:rPr>
          <w:rFonts w:ascii="Times New Roman" w:hAnsi="Times New Roman"/>
          <w:color w:val="000000"/>
          <w:sz w:val="28"/>
          <w:szCs w:val="28"/>
        </w:rPr>
        <w:t xml:space="preserve">. Відповідно до ч. 1. ст. 26 Закону України «Про </w:t>
      </w:r>
      <w:r w:rsidR="00591E92" w:rsidRPr="0078696C">
        <w:rPr>
          <w:rFonts w:ascii="Times New Roman" w:hAnsi="Times New Roman"/>
          <w:color w:val="000000"/>
          <w:sz w:val="28"/>
          <w:szCs w:val="28"/>
        </w:rPr>
        <w:t>загальнообов’язкове державне пенсійне страхування</w:t>
      </w:r>
      <w:r w:rsidRPr="0078696C">
        <w:rPr>
          <w:rFonts w:ascii="Times New Roman" w:hAnsi="Times New Roman"/>
          <w:color w:val="000000"/>
          <w:sz w:val="28"/>
          <w:szCs w:val="28"/>
        </w:rPr>
        <w:t xml:space="preserve">» особи мають право на призначення пенсії за віком після досягнення віку 60 років </w:t>
      </w:r>
      <w:r w:rsidRPr="0078696C">
        <w:rPr>
          <w:rFonts w:ascii="Times New Roman" w:hAnsi="Times New Roman"/>
          <w:color w:val="000000"/>
          <w:sz w:val="28"/>
          <w:szCs w:val="28"/>
          <w:vertAlign w:val="superscript"/>
        </w:rPr>
        <w:footnoteReference w:id="179"/>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Як підстава пенсійного забезпечення відповідного виду, він неодноразово зумовлював дискусії серед науковців, законотворців та пересічних громадян в контексті проблемної тенденції сучасного суспільства збільшувати його мінімальний поріг.</w:t>
      </w:r>
    </w:p>
    <w:p w:rsidR="00126F2F" w:rsidRPr="0078696C" w:rsidRDefault="00426CE9"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Уже понад</w:t>
      </w:r>
      <w:r w:rsidR="00126F2F" w:rsidRPr="0078696C">
        <w:rPr>
          <w:rFonts w:ascii="Times New Roman" w:hAnsi="Times New Roman"/>
          <w:color w:val="000000"/>
          <w:sz w:val="28"/>
          <w:szCs w:val="28"/>
        </w:rPr>
        <w:t xml:space="preserve"> 30 років значна кількість держав збільшують законодавчо встановлений пенсійний вік (як загальний, так і для дострокового виходу на пенсію). Такий підхід застосували Німеччина, Італія, Японія, Швейцарія, США, Австралія, Великобританія, Норвегія тощо. Здебільшого, основною передумовою для таких змін є макроекономічні та демографічні показники у кожній державі, які призвели до дестабілізаційних ознак у їхніх пенсійних системах. Бачення пенсійного віку після 2020 року у більшості держав ЄС виглядає досить невизначеним. Лише в Австрії, Великобританії, Греції, Данії, Ірландії, Литві, Мальті, Німеччині є певна ясність щодо цього параметру в майбутньому після 2020 року. З них – шість країн не планують збільшувати пенсійний вік вище 65 років для обох статей (Австрія, Греція, Литва, Мальта, Угорщина, Чехія). Ще у трьох країнах (Ірландія, Нідерланди та Румунія) триває </w:t>
      </w:r>
      <w:r w:rsidR="00126F2F" w:rsidRPr="0078696C">
        <w:rPr>
          <w:rFonts w:ascii="Times New Roman" w:hAnsi="Times New Roman"/>
          <w:color w:val="000000"/>
          <w:sz w:val="28"/>
          <w:szCs w:val="28"/>
        </w:rPr>
        <w:lastRenderedPageBreak/>
        <w:t>процес обговорення. Інші держави ще не сформували зрозумілих орієнтирів пенсі</w:t>
      </w:r>
      <w:r w:rsidR="00231D91" w:rsidRPr="0078696C">
        <w:rPr>
          <w:rFonts w:ascii="Times New Roman" w:hAnsi="Times New Roman"/>
          <w:color w:val="000000"/>
          <w:sz w:val="28"/>
          <w:szCs w:val="28"/>
        </w:rPr>
        <w:t>йної політики щодо питання пенсійного</w:t>
      </w:r>
      <w:r w:rsidR="00126F2F" w:rsidRPr="0078696C">
        <w:rPr>
          <w:rFonts w:ascii="Times New Roman" w:hAnsi="Times New Roman"/>
          <w:color w:val="000000"/>
          <w:sz w:val="28"/>
          <w:szCs w:val="28"/>
        </w:rPr>
        <w:t xml:space="preserve"> віку </w:t>
      </w:r>
      <w:r w:rsidR="00126F2F" w:rsidRPr="0078696C">
        <w:rPr>
          <w:rFonts w:ascii="Times New Roman" w:hAnsi="Times New Roman"/>
          <w:color w:val="000000"/>
          <w:sz w:val="28"/>
          <w:szCs w:val="28"/>
          <w:vertAlign w:val="superscript"/>
        </w:rPr>
        <w:footnoteReference w:id="180"/>
      </w:r>
      <w:r w:rsidR="00126F2F"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Українська система пенсійного забезпечення перебуває в глибокій кризі впродовж всього її функціонування та вимагає постійних дотацій з державного бюджету. Про неспроможність пенсійної системи забезпечуватись за власні кошти свідчать оперативні дані ПФУ, згідно </w:t>
      </w:r>
      <w:r w:rsidR="005D146F" w:rsidRPr="0078696C">
        <w:rPr>
          <w:rFonts w:ascii="Times New Roman" w:hAnsi="Times New Roman"/>
          <w:color w:val="000000"/>
          <w:sz w:val="28"/>
          <w:szCs w:val="28"/>
        </w:rPr>
        <w:t>з якими</w:t>
      </w:r>
      <w:r w:rsidRPr="0078696C">
        <w:rPr>
          <w:rFonts w:ascii="Times New Roman" w:hAnsi="Times New Roman"/>
          <w:color w:val="000000"/>
          <w:sz w:val="28"/>
          <w:szCs w:val="28"/>
        </w:rPr>
        <w:t xml:space="preserve"> загальна сума видатків на пенсійні та інші заплановані виплати за 2018 рік склала 358,6 млрд. грн., при цьому власні надходження ПФУ склали тільки 202,1 млрд. грн. </w:t>
      </w:r>
      <w:r w:rsidRPr="0078696C">
        <w:rPr>
          <w:rFonts w:ascii="Times New Roman" w:hAnsi="Times New Roman"/>
          <w:color w:val="000000"/>
          <w:sz w:val="28"/>
          <w:szCs w:val="28"/>
          <w:vertAlign w:val="superscript"/>
        </w:rPr>
        <w:footnoteReference w:id="181"/>
      </w:r>
      <w:r w:rsidRPr="0078696C">
        <w:rPr>
          <w:rFonts w:ascii="Times New Roman" w:hAnsi="Times New Roman"/>
          <w:color w:val="000000"/>
          <w:sz w:val="28"/>
          <w:szCs w:val="28"/>
        </w:rPr>
        <w:t>, що в відсотковому співвідношен</w:t>
      </w:r>
      <w:r w:rsidR="00C808D8" w:rsidRPr="0078696C">
        <w:rPr>
          <w:rFonts w:ascii="Times New Roman" w:hAnsi="Times New Roman"/>
          <w:color w:val="000000"/>
          <w:sz w:val="28"/>
          <w:szCs w:val="28"/>
        </w:rPr>
        <w:t>ні становить тільки 56,36</w:t>
      </w:r>
      <w:r w:rsidRPr="0078696C">
        <w:rPr>
          <w:rFonts w:ascii="Times New Roman" w:hAnsi="Times New Roman"/>
          <w:color w:val="000000"/>
          <w:sz w:val="28"/>
          <w:szCs w:val="28"/>
        </w:rPr>
        <w:t>%. Глибока дефіцитність ПФУ штовхає державу на кардинальне урізання пільг та привілеїв для різних категорій пенсіонерів, та зменшення їх кількості за рахунок відкритого та завуальованого підняття пенсійного віку.</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Підвищення пенсійного віку Україна розпочала з 01.10.2011 р., в рамках ухвалення Закону України «Про заходи щодо законодавчого забезпечення реформування пенсійної системи»</w:t>
      </w:r>
      <w:r w:rsidRPr="0078696C">
        <w:rPr>
          <w:rFonts w:ascii="Times New Roman" w:hAnsi="Times New Roman"/>
          <w:color w:val="000000"/>
          <w:sz w:val="28"/>
          <w:szCs w:val="28"/>
          <w:vertAlign w:val="superscript"/>
        </w:rPr>
        <w:footnoteReference w:id="182"/>
      </w:r>
      <w:r w:rsidRPr="0078696C">
        <w:rPr>
          <w:rFonts w:ascii="Times New Roman" w:hAnsi="Times New Roman"/>
          <w:color w:val="000000"/>
          <w:sz w:val="28"/>
          <w:szCs w:val="28"/>
        </w:rPr>
        <w:t>. Даний закон передбачав, зокрема, поетапне підвищення пенсійного віку для жінок з 55 до 60 років. Крім того, документ передбачав збільшення термінів виходу на пенсію для чоловіків-держслужбовців з 60 до 62 років.</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Прийняття пенсійної реформи було однією з вимог МВФ в рамках реалізації програми «stand by» на суму близько 16 млрд. дол., яка була схвалена 29 липня 2010 р. Але через те, що Україна нічого не зробила для її проведення, нашою країною в березні-квітні 2011 р. так і не було отримано третій транш кредиту в розмірі 1,5 млрд. дол. </w:t>
      </w:r>
      <w:r w:rsidRPr="0078696C">
        <w:rPr>
          <w:rFonts w:ascii="Times New Roman" w:hAnsi="Times New Roman"/>
          <w:color w:val="000000"/>
          <w:sz w:val="28"/>
          <w:szCs w:val="28"/>
          <w:vertAlign w:val="superscript"/>
        </w:rPr>
        <w:footnoteReference w:id="183"/>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Однак, з огляду на значну негативну увагу до питання підвищення пенсійного віку з боку суспільства, реформування цього напряму пенсійного забезпечення відбувається шляхом збільшення кількісного критерію страхового </w:t>
      </w:r>
      <w:r w:rsidRPr="0078696C">
        <w:rPr>
          <w:rFonts w:ascii="Times New Roman" w:hAnsi="Times New Roman"/>
          <w:color w:val="000000"/>
          <w:sz w:val="28"/>
          <w:szCs w:val="28"/>
        </w:rPr>
        <w:lastRenderedPageBreak/>
        <w:t>стажу (так званий «завуальований спосіб» збільшення персонального пенсійного віку). Зокрема, підстава збільшення пенсійного віку передбачена</w:t>
      </w:r>
      <w:r w:rsidR="00EA0710" w:rsidRPr="0078696C">
        <w:rPr>
          <w:rFonts w:ascii="Times New Roman" w:hAnsi="Times New Roman"/>
          <w:color w:val="000000"/>
          <w:sz w:val="28"/>
          <w:szCs w:val="28"/>
        </w:rPr>
        <w:br/>
      </w:r>
      <w:r w:rsidRPr="0078696C">
        <w:rPr>
          <w:rFonts w:ascii="Times New Roman" w:hAnsi="Times New Roman"/>
          <w:color w:val="000000"/>
          <w:sz w:val="28"/>
          <w:szCs w:val="28"/>
        </w:rPr>
        <w:t xml:space="preserve">ч. 2 та ч. 3 ст. 26 Закону України «Про загальнообов’язкове державне пенсійне страхування». Закон України «Про внесення змін до деяких законодавчих актів України щодо підвищення пенсій» </w:t>
      </w:r>
      <w:r w:rsidRPr="0078696C">
        <w:rPr>
          <w:rFonts w:ascii="Times New Roman" w:hAnsi="Times New Roman"/>
          <w:color w:val="000000"/>
          <w:sz w:val="28"/>
          <w:szCs w:val="28"/>
          <w:vertAlign w:val="superscript"/>
        </w:rPr>
        <w:footnoteReference w:id="184"/>
      </w:r>
      <w:r w:rsidRPr="0078696C">
        <w:rPr>
          <w:rFonts w:ascii="Times New Roman" w:hAnsi="Times New Roman"/>
          <w:color w:val="000000"/>
          <w:sz w:val="28"/>
          <w:szCs w:val="28"/>
        </w:rPr>
        <w:t xml:space="preserve"> легалізував істотне збільшення кількісного критерію страхового стажу як правовстановлювального юридичного факту у сфері пенсійного забезпечення, тим самим обмежуючи чималу кількість громадян у реалізації права отримати пенсійне забезпечення за умови досягнення законодавчо встановленого пенсійного віку </w:t>
      </w:r>
      <w:r w:rsidRPr="0078696C">
        <w:rPr>
          <w:rFonts w:ascii="Times New Roman" w:hAnsi="Times New Roman"/>
          <w:color w:val="000000"/>
          <w:sz w:val="28"/>
          <w:szCs w:val="28"/>
          <w:vertAlign w:val="superscript"/>
        </w:rPr>
        <w:footnoteReference w:id="185"/>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Окрім цього, відповідно до Закону України № 2148-VIII від 03.10.2017 р. запроваджена новація, яка передбачає більш пізній вихід на пенсію: у випадках, коли після досягнення 60 річного віку, в особи відсутній необхідний страховий стаж для призначення пенсії, її пенсійний вік може бути збільшено </w:t>
      </w:r>
      <w:r w:rsidR="0071631E">
        <w:rPr>
          <w:rFonts w:ascii="Times New Roman" w:hAnsi="Times New Roman"/>
          <w:color w:val="000000"/>
          <w:sz w:val="28"/>
          <w:szCs w:val="28"/>
        </w:rPr>
        <w:br/>
      </w:r>
      <w:r w:rsidRPr="0078696C">
        <w:rPr>
          <w:rFonts w:ascii="Times New Roman" w:hAnsi="Times New Roman"/>
          <w:color w:val="000000"/>
          <w:sz w:val="28"/>
          <w:szCs w:val="28"/>
        </w:rPr>
        <w:t xml:space="preserve">до 63 та 65 років </w:t>
      </w:r>
      <w:r w:rsidRPr="0078696C">
        <w:rPr>
          <w:rFonts w:ascii="Times New Roman" w:hAnsi="Times New Roman"/>
          <w:color w:val="000000"/>
          <w:sz w:val="28"/>
          <w:szCs w:val="28"/>
          <w:vertAlign w:val="superscript"/>
        </w:rPr>
        <w:footnoteReference w:id="186"/>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Варто наголосити, що держава намагається стимулювати більш пізній період реалізації особою права на пенсійне забезпечення жінками, які відповідно до закону мають право на пільговий вихід на пенсію з огляду на перехідний період правових норм про пенсійний вік (народилися у період до 31 грудня 1961 року). Зокрема, відповідно до ч. 3 ст. 29 Закону України «Про загальнообов’язкове державне пенсійне страхування» після виходу на пенсію їм встановлюється підвищення розміру пенсії, обчисленого відповідно до ст.</w:t>
      </w:r>
      <w:r w:rsidR="00C808D8" w:rsidRPr="0078696C">
        <w:rPr>
          <w:rFonts w:ascii="Times New Roman" w:hAnsi="Times New Roman"/>
          <w:color w:val="000000"/>
          <w:sz w:val="28"/>
          <w:szCs w:val="28"/>
        </w:rPr>
        <w:t xml:space="preserve"> 27 цього Закону, в розмірі 2,5</w:t>
      </w:r>
      <w:r w:rsidRPr="0078696C">
        <w:rPr>
          <w:rFonts w:ascii="Times New Roman" w:hAnsi="Times New Roman"/>
          <w:color w:val="000000"/>
          <w:sz w:val="28"/>
          <w:szCs w:val="28"/>
        </w:rPr>
        <w:t xml:space="preserve">% за кожні шість місяців більш пізнього виходу на пенсію, починаючи з 55 років до досягнення ними 60-річного віку, за умови, що до цього їм не призначалася будь-яка пенсія </w:t>
      </w:r>
      <w:r w:rsidRPr="0078696C">
        <w:rPr>
          <w:rFonts w:ascii="Times New Roman" w:hAnsi="Times New Roman"/>
          <w:color w:val="000000"/>
          <w:sz w:val="28"/>
          <w:szCs w:val="28"/>
          <w:vertAlign w:val="superscript"/>
        </w:rPr>
        <w:footnoteReference w:id="187"/>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Також, стимулюванням більш пізнього виходу на пенсію є підвищення розміру пенсії за віком у разі відстрочки часу її призначення, передбачене </w:t>
      </w:r>
      <w:r w:rsidRPr="0078696C">
        <w:rPr>
          <w:rFonts w:ascii="Times New Roman" w:hAnsi="Times New Roman"/>
          <w:color w:val="000000"/>
          <w:sz w:val="28"/>
          <w:szCs w:val="28"/>
        </w:rPr>
        <w:lastRenderedPageBreak/>
        <w:t>статтею 29 Закону України «Про загальнообов’язкове державне пенсійне страхування». Позитивним, на нашу думку, є той факт, що за таких обставин особа самостійно та добровільно вирішує: скористатись такою можливістю чи ні. Зокрема, особі, яка набула право на пенсію за віком відповідно до вказаного Закону, але після досягнення пенсійного віку, передбаченого ст. 26 Закону України № 1058-IV, та виявила бажання працювати і одержувати пенсію з більш пізнього віку, пенсія за віком призначається з урахуванням страхового стажу на день звернення за призначенням пенсії з підвищенням розміру пенсії за віком, обчисленого відповідно до статті 27 цього З</w:t>
      </w:r>
      <w:r w:rsidR="00C808D8" w:rsidRPr="0078696C">
        <w:rPr>
          <w:rFonts w:ascii="Times New Roman" w:hAnsi="Times New Roman"/>
          <w:color w:val="000000"/>
          <w:sz w:val="28"/>
          <w:szCs w:val="28"/>
        </w:rPr>
        <w:t>акону на такий відсоток: на 0,5</w:t>
      </w:r>
      <w:r w:rsidRPr="0078696C">
        <w:rPr>
          <w:rFonts w:ascii="Times New Roman" w:hAnsi="Times New Roman"/>
          <w:color w:val="000000"/>
          <w:sz w:val="28"/>
          <w:szCs w:val="28"/>
        </w:rPr>
        <w:t xml:space="preserve">% – за кожний повний місяць страхового стажу, починаючи з місяця, наступного за місяцем досягнення пенсійного віку у разі відстрочення виходу на пенсію </w:t>
      </w:r>
      <w:r w:rsidR="00C808D8" w:rsidRPr="0078696C">
        <w:rPr>
          <w:rFonts w:ascii="Times New Roman" w:hAnsi="Times New Roman"/>
          <w:color w:val="000000"/>
          <w:sz w:val="28"/>
          <w:szCs w:val="28"/>
        </w:rPr>
        <w:t>на строк до 60 місяців; на 0,75</w:t>
      </w:r>
      <w:r w:rsidRPr="0078696C">
        <w:rPr>
          <w:rFonts w:ascii="Times New Roman" w:hAnsi="Times New Roman"/>
          <w:color w:val="000000"/>
          <w:sz w:val="28"/>
          <w:szCs w:val="28"/>
        </w:rPr>
        <w:t xml:space="preserve">% – у разі відстрочення виходу на пенсію на строк понад 60 місяців. Відповідно до ч. 2 ст. 29 неповний місяць страхового пенсійного стажу жодного правового значення для підвищення розміру пенсії за віком не має </w:t>
      </w:r>
      <w:r w:rsidRPr="0078696C">
        <w:rPr>
          <w:rFonts w:ascii="Times New Roman" w:hAnsi="Times New Roman"/>
          <w:color w:val="000000"/>
          <w:sz w:val="28"/>
          <w:szCs w:val="28"/>
          <w:vertAlign w:val="superscript"/>
        </w:rPr>
        <w:footnoteReference w:id="188"/>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Таке заохочення продовження періоду здійснення трудової діяльності та відтермінування періоду отримання пенсії називається система «бонус-малус» (bonus-malus). Австрія, Фінляндія, Франція, Німеччина, Італія, Португалія і Чехія збільшили (або встановили) штраф (malus) за достроковий вихід на пенсію, а в деяких державах також було встановлено або збільшено премію (bonus) за більш пізній вихід на пенсію (наприклад, у Бельгії, Фінляндії, Франції, Іспанії, Чехії та Великобританії). У Бельгії та Фінляндії передбачено навіть бонус для тих, хто працює у віці від 62 до 65 років (у формі підвищення коефіцієнту накопичень) </w:t>
      </w:r>
      <w:r w:rsidRPr="0078696C">
        <w:rPr>
          <w:rFonts w:ascii="Times New Roman" w:hAnsi="Times New Roman"/>
          <w:color w:val="000000"/>
          <w:sz w:val="28"/>
          <w:szCs w:val="28"/>
          <w:vertAlign w:val="superscript"/>
        </w:rPr>
        <w:footnoteReference w:id="189"/>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Окрім цього, вважаємо за необхідне більш детально зупинитися все-таки на питанні прихованого підвищення пенсійного віку. Ключовим елементом змін до законодавства, за пропозицією уряду, було саме підвищення на 10 років мінімального та повного страхового стажу для призначення пенсії: із 15 до 25 </w:t>
      </w:r>
      <w:r w:rsidRPr="0078696C">
        <w:rPr>
          <w:rFonts w:ascii="Times New Roman" w:hAnsi="Times New Roman"/>
          <w:color w:val="000000"/>
          <w:sz w:val="28"/>
          <w:szCs w:val="28"/>
        </w:rPr>
        <w:lastRenderedPageBreak/>
        <w:t>років та з 25 до 35 років, відповідно (підвищення на один рік відбуватиметься поступово протягом 10 років – із 2018-го по 2028-й). А це, власне, і призводить до автоматичного підвищення пенсійного віку.</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До 01.01.2018 року українцям достатньо було пропрацювати 15 років, щоб, у принципі, претендувати на пенсію. За новим проектом, пенсія за віком у 60 років призначатиметься за наявності 25-річного страхового стажу. Та кожні 12 місяців вимога до страхового стажу збільшуватиметься на рік. Тобто 2028-го потрібно буде мати вже 35 років стажу</w:t>
      </w:r>
      <w:r w:rsidRPr="0078696C">
        <w:rPr>
          <w:rFonts w:ascii="Times New Roman" w:hAnsi="Times New Roman"/>
          <w:color w:val="000000"/>
          <w:sz w:val="28"/>
          <w:szCs w:val="28"/>
          <w:vertAlign w:val="superscript"/>
        </w:rPr>
        <w:footnoteReference w:id="190"/>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 разі відсутності вказаного вище страхового стажу для виходу на пенсію в 63 роки з 1 січня 2018 року треба мати стаж 15-25 років, у 2028-го – </w:t>
      </w:r>
      <w:r w:rsidR="00DF31BA">
        <w:rPr>
          <w:rFonts w:ascii="Times New Roman" w:hAnsi="Times New Roman"/>
          <w:color w:val="000000"/>
          <w:sz w:val="28"/>
          <w:szCs w:val="28"/>
        </w:rPr>
        <w:br/>
      </w:r>
      <w:r w:rsidRPr="0078696C">
        <w:rPr>
          <w:rFonts w:ascii="Times New Roman" w:hAnsi="Times New Roman"/>
          <w:color w:val="000000"/>
          <w:sz w:val="28"/>
          <w:szCs w:val="28"/>
        </w:rPr>
        <w:t>вже 25-35 років. Починаючи з 1 січня 2019 року особи зі страховим стажем у 15 років можуть отримати пенсію лише по досягненні 65 років. У разі, якщо вони не мають такого стажу, їм призначатимуть державну соціальну допомогу</w:t>
      </w:r>
      <w:r w:rsidRPr="0078696C">
        <w:rPr>
          <w:rFonts w:ascii="Times New Roman" w:hAnsi="Times New Roman"/>
          <w:color w:val="000000"/>
          <w:sz w:val="28"/>
          <w:szCs w:val="28"/>
          <w:vertAlign w:val="superscript"/>
        </w:rPr>
        <w:footnoteReference w:id="191"/>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Таким чином, уряд фактично обмежив кількість людей, які виходять на пенсію. Це можна робити за рахунок підвищення мінімального пенсійного віку, або через «приховане підвищення віку». Норма щодо підвищення страхового стажу якраз і виконала таку роль, що яскраво демонструють дані </w:t>
      </w:r>
      <w:r w:rsidR="002B0BA3" w:rsidRPr="0078696C">
        <w:rPr>
          <w:rFonts w:ascii="Times New Roman" w:hAnsi="Times New Roman"/>
          <w:color w:val="000000"/>
          <w:sz w:val="28"/>
          <w:szCs w:val="28"/>
        </w:rPr>
        <w:t>додатку В</w:t>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Звісно, такі вимоги щодо збільшення пенсійного віку та страхового стажу є необхідними в умовах колосального дефіциту ПФУ та тиску з боку міжнародних інституцій. Однак, просте підвищення віку та стажу, без жодних економічних та демографічних обґрунтувань, яке наші урядовці та парламентарі назвали пенсійною реформою, насправді такою не є.</w:t>
      </w:r>
    </w:p>
    <w:p w:rsidR="00126F2F" w:rsidRPr="0078696C" w:rsidRDefault="006807C2"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 додатк</w:t>
      </w:r>
      <w:r w:rsidR="00803F35" w:rsidRPr="0078696C">
        <w:rPr>
          <w:rFonts w:ascii="Times New Roman" w:hAnsi="Times New Roman"/>
          <w:color w:val="000000"/>
          <w:sz w:val="28"/>
          <w:szCs w:val="28"/>
        </w:rPr>
        <w:t xml:space="preserve">у В </w:t>
      </w:r>
      <w:r w:rsidR="00126F2F" w:rsidRPr="0078696C">
        <w:rPr>
          <w:rFonts w:ascii="Times New Roman" w:hAnsi="Times New Roman"/>
          <w:color w:val="000000"/>
          <w:sz w:val="28"/>
          <w:szCs w:val="28"/>
        </w:rPr>
        <w:t xml:space="preserve">нами об’єднано основні критерії щодо пенсійного віку та страхового стажу, які були встановлені на рівні Закону України «Про </w:t>
      </w:r>
      <w:r w:rsidR="00233974" w:rsidRPr="0078696C">
        <w:rPr>
          <w:rFonts w:ascii="Times New Roman" w:hAnsi="Times New Roman"/>
          <w:color w:val="000000"/>
          <w:sz w:val="28"/>
          <w:szCs w:val="28"/>
        </w:rPr>
        <w:t>загальнообов'язкове державне пенсійне страхування</w:t>
      </w:r>
      <w:r w:rsidR="00126F2F" w:rsidRPr="0078696C">
        <w:rPr>
          <w:rFonts w:ascii="Times New Roman" w:hAnsi="Times New Roman"/>
          <w:color w:val="000000"/>
          <w:sz w:val="28"/>
          <w:szCs w:val="28"/>
        </w:rPr>
        <w:t>» в різні періоди.</w:t>
      </w:r>
    </w:p>
    <w:p w:rsidR="00126F2F" w:rsidRPr="0078696C" w:rsidRDefault="00126F2F" w:rsidP="00126F2F">
      <w:pPr>
        <w:autoSpaceDE w:val="0"/>
        <w:autoSpaceDN w:val="0"/>
        <w:adjustRightInd w:val="0"/>
        <w:spacing w:after="0" w:line="360" w:lineRule="auto"/>
        <w:ind w:firstLine="709"/>
        <w:contextualSpacing/>
        <w:jc w:val="both"/>
        <w:rPr>
          <w:rFonts w:ascii="Times New Roman" w:hAnsi="Times New Roman"/>
          <w:color w:val="000000"/>
          <w:sz w:val="28"/>
          <w:szCs w:val="28"/>
          <w:lang w:eastAsia="uk-UA"/>
        </w:rPr>
      </w:pPr>
      <w:r w:rsidRPr="0078696C">
        <w:rPr>
          <w:rFonts w:ascii="Times New Roman" w:hAnsi="Times New Roman"/>
          <w:color w:val="000000"/>
          <w:sz w:val="28"/>
          <w:szCs w:val="28"/>
          <w:lang w:eastAsia="uk-UA"/>
        </w:rPr>
        <w:t xml:space="preserve">Однак, характеристика, наведена у </w:t>
      </w:r>
      <w:r w:rsidR="006807C2" w:rsidRPr="0078696C">
        <w:rPr>
          <w:rFonts w:ascii="Times New Roman" w:hAnsi="Times New Roman"/>
          <w:color w:val="000000"/>
          <w:sz w:val="28"/>
          <w:szCs w:val="28"/>
        </w:rPr>
        <w:t>додатк</w:t>
      </w:r>
      <w:r w:rsidR="00803F35" w:rsidRPr="0078696C">
        <w:rPr>
          <w:rFonts w:ascii="Times New Roman" w:hAnsi="Times New Roman"/>
          <w:color w:val="000000"/>
          <w:sz w:val="28"/>
          <w:szCs w:val="28"/>
        </w:rPr>
        <w:t>у В</w:t>
      </w:r>
      <w:r w:rsidRPr="0078696C">
        <w:rPr>
          <w:rFonts w:ascii="Times New Roman" w:hAnsi="Times New Roman"/>
          <w:color w:val="000000"/>
          <w:sz w:val="28"/>
          <w:szCs w:val="28"/>
          <w:lang w:eastAsia="uk-UA"/>
        </w:rPr>
        <w:t xml:space="preserve">, відповідає виключно універсальному пенсійному законодавству, що регулює питання призначення </w:t>
      </w:r>
      <w:r w:rsidRPr="0078696C">
        <w:rPr>
          <w:rFonts w:ascii="Times New Roman" w:hAnsi="Times New Roman"/>
          <w:color w:val="000000"/>
          <w:sz w:val="28"/>
          <w:szCs w:val="28"/>
          <w:lang w:eastAsia="uk-UA"/>
        </w:rPr>
        <w:lastRenderedPageBreak/>
        <w:t>пенсій за віком на загальних підставах. Однак, у системі державного пенсійного страхування застосовують, окрім загального підходу до формування пенсійних виплат, ще й специфічні порядки призначення пенсій для окремих категорій осіб. Це дає змогу враховувати особливості специфіки роботи, умов праці, а відтак і необхідності встановлення певних пільг чи привілеїв при виході на пенсію. Такими пільгами може бути знижений пенсійний вік та страховий стаж, наявність додаткових доплат до основного розміру пенсії, особливий механізм обчислення розміру. В свою чергу, застосування таких відмінних механізмів розрахунків пенсій для окремих категорій осіб може також призвести до виникнення необґрунтованих диспропорцій у пенсійних виплатах, порушення принципу справедливості пенсійної системи, надмірних фінансових витрат з бюджету Пенсійного фонду. Переважання першої або другої груп ознак робить комплекс спеціальних пенсій ефективним або ж обтяжливим для пенсійної системи.</w:t>
      </w:r>
    </w:p>
    <w:p w:rsidR="00126F2F" w:rsidRPr="0078696C" w:rsidRDefault="00126F2F" w:rsidP="002A1CB6">
      <w:pPr>
        <w:spacing w:line="360" w:lineRule="auto"/>
        <w:ind w:firstLine="709"/>
        <w:contextualSpacing/>
        <w:jc w:val="both"/>
        <w:rPr>
          <w:rFonts w:ascii="Times New Roman" w:hAnsi="Times New Roman"/>
          <w:i/>
          <w:color w:val="000000"/>
          <w:sz w:val="28"/>
          <w:szCs w:val="28"/>
          <w:highlight w:val="cyan"/>
        </w:rPr>
      </w:pPr>
      <w:r w:rsidRPr="0078696C">
        <w:rPr>
          <w:rFonts w:ascii="Times New Roman" w:hAnsi="Times New Roman"/>
          <w:color w:val="000000"/>
          <w:sz w:val="28"/>
          <w:szCs w:val="28"/>
        </w:rPr>
        <w:t>Аналіз вважаємо за доречне провести на прикладі особи, яка станом на дату проведення аналізу досягнула пенсійного віку (60 років) та майже все своє працездатне життя провела в Україні, займаючись одноосібною підприємницькою діяльністю</w:t>
      </w:r>
      <w:r w:rsidR="00A979E3" w:rsidRPr="0078696C">
        <w:rPr>
          <w:rFonts w:ascii="Times New Roman" w:hAnsi="Times New Roman"/>
          <w:i/>
          <w:color w:val="000000"/>
          <w:sz w:val="28"/>
          <w:szCs w:val="28"/>
        </w:rPr>
        <w:t xml:space="preserve">(приклад розрахунку пенсії наведено у </w:t>
      </w:r>
      <w:r w:rsidR="00DF31BA">
        <w:rPr>
          <w:rFonts w:ascii="Times New Roman" w:hAnsi="Times New Roman"/>
          <w:i/>
          <w:color w:val="000000"/>
          <w:sz w:val="28"/>
          <w:szCs w:val="28"/>
        </w:rPr>
        <w:br/>
      </w:r>
      <w:r w:rsidR="00A979E3" w:rsidRPr="0078696C">
        <w:rPr>
          <w:rFonts w:ascii="Times New Roman" w:hAnsi="Times New Roman"/>
          <w:i/>
          <w:color w:val="000000"/>
          <w:sz w:val="28"/>
          <w:szCs w:val="28"/>
        </w:rPr>
        <w:t>додатку</w:t>
      </w:r>
      <w:r w:rsidR="00505941">
        <w:rPr>
          <w:rFonts w:ascii="Times New Roman" w:hAnsi="Times New Roman"/>
          <w:i/>
          <w:color w:val="000000"/>
          <w:sz w:val="28"/>
          <w:szCs w:val="28"/>
        </w:rPr>
        <w:t xml:space="preserve"> </w:t>
      </w:r>
      <w:r w:rsidR="00803F35" w:rsidRPr="0078696C">
        <w:rPr>
          <w:rFonts w:ascii="Times New Roman" w:hAnsi="Times New Roman"/>
          <w:i/>
          <w:color w:val="000000"/>
          <w:sz w:val="28"/>
          <w:szCs w:val="28"/>
        </w:rPr>
        <w:t>Г.1</w:t>
      </w:r>
      <w:r w:rsidR="006807C2" w:rsidRPr="0078696C">
        <w:rPr>
          <w:rFonts w:ascii="Times New Roman" w:hAnsi="Times New Roman"/>
          <w:i/>
          <w:color w:val="000000"/>
          <w:sz w:val="28"/>
          <w:szCs w:val="28"/>
        </w:rPr>
        <w:t>).</w:t>
      </w:r>
    </w:p>
    <w:p w:rsidR="00126F2F" w:rsidRPr="0078696C" w:rsidRDefault="00126F2F" w:rsidP="00126F2F">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Законом України «Про пенсійне забезпечення» (стаття 56) встановлено, що до стажу включається будь-яка робота, на якій працівник підлягав державному соціальному страхуванню </w:t>
      </w:r>
      <w:r w:rsidRPr="0078696C">
        <w:rPr>
          <w:rFonts w:ascii="Times New Roman" w:hAnsi="Times New Roman"/>
          <w:color w:val="000000"/>
          <w:sz w:val="28"/>
          <w:szCs w:val="28"/>
          <w:vertAlign w:val="superscript"/>
        </w:rPr>
        <w:footnoteReference w:id="192"/>
      </w:r>
      <w:r w:rsidRPr="0078696C">
        <w:rPr>
          <w:rFonts w:ascii="Times New Roman" w:hAnsi="Times New Roman"/>
          <w:color w:val="000000"/>
          <w:sz w:val="28"/>
          <w:szCs w:val="28"/>
        </w:rPr>
        <w:t xml:space="preserve">. Це означає, що до пенсійного стажу включається індивідуальна трудова діяльність, у тому числі зайнятих у колективах орендарів, робота за цивільно-правовим договором, якщо сплачувалися внески в Пенсійний фонд та Фонд соціального страхування; творча діяльність письменників, художників, композиторів та інших творчих працівників; навчання у вищих навчальних закладах, в аспірантурі, докторантурі; час догляду за дітьми (до досягнення ними трьох років), за дитиною-інвалідом до досягнення нею 16 років, догляд за пенсіонером, який </w:t>
      </w:r>
      <w:r w:rsidRPr="0078696C">
        <w:rPr>
          <w:rFonts w:ascii="Times New Roman" w:hAnsi="Times New Roman"/>
          <w:color w:val="000000"/>
          <w:sz w:val="28"/>
          <w:szCs w:val="28"/>
        </w:rPr>
        <w:lastRenderedPageBreak/>
        <w:t xml:space="preserve">потребує постійного стороннього догляду за висновком медичної установи. </w:t>
      </w:r>
      <w:r w:rsidR="00154298" w:rsidRPr="0078696C">
        <w:rPr>
          <w:rFonts w:ascii="Times New Roman" w:hAnsi="Times New Roman"/>
          <w:color w:val="000000"/>
          <w:sz w:val="28"/>
          <w:szCs w:val="28"/>
        </w:rPr>
        <w:br/>
      </w:r>
      <w:r w:rsidRPr="0078696C">
        <w:rPr>
          <w:rFonts w:ascii="Times New Roman" w:hAnsi="Times New Roman"/>
          <w:color w:val="000000"/>
          <w:sz w:val="28"/>
          <w:szCs w:val="28"/>
        </w:rPr>
        <w:t>У стаж роботи при призначенні пенсії за віком включається також час інвалідності в зв’язку з нещасним випадком на виробництві чи професійним захворюванням тощо.</w:t>
      </w:r>
    </w:p>
    <w:p w:rsidR="00126F2F" w:rsidRPr="0078696C" w:rsidRDefault="00126F2F" w:rsidP="00126F2F">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При зверненні до органів ПФУ за призначенням пенсії не слід забувати про те, що основним документом, який підтверджує трудову діяльність працівника, є трудова книжка. Запис у трудовій книжці є доказом трудової діяльності у тому випадку, коли він зроблений на підставі </w:t>
      </w:r>
      <w:r w:rsidR="00803F35" w:rsidRPr="0078696C">
        <w:rPr>
          <w:rFonts w:ascii="Times New Roman" w:hAnsi="Times New Roman"/>
          <w:color w:val="000000"/>
          <w:sz w:val="28"/>
          <w:szCs w:val="28"/>
        </w:rPr>
        <w:t xml:space="preserve">первинних </w:t>
      </w:r>
      <w:r w:rsidRPr="0078696C">
        <w:rPr>
          <w:rFonts w:ascii="Times New Roman" w:hAnsi="Times New Roman"/>
          <w:color w:val="000000"/>
          <w:sz w:val="28"/>
          <w:szCs w:val="28"/>
        </w:rPr>
        <w:t>документів.</w:t>
      </w:r>
    </w:p>
    <w:p w:rsidR="00126F2F" w:rsidRPr="0078696C" w:rsidRDefault="00126F2F" w:rsidP="00126F2F">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Крім трудової книжки, доказом трудового стажу можуть бути інші документи, видані за місцем роботи або архівними установами. Порядок підтвердження наявного трудового стажу за відсутності трудової книжки чи відповідних записів у ній затверджений постановою Кабінету Міністрів України від 12 серпня 1993 року. Документи, що підтверджують трудовий стаж, можуть бути такі: довідки, виписки з наказів, особові рахунки і відомості на видачу зарплати, архівні довідки, членські квитки профспілки. Час роботи осіб, що займаються підприємницькою діяльністю, заснованою на приватній власності і винятково на їхній праці, установлюється згідно з довідками Пенсійного фонду України про сплату страхових зборів у фонд. Так само підтверджується творча діяльність працівників. Час навчання у вищих навчальних закладах, ПТУ, аспірантурі підтверджується дипломами та іншими документами, виданими на підставі архівних даних про період навчання</w:t>
      </w:r>
      <w:r w:rsidRPr="0078696C">
        <w:rPr>
          <w:rFonts w:ascii="Times New Roman" w:hAnsi="Times New Roman"/>
          <w:color w:val="000000"/>
          <w:sz w:val="28"/>
          <w:szCs w:val="28"/>
          <w:vertAlign w:val="superscript"/>
        </w:rPr>
        <w:footnoteReference w:id="193"/>
      </w:r>
      <w:r w:rsidRPr="0078696C">
        <w:rPr>
          <w:rFonts w:ascii="Times New Roman" w:hAnsi="Times New Roman"/>
          <w:color w:val="000000"/>
          <w:sz w:val="28"/>
          <w:szCs w:val="28"/>
        </w:rPr>
        <w:t>.</w:t>
      </w:r>
    </w:p>
    <w:p w:rsidR="002A1CB6" w:rsidRPr="0078696C" w:rsidRDefault="00126F2F" w:rsidP="00863BE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У зв’язку з проведенням пенсійної реформи інститут трудового стажу, поступово втрачає своє значення. На зміну йому прийшов інститут страхового стажу, однак дані поняття можна розглядати як тотожні тільки за умови співставлення загального трудового стажу та стажу страхового. Можна вважати, що загальний трудовий стаж у пенсійних правовідносинах замінено страховим стажем тільки за умови, якщо роботодавець дотримується вимог </w:t>
      </w:r>
      <w:r w:rsidRPr="0078696C">
        <w:rPr>
          <w:rFonts w:ascii="Times New Roman" w:hAnsi="Times New Roman"/>
          <w:color w:val="000000"/>
          <w:sz w:val="28"/>
          <w:szCs w:val="28"/>
        </w:rPr>
        <w:lastRenderedPageBreak/>
        <w:t>законодавства в частині своєчасності та повноти сплати страхових внесків. Що стосується спеціального трудового стажу, то він продовжує займати основну роль при визначені відповідного пенсійного забезпечення і не може бути замінений страховим стажем, адже продовжує існувати поруч з ним</w:t>
      </w:r>
      <w:r w:rsidRPr="0078696C">
        <w:rPr>
          <w:rFonts w:ascii="Times New Roman" w:hAnsi="Times New Roman"/>
          <w:color w:val="000000"/>
          <w:sz w:val="28"/>
          <w:szCs w:val="28"/>
          <w:vertAlign w:val="superscript"/>
        </w:rPr>
        <w:footnoteReference w:id="194"/>
      </w:r>
      <w:r w:rsidR="00863BE6"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Вагомим недоліком, який зустрічається на сьогодні в практиці діяльності органів ПФУ, – це відсутність дієвого механізму державного регулювання пільгового пенсійного забезпечення та контролю за проведенням атестації робочого місць підприємствами, що в подальшому унеможливлює реалізацію особою права на пенсію зі зниженням пенсійного віку.</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 сьогодні левову частину судових спорів фізичних осіб з Територіальними управліннями посідають саме відмови останніх у призначенні пенсії за віком на пільгових умовах відповідно до ст. 13 Закону України «Про пенсійне забезпечення» з приводу не проведення або несвоєчасного проведення роботодавцем атестації робочих місць, відповідно до Постанови КМУ № 442 від 01.08.1992 р. «Про порядок проведення атестації робочих місць за умовами праці» </w:t>
      </w:r>
      <w:r w:rsidRPr="0078696C">
        <w:rPr>
          <w:rFonts w:ascii="Times New Roman" w:hAnsi="Times New Roman"/>
          <w:color w:val="000000"/>
          <w:sz w:val="28"/>
          <w:szCs w:val="28"/>
          <w:vertAlign w:val="superscript"/>
        </w:rPr>
        <w:footnoteReference w:id="195"/>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Вважаємо за необхідне більш детальніше зупинитися на проблематиці підтвердження шкідливого чи особливо шкідливого стажу за результатами атестації робочих місць задля призначення пенсії.</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Слово «атестація» в перекладі з латинської означає «свідчення». Мовою практики – це свідчення відповідності робочого місця сучасним досягненням науки й техніки. Атестація робочих місць – це ще й обов’язкова умова для визначення права працівників на пенсію за віком на пільгових умовах, а також для встановлення інших пільг та компенсацій, таких як: щорічна додаткова відпустка, доплата працівникам за умови праці, скорочена тривалість робочого тижня, видача молока та інших рівноцінних продуктів тощо.</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Атестація робочих місць за умовами праці має проводитися на підприємствах, де технологічний процес, використовуване обладнання, </w:t>
      </w:r>
      <w:r w:rsidRPr="0078696C">
        <w:rPr>
          <w:rFonts w:ascii="Times New Roman" w:eastAsia="Times New Roman" w:hAnsi="Times New Roman"/>
          <w:color w:val="000000"/>
          <w:sz w:val="28"/>
          <w:szCs w:val="28"/>
          <w:lang w:eastAsia="ru-RU"/>
        </w:rPr>
        <w:lastRenderedPageBreak/>
        <w:t>сировина та матеріали є потенційними джерелами шкідливих і небезпечних виробничих факторів, що можуть несприятливо впливати на стан здоров'я працівників, а також на їхніх нащадків як тепер, так і в майбутньому.</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Атестація робочих місць проводиться на виконання вимог Закону України «Про охорону праці» (ст. ст. 7, 13) </w:t>
      </w:r>
      <w:r w:rsidRPr="0078696C">
        <w:rPr>
          <w:rFonts w:ascii="Times New Roman" w:eastAsia="Times New Roman" w:hAnsi="Times New Roman"/>
          <w:color w:val="000000"/>
          <w:sz w:val="28"/>
          <w:szCs w:val="28"/>
          <w:vertAlign w:val="superscript"/>
          <w:lang w:eastAsia="ru-RU"/>
        </w:rPr>
        <w:footnoteReference w:id="196"/>
      </w:r>
      <w:r w:rsidRPr="0078696C">
        <w:rPr>
          <w:rFonts w:ascii="Times New Roman" w:eastAsia="Times New Roman" w:hAnsi="Times New Roman"/>
          <w:color w:val="000000"/>
          <w:sz w:val="28"/>
          <w:szCs w:val="28"/>
          <w:lang w:eastAsia="ru-RU"/>
        </w:rPr>
        <w:t xml:space="preserve"> з</w:t>
      </w:r>
      <w:r w:rsidR="006807C2" w:rsidRPr="0078696C">
        <w:rPr>
          <w:rFonts w:ascii="Times New Roman" w:eastAsia="Times New Roman" w:hAnsi="Times New Roman"/>
          <w:color w:val="000000"/>
          <w:sz w:val="28"/>
          <w:szCs w:val="28"/>
          <w:lang w:eastAsia="ru-RU"/>
        </w:rPr>
        <w:t>гідно з Порядком, затвердженим п</w:t>
      </w:r>
      <w:r w:rsidRPr="0078696C">
        <w:rPr>
          <w:rFonts w:ascii="Times New Roman" w:eastAsia="Times New Roman" w:hAnsi="Times New Roman"/>
          <w:color w:val="000000"/>
          <w:sz w:val="28"/>
          <w:szCs w:val="28"/>
          <w:lang w:eastAsia="ru-RU"/>
        </w:rPr>
        <w:t>остановою Кабінету Міністрів України від 01 серпня 1992року №442</w:t>
      </w:r>
      <w:r w:rsidRPr="0078696C">
        <w:rPr>
          <w:rFonts w:ascii="Times New Roman" w:eastAsia="Times New Roman" w:hAnsi="Times New Roman"/>
          <w:color w:val="000000"/>
          <w:sz w:val="28"/>
          <w:szCs w:val="28"/>
          <w:vertAlign w:val="superscript"/>
          <w:lang w:eastAsia="ru-RU"/>
        </w:rPr>
        <w:footnoteReference w:id="197"/>
      </w:r>
      <w:r w:rsidRPr="0078696C">
        <w:rPr>
          <w:rFonts w:ascii="Times New Roman" w:eastAsia="Times New Roman" w:hAnsi="Times New Roman"/>
          <w:color w:val="000000"/>
          <w:sz w:val="28"/>
          <w:szCs w:val="28"/>
          <w:lang w:eastAsia="ru-RU"/>
        </w:rPr>
        <w:t xml:space="preserve">, і відповідно до Методичних рекомендацій щодо проведення атестації робочих місць </w:t>
      </w:r>
      <w:r w:rsidR="006807C2" w:rsidRPr="0078696C">
        <w:rPr>
          <w:rFonts w:ascii="Times New Roman" w:eastAsia="Times New Roman" w:hAnsi="Times New Roman"/>
          <w:color w:val="000000"/>
          <w:sz w:val="28"/>
          <w:szCs w:val="28"/>
          <w:lang w:eastAsia="ru-RU"/>
        </w:rPr>
        <w:t>за умовами праці, затверджених п</w:t>
      </w:r>
      <w:r w:rsidRPr="0078696C">
        <w:rPr>
          <w:rFonts w:ascii="Times New Roman" w:eastAsia="Times New Roman" w:hAnsi="Times New Roman"/>
          <w:color w:val="000000"/>
          <w:sz w:val="28"/>
          <w:szCs w:val="28"/>
          <w:lang w:eastAsia="ru-RU"/>
        </w:rPr>
        <w:t xml:space="preserve">остановою Міністерства праці від 01 вересня 1992 року № 41 </w:t>
      </w:r>
      <w:r w:rsidRPr="0078696C">
        <w:rPr>
          <w:rFonts w:ascii="Times New Roman" w:eastAsia="Times New Roman" w:hAnsi="Times New Roman"/>
          <w:color w:val="000000"/>
          <w:sz w:val="28"/>
          <w:szCs w:val="28"/>
          <w:vertAlign w:val="superscript"/>
          <w:lang w:eastAsia="ru-RU"/>
        </w:rPr>
        <w:footnoteReference w:id="198"/>
      </w:r>
      <w:r w:rsidRPr="0078696C">
        <w:rPr>
          <w:rFonts w:ascii="Times New Roman" w:eastAsia="Times New Roman" w:hAnsi="Times New Roman"/>
          <w:color w:val="000000"/>
          <w:sz w:val="28"/>
          <w:szCs w:val="28"/>
          <w:lang w:eastAsia="ru-RU"/>
        </w:rPr>
        <w:t>.</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Основна мета атестації, як випливає із зазначених нормативних актів, полягає у регулюванні відносин між власником або уповноваженим ним органом і працівниками у галузі реалізації права на здорові й безпечні умови праці, пільгове забезпечення, пільги та компенсації за роботу у несприятливих умовах.</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Згідно з пунктом 4 Порядку проведення атестації та підпунктом 1.5 пункту 1 Методичних рекомендацій періодичність проведення атестації робочих місць визначається безпосередньо колективним договором підприємства і проводиться не рідше одного разу на 5 років.</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Відповідальність за своєчасне та якісне проведення атестації покладається на керівника підприємства чи організації.</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Результати ат</w:t>
      </w:r>
      <w:r w:rsidR="00505941">
        <w:rPr>
          <w:rFonts w:ascii="Times New Roman" w:eastAsia="Times New Roman" w:hAnsi="Times New Roman"/>
          <w:color w:val="000000"/>
          <w:sz w:val="28"/>
          <w:szCs w:val="28"/>
          <w:lang w:eastAsia="ru-RU"/>
        </w:rPr>
        <w:t>е</w:t>
      </w:r>
      <w:r w:rsidRPr="0078696C">
        <w:rPr>
          <w:rFonts w:ascii="Times New Roman" w:eastAsia="Times New Roman" w:hAnsi="Times New Roman"/>
          <w:color w:val="000000"/>
          <w:sz w:val="28"/>
          <w:szCs w:val="28"/>
          <w:lang w:eastAsia="ru-RU"/>
        </w:rPr>
        <w:t>стації використовуються при встановленні пенсій за віком на пільгових умовах, пільг і компенсацій за рахунок підприємств та організацій, обґрунтуванні пропозицій про внесення змін і доповнень до списків № 1 і 2 виробництв, робіт, професій, посад і показників, що дають право на пільгове пенсійне забезпечення, а також для розробки заходів щодо поліпшення умов праці та оздоровлення працюючих.</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 xml:space="preserve">Відповідно до пункту 3 Порядку застосування Списків № 1 і № 2 виробництв, робіт, професій, посад і показників при обчисленні стажу роботи, що дає право на пенсію за віком на пільгових умовах, затвердженого </w:t>
      </w:r>
      <w:hyperlink r:id="rId19" w:tgtFrame="_blank" w:tooltip="Про затвердження Порядку застосування Списків N 1 і N 2 виробництв, робіт, професій, посад і показників при обчисленні стажу роботи, що дає право на пенсію за віком на пільгових умовах; нормативно-правовий акт № 383 від 18.11.2005" w:history="1">
        <w:r w:rsidRPr="0078696C">
          <w:rPr>
            <w:rFonts w:ascii="Times New Roman" w:eastAsia="Times New Roman" w:hAnsi="Times New Roman"/>
            <w:color w:val="000000"/>
            <w:sz w:val="28"/>
            <w:szCs w:val="28"/>
            <w:lang w:eastAsia="ru-RU"/>
          </w:rPr>
          <w:t>наказом Мінпраці від 18 листопада 2005 року № 383</w:t>
        </w:r>
      </w:hyperlink>
      <w:r w:rsidRPr="0078696C">
        <w:rPr>
          <w:rFonts w:ascii="Times New Roman" w:eastAsia="Times New Roman" w:hAnsi="Times New Roman"/>
          <w:color w:val="000000"/>
          <w:sz w:val="28"/>
          <w:szCs w:val="28"/>
          <w:lang w:eastAsia="ru-RU"/>
        </w:rPr>
        <w:t xml:space="preserve"> (зареєстровано в Міністерстві юстиції України 1 грудня 2005 року за № 1451/11731), при визначенні права на пенсію за віком на пільгових умовах застосовуються Списки, що чинні на період роботи особи. До пільгового стажу зараховується весь період роботи на відповідних посадах або за професіями незалежно від дати їх внесення до Списків за умови підтвердження документами відповідних умов праці за час виконання роботи до 21 серпня 1992 року та за результатами проведення атестації робочих місць за умовами праці після 21 серпня 1992 року </w:t>
      </w:r>
      <w:r w:rsidRPr="0078696C">
        <w:rPr>
          <w:rFonts w:ascii="Times New Roman" w:eastAsia="Times New Roman" w:hAnsi="Times New Roman"/>
          <w:color w:val="000000"/>
          <w:sz w:val="28"/>
          <w:szCs w:val="28"/>
          <w:vertAlign w:val="superscript"/>
          <w:lang w:eastAsia="ru-RU"/>
        </w:rPr>
        <w:footnoteReference w:id="199"/>
      </w:r>
      <w:r w:rsidRPr="0078696C">
        <w:rPr>
          <w:rFonts w:ascii="Times New Roman" w:eastAsia="Times New Roman" w:hAnsi="Times New Roman"/>
          <w:color w:val="000000"/>
          <w:sz w:val="28"/>
          <w:szCs w:val="28"/>
          <w:lang w:eastAsia="ru-RU"/>
        </w:rPr>
        <w:t>.</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 пункті 4.2 зазначеного Порядку застосування списків йдеться про те, що результати атестації (як вперше проведеної, так і чергової) застосовуються при обчисленні стажу, який дає право на пенсію за віком на пільгових умовах, впродовж 5 років після затвердження її результатів, за умови, якщо впродовж цього часу на даному підприємстві не змінювались докорінно умови і характер праці (виробництво, робота, робоче місце), що дають право на призначення пенсії за віком на пільгових умовах. У разі докорінної зміни умов і характеру праці для підтвердження права на пенсію за віком на пільгових умовах має бути проведена позачергова атестація</w:t>
      </w:r>
      <w:r w:rsidRPr="0078696C">
        <w:rPr>
          <w:rFonts w:ascii="Times New Roman" w:eastAsia="Times New Roman" w:hAnsi="Times New Roman"/>
          <w:color w:val="000000"/>
          <w:sz w:val="28"/>
          <w:szCs w:val="28"/>
          <w:vertAlign w:val="superscript"/>
          <w:lang w:eastAsia="ru-RU"/>
        </w:rPr>
        <w:footnoteReference w:id="200"/>
      </w:r>
      <w:r w:rsidRPr="0078696C">
        <w:rPr>
          <w:rFonts w:ascii="Times New Roman" w:eastAsia="Times New Roman" w:hAnsi="Times New Roman"/>
          <w:color w:val="000000"/>
          <w:sz w:val="28"/>
          <w:szCs w:val="28"/>
          <w:lang w:eastAsia="ru-RU"/>
        </w:rPr>
        <w:t>.</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Аналіз наведених норм дає підстави для висновку, що своєчасно проведена атестація робочих місць за умовами праці є одним із заходів соціального захисту працівників, який має сприяти реалізації прав на здорові й безпечні умови праці, пільгове пенсійне забезпечення, пільги та компенсації за роботу у несприятливих умовах.</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Атестація має проводитися у передбачені пунктом 4 Порядку проведення атестації строки, а відповідальність за своєчасність та якість її проведення покладається на керівника підприємства, організації.</w:t>
      </w:r>
    </w:p>
    <w:p w:rsidR="00126F2F" w:rsidRPr="0078696C" w:rsidRDefault="00126F2F" w:rsidP="00126F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Якщо чергова атестація була проведена з порушенням передбачених пунктом 4 Порядку проведення атестації строків, а працівник до її проведення виконував роботу, яка дає право на пенсію за віком на пільгових умовах, цей період його роботи має бути зарахований до пільгового стажу за результатами попередньої атестації.</w:t>
      </w:r>
    </w:p>
    <w:p w:rsidR="00126F2F" w:rsidRPr="0078696C" w:rsidRDefault="00126F2F" w:rsidP="00126F2F">
      <w:pPr>
        <w:spacing w:after="0" w:line="360" w:lineRule="auto"/>
        <w:ind w:firstLine="709"/>
        <w:jc w:val="both"/>
        <w:rPr>
          <w:rFonts w:ascii="Times New Roman" w:eastAsia="Times New Roman" w:hAnsi="Times New Roman"/>
          <w:bCs/>
          <w:color w:val="000000"/>
          <w:sz w:val="28"/>
          <w:szCs w:val="28"/>
          <w:lang w:eastAsia="ru-RU"/>
        </w:rPr>
      </w:pPr>
      <w:r w:rsidRPr="0078696C">
        <w:rPr>
          <w:rFonts w:ascii="Times New Roman" w:eastAsia="Times New Roman" w:hAnsi="Times New Roman"/>
          <w:color w:val="000000"/>
          <w:sz w:val="28"/>
          <w:szCs w:val="28"/>
          <w:lang w:eastAsia="ru-RU"/>
        </w:rPr>
        <w:t xml:space="preserve">Дана правова позиція висловлена у постанові Верховного Суду України від 16.09.2014 року у справі №21-307а14, </w:t>
      </w:r>
      <w:r w:rsidRPr="0078696C">
        <w:rPr>
          <w:rFonts w:ascii="Times New Roman" w:eastAsia="Times New Roman" w:hAnsi="Times New Roman"/>
          <w:bCs/>
          <w:color w:val="000000"/>
          <w:sz w:val="28"/>
          <w:szCs w:val="28"/>
          <w:lang w:eastAsia="ru-RU"/>
        </w:rPr>
        <w:t xml:space="preserve">якою у задоволенні заяви УПФУ в м. Єнакієве Донецької області про перегляд судових рішень було відмовлено, виходячи з тих підстав, що положеннями Порядку проведення атестації обов'язок по проведенню атестації робочих місць покладено на керівників підприємств, а тому непроведення такої атестації у визначені законодавством строки не може позбавити громадян їх конституційного права на соціальний захист, зокрема на пенсію за віком на пільгових умовах </w:t>
      </w:r>
      <w:r w:rsidRPr="0078696C">
        <w:rPr>
          <w:rFonts w:ascii="Times New Roman" w:eastAsia="Times New Roman" w:hAnsi="Times New Roman"/>
          <w:bCs/>
          <w:color w:val="000000"/>
          <w:sz w:val="28"/>
          <w:szCs w:val="28"/>
          <w:vertAlign w:val="superscript"/>
          <w:lang w:eastAsia="ru-RU"/>
        </w:rPr>
        <w:footnoteReference w:id="201"/>
      </w:r>
      <w:r w:rsidRPr="0078696C">
        <w:rPr>
          <w:rFonts w:ascii="Times New Roman" w:eastAsia="Times New Roman" w:hAnsi="Times New Roman"/>
          <w:bCs/>
          <w:color w:val="000000"/>
          <w:sz w:val="28"/>
          <w:szCs w:val="28"/>
          <w:lang w:eastAsia="ru-RU"/>
        </w:rPr>
        <w:t>.</w:t>
      </w:r>
    </w:p>
    <w:p w:rsidR="00126F2F" w:rsidRPr="0078696C" w:rsidRDefault="00126F2F" w:rsidP="00126F2F">
      <w:pPr>
        <w:spacing w:after="0" w:line="360" w:lineRule="auto"/>
        <w:ind w:firstLine="709"/>
        <w:jc w:val="both"/>
        <w:rPr>
          <w:rFonts w:ascii="Times New Roman" w:eastAsia="Times New Roman" w:hAnsi="Times New Roman"/>
          <w:bCs/>
          <w:color w:val="000000"/>
          <w:sz w:val="28"/>
          <w:szCs w:val="28"/>
          <w:lang w:eastAsia="ru-RU"/>
        </w:rPr>
      </w:pPr>
      <w:r w:rsidRPr="0078696C">
        <w:rPr>
          <w:rFonts w:ascii="Times New Roman" w:eastAsia="Times New Roman" w:hAnsi="Times New Roman"/>
          <w:bCs/>
          <w:color w:val="000000"/>
          <w:sz w:val="28"/>
          <w:szCs w:val="28"/>
          <w:lang w:eastAsia="ru-RU"/>
        </w:rPr>
        <w:t>Аналогічної правової позиції дотримався і В</w:t>
      </w:r>
      <w:r w:rsidR="00C018C2" w:rsidRPr="0078696C">
        <w:rPr>
          <w:rFonts w:ascii="Times New Roman" w:eastAsia="Times New Roman" w:hAnsi="Times New Roman"/>
          <w:bCs/>
          <w:color w:val="000000"/>
          <w:sz w:val="28"/>
          <w:szCs w:val="28"/>
          <w:lang w:eastAsia="ru-RU"/>
        </w:rPr>
        <w:t xml:space="preserve">ищий адміністративний суд України </w:t>
      </w:r>
      <w:r w:rsidRPr="0078696C">
        <w:rPr>
          <w:rFonts w:ascii="Times New Roman" w:eastAsia="Times New Roman" w:hAnsi="Times New Roman"/>
          <w:bCs/>
          <w:color w:val="000000"/>
          <w:sz w:val="28"/>
          <w:szCs w:val="28"/>
          <w:lang w:eastAsia="ru-RU"/>
        </w:rPr>
        <w:t xml:space="preserve">в своїх ухвалах від 20.10.2017 р. у справі №686/7559/17 та </w:t>
      </w:r>
      <w:r w:rsidR="006B1152">
        <w:rPr>
          <w:rFonts w:ascii="Times New Roman" w:eastAsia="Times New Roman" w:hAnsi="Times New Roman"/>
          <w:bCs/>
          <w:color w:val="000000"/>
          <w:sz w:val="28"/>
          <w:szCs w:val="28"/>
          <w:lang w:eastAsia="ru-RU"/>
        </w:rPr>
        <w:br/>
      </w:r>
      <w:r w:rsidRPr="0078696C">
        <w:rPr>
          <w:rFonts w:ascii="Times New Roman" w:eastAsia="Times New Roman" w:hAnsi="Times New Roman"/>
          <w:bCs/>
          <w:color w:val="000000"/>
          <w:sz w:val="28"/>
          <w:szCs w:val="28"/>
          <w:lang w:eastAsia="ru-RU"/>
        </w:rPr>
        <w:t>15.09.2017 р. у справі №382/400/17</w:t>
      </w:r>
      <w:r w:rsidRPr="0078696C">
        <w:rPr>
          <w:rFonts w:ascii="Times New Roman" w:eastAsia="Times New Roman" w:hAnsi="Times New Roman"/>
          <w:bCs/>
          <w:color w:val="000000"/>
          <w:sz w:val="28"/>
          <w:szCs w:val="28"/>
          <w:vertAlign w:val="superscript"/>
          <w:lang w:eastAsia="ru-RU"/>
        </w:rPr>
        <w:footnoteReference w:id="202"/>
      </w:r>
      <w:r w:rsidRPr="0078696C">
        <w:rPr>
          <w:rFonts w:ascii="Times New Roman" w:eastAsia="Times New Roman" w:hAnsi="Times New Roman"/>
          <w:bCs/>
          <w:color w:val="000000"/>
          <w:sz w:val="28"/>
          <w:szCs w:val="28"/>
          <w:lang w:eastAsia="ru-RU"/>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Однією з правових умов виникнення права у особи на пільгове пенсійне забезпечення є, так званий, спеціальний трудовий стаж. Поширеною є практика вузького тлумачення територіальними управліннями підстав та умов реалізації особою права на цей вид соціальної виплати. Здебільшого територіальні управління відмовляють у призначенні пенсійного забезпечення за віком на пільгових умовах особам, зайнятим повний робочий день на роботах, передбачених з підстав відсутності у особи належного, на думку Територіальних управлінь, підтвердження здійснення конкретною особою такого виду робіт, а відтак, недостатньої кількості років спеціального трудового стажу, необхідного для призначення конкретного виду пенсійного </w:t>
      </w:r>
      <w:r w:rsidRPr="0078696C">
        <w:rPr>
          <w:rFonts w:ascii="Times New Roman" w:hAnsi="Times New Roman"/>
          <w:color w:val="000000"/>
          <w:sz w:val="28"/>
          <w:szCs w:val="28"/>
        </w:rPr>
        <w:lastRenderedPageBreak/>
        <w:t>забезпечення: відсутність доказів проведення роботодавцем відповідно до законодавства атестації робочих місць; відсутність додатково-необхідних довідок, що підтверджують особливу шкідливість (чи шкідливість) виконуваної роботи; відсутність уточнення у довідці характеру виконуваної роботи, відсутність уточнювальних відповідей від Пенсійного фонду Російської Федерації (якщо певний період трудової діяльності особа працювала в Російській Федерації чи інших колишніх республік Радянського Союзу, що особливо актуально в контексті реалізації права на пільгове пенсійне забезпечення особами, які тривалий час працювали на території сучасної іноземної держави тощо.</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Значна частина проблем виникає через помилки, які містяться в документах громадян. Здебільшого, Фонд дає негативну оцінку та відмовляє у прийнятті спірних документів, трактуючи неяснос</w:t>
      </w:r>
      <w:r w:rsidR="00901F15" w:rsidRPr="0078696C">
        <w:rPr>
          <w:rFonts w:ascii="Times New Roman" w:hAnsi="Times New Roman"/>
          <w:color w:val="000000"/>
          <w:sz w:val="28"/>
          <w:szCs w:val="28"/>
        </w:rPr>
        <w:t xml:space="preserve">ті у документах проти заявника. </w:t>
      </w:r>
      <w:r w:rsidR="00403EF6" w:rsidRPr="0078696C">
        <w:rPr>
          <w:rFonts w:ascii="Times New Roman" w:hAnsi="Times New Roman"/>
          <w:color w:val="000000"/>
          <w:sz w:val="28"/>
          <w:szCs w:val="28"/>
        </w:rPr>
        <w:t>Слід</w:t>
      </w:r>
      <w:r w:rsidRPr="0078696C">
        <w:rPr>
          <w:rFonts w:ascii="Times New Roman" w:hAnsi="Times New Roman"/>
          <w:color w:val="000000"/>
          <w:sz w:val="28"/>
          <w:szCs w:val="28"/>
        </w:rPr>
        <w:t xml:space="preserve"> зауважити, що дуже часто пільговий стаж особи, яка звертається за призначенням пенсії, набутий ще за часів СРСР, а тому</w:t>
      </w:r>
      <w:r w:rsidR="00901F15" w:rsidRPr="0078696C">
        <w:rPr>
          <w:rFonts w:ascii="Times New Roman" w:hAnsi="Times New Roman"/>
          <w:color w:val="000000"/>
          <w:sz w:val="28"/>
          <w:szCs w:val="28"/>
        </w:rPr>
        <w:t>,</w:t>
      </w:r>
      <w:r w:rsidRPr="0078696C">
        <w:rPr>
          <w:rFonts w:ascii="Times New Roman" w:hAnsi="Times New Roman"/>
          <w:color w:val="000000"/>
          <w:sz w:val="28"/>
          <w:szCs w:val="28"/>
        </w:rPr>
        <w:t xml:space="preserve"> у випадку, якщо стаж особи, яка претендує на призначення пенсії за віком на пільгових умовах, набутий до 31.12.1991 р., тобто до набрання чинності Законом України «Про пенсійне забезпечення», </w:t>
      </w:r>
      <w:r w:rsidR="00403EF6" w:rsidRPr="0078696C">
        <w:rPr>
          <w:rFonts w:ascii="Times New Roman" w:hAnsi="Times New Roman"/>
          <w:color w:val="000000"/>
          <w:sz w:val="28"/>
          <w:szCs w:val="28"/>
        </w:rPr>
        <w:t xml:space="preserve">а тому </w:t>
      </w:r>
      <w:r w:rsidRPr="0078696C">
        <w:rPr>
          <w:rFonts w:ascii="Times New Roman" w:hAnsi="Times New Roman"/>
          <w:color w:val="000000"/>
          <w:sz w:val="28"/>
          <w:szCs w:val="28"/>
        </w:rPr>
        <w:t>її пенсія</w:t>
      </w:r>
      <w:r w:rsidR="00505941">
        <w:rPr>
          <w:rFonts w:ascii="Times New Roman" w:hAnsi="Times New Roman"/>
          <w:color w:val="000000"/>
          <w:sz w:val="28"/>
          <w:szCs w:val="28"/>
        </w:rPr>
        <w:t xml:space="preserve"> </w:t>
      </w:r>
      <w:r w:rsidRPr="0078696C">
        <w:rPr>
          <w:rFonts w:ascii="Times New Roman" w:hAnsi="Times New Roman"/>
          <w:color w:val="000000"/>
          <w:sz w:val="28"/>
          <w:szCs w:val="28"/>
        </w:rPr>
        <w:t xml:space="preserve">повинна призначатись, виходячи з вимог до цього стажу, встановлених раніше діючим законодавством </w:t>
      </w:r>
      <w:r w:rsidRPr="0078696C">
        <w:rPr>
          <w:rFonts w:ascii="Times New Roman" w:hAnsi="Times New Roman"/>
          <w:color w:val="000000"/>
          <w:sz w:val="28"/>
          <w:szCs w:val="28"/>
          <w:vertAlign w:val="superscript"/>
        </w:rPr>
        <w:footnoteReference w:id="203"/>
      </w:r>
      <w:r w:rsidRPr="0078696C">
        <w:rPr>
          <w:rFonts w:ascii="Times New Roman" w:hAnsi="Times New Roman"/>
          <w:color w:val="000000"/>
          <w:sz w:val="28"/>
          <w:szCs w:val="28"/>
        </w:rPr>
        <w:t>.</w:t>
      </w:r>
    </w:p>
    <w:p w:rsidR="00126F2F" w:rsidRPr="0078696C" w:rsidRDefault="006807C2"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Згідно з п. 117 п</w:t>
      </w:r>
      <w:r w:rsidR="00126F2F" w:rsidRPr="0078696C">
        <w:rPr>
          <w:rFonts w:ascii="Times New Roman" w:hAnsi="Times New Roman"/>
          <w:color w:val="000000"/>
          <w:sz w:val="28"/>
          <w:szCs w:val="28"/>
        </w:rPr>
        <w:t xml:space="preserve">останови Ради Міністрів СРСР від 03.08.1972 р. № 590 «Про затвердження Положення про порядок призначення і виплати державних пенсій» доказами стажу роботи можуть служити: а) трудові книжки, трудові списки, послужні списки (в тому числі по роботі до встановлення Радянської влади), членські книжки членів кооперативних промислових артілей і кооперативних артілей інвалідів – все відносно записів, внесених на підставі документів; б) довідки, посвідчення і тому подібні документи про роботу, видані з місця роботи; в) довідки вищих установ тієї ж системи, в якій працював даний працівник (наприклад, довідки міністерств, головних </w:t>
      </w:r>
      <w:r w:rsidR="00126F2F" w:rsidRPr="0078696C">
        <w:rPr>
          <w:rFonts w:ascii="Times New Roman" w:hAnsi="Times New Roman"/>
          <w:color w:val="000000"/>
          <w:sz w:val="28"/>
          <w:szCs w:val="28"/>
        </w:rPr>
        <w:lastRenderedPageBreak/>
        <w:t xml:space="preserve">управлінь, трестів, спілок промисловий кооперації і т.д.); г) довідки архівних установ </w:t>
      </w:r>
      <w:r w:rsidR="00126F2F" w:rsidRPr="0078696C">
        <w:rPr>
          <w:rFonts w:ascii="Times New Roman" w:hAnsi="Times New Roman"/>
          <w:color w:val="000000"/>
          <w:sz w:val="28"/>
          <w:szCs w:val="28"/>
          <w:vertAlign w:val="superscript"/>
        </w:rPr>
        <w:footnoteReference w:id="204"/>
      </w:r>
      <w:r w:rsidR="00126F2F" w:rsidRPr="0078696C">
        <w:rPr>
          <w:rFonts w:ascii="Times New Roman" w:hAnsi="Times New Roman"/>
          <w:color w:val="000000"/>
          <w:sz w:val="28"/>
          <w:szCs w:val="28"/>
        </w:rPr>
        <w:t>.</w:t>
      </w:r>
      <w:r w:rsidR="00505941">
        <w:rPr>
          <w:rFonts w:ascii="Times New Roman" w:hAnsi="Times New Roman"/>
          <w:color w:val="000000"/>
          <w:sz w:val="28"/>
          <w:szCs w:val="28"/>
        </w:rPr>
        <w:t xml:space="preserve"> </w:t>
      </w:r>
      <w:r w:rsidR="00126F2F" w:rsidRPr="0078696C">
        <w:rPr>
          <w:rFonts w:ascii="Times New Roman" w:hAnsi="Times New Roman"/>
          <w:color w:val="000000"/>
          <w:sz w:val="28"/>
          <w:szCs w:val="28"/>
        </w:rPr>
        <w:t>Даний перелік документів суттєво відрізняється від того, що на сьог</w:t>
      </w:r>
      <w:r w:rsidR="00154298" w:rsidRPr="0078696C">
        <w:rPr>
          <w:rFonts w:ascii="Times New Roman" w:hAnsi="Times New Roman"/>
          <w:color w:val="000000"/>
          <w:sz w:val="28"/>
          <w:szCs w:val="28"/>
        </w:rPr>
        <w:t>одні вимагають пенсійні органи.</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Зокрема, територіальні управління ПФУ відмовляють в призначенні пенсії або з підстав відсутності запису у трудовій книжці із зазначенням наказу, виданого за результатами атестації робочих місць. Однак, такі відмови є безпідставними та ґрунтуються на неправильному тлумаченні норм законодавства, адже внесення таких записів з посиланням на наказ, виданий за результатами атестації робочих місць, як і видання відповідного наказу за результатами такої атестації, введено в Україні тільки з 22.08.1992 року, з </w:t>
      </w:r>
      <w:r w:rsidR="006807C2" w:rsidRPr="0078696C">
        <w:rPr>
          <w:rFonts w:ascii="Times New Roman" w:hAnsi="Times New Roman"/>
          <w:color w:val="000000"/>
          <w:sz w:val="28"/>
          <w:szCs w:val="28"/>
        </w:rPr>
        <w:t>набуттям чинності п</w:t>
      </w:r>
      <w:r w:rsidRPr="0078696C">
        <w:rPr>
          <w:rFonts w:ascii="Times New Roman" w:hAnsi="Times New Roman"/>
          <w:color w:val="000000"/>
          <w:sz w:val="28"/>
          <w:szCs w:val="28"/>
        </w:rPr>
        <w:t>останови КМУ «Про порядок проведення атестації робочих місць за умовами праці» № 442 від 01.08.1992 року.</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Також, неправомірними є відмови органів ПФУ з підстав відсутності в документах громадян відомостей про характер виконуваних ними робіт за Списком № 1 ч</w:t>
      </w:r>
      <w:r w:rsidR="006807C2" w:rsidRPr="0078696C">
        <w:rPr>
          <w:rFonts w:ascii="Times New Roman" w:hAnsi="Times New Roman"/>
          <w:color w:val="000000"/>
          <w:sz w:val="28"/>
          <w:szCs w:val="28"/>
        </w:rPr>
        <w:t>и № 2, адже відповідно до п. 1 п</w:t>
      </w:r>
      <w:r w:rsidRPr="0078696C">
        <w:rPr>
          <w:rFonts w:ascii="Times New Roman" w:hAnsi="Times New Roman"/>
          <w:color w:val="000000"/>
          <w:sz w:val="28"/>
          <w:szCs w:val="28"/>
        </w:rPr>
        <w:t xml:space="preserve">останови Секретаріату Всесоюзної Центральної Ради Професійних Спілок від 2 квітня 1976 р № 81/8 «Про затвердження роз'яснення «Про порядок застосування затверджених Постановою Ради Міністрів СРСР від 22 серпня 1956 р № 1173 Списків виробництв, цехів, професій і посад, робота в яких дає право на державну пенсію на пільгових умовах і в пільгових розмірах», Списки № 1 і № 2 виробництв, цехів, професій і посад, робота в яких дає право на державну пенсію на пільгових умовах і в пільгових розмірах, повинні застосовуватися незалежно від відомчого підпорядкування підприємств і установ, де працювали або працюють робітники і службовці, які звернулися за пенсією, професії або посади яких названі в цих списках за відповідними виробництвами і цехами </w:t>
      </w:r>
      <w:r w:rsidRPr="0078696C">
        <w:rPr>
          <w:rFonts w:ascii="Times New Roman" w:hAnsi="Times New Roman"/>
          <w:color w:val="000000"/>
          <w:sz w:val="28"/>
          <w:szCs w:val="28"/>
          <w:vertAlign w:val="superscript"/>
        </w:rPr>
        <w:footnoteReference w:id="205"/>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Однак, в основному, підставою для відмов у призначенні пенсій слугує відсутність у особи уточнюючої довідки. Такий підхід повністю суперечить чинному законодавству України, адже відсутність уточнюючої довідки про підтвердження пільгового стажу не може бути підставою позбавлення особи права на пільгову пенсію. Законодавець передбачає й ряд інших документів, на підставі яких можна підтвердити стаж роботи: довідки, виписки з наказів, особові рахунки і відомості на видачу заробітної плати, посвідчення, характеристики, письмові трудові договори і угоди з відмітками про їх виконання та інші документи, які містять ві</w:t>
      </w:r>
      <w:r w:rsidR="00214CD0" w:rsidRPr="0078696C">
        <w:rPr>
          <w:rFonts w:ascii="Times New Roman" w:hAnsi="Times New Roman"/>
          <w:color w:val="000000"/>
          <w:sz w:val="28"/>
          <w:szCs w:val="28"/>
        </w:rPr>
        <w:t xml:space="preserve">домості про періоди роботи </w:t>
      </w:r>
      <w:r w:rsidR="00231D91" w:rsidRPr="0078696C">
        <w:rPr>
          <w:rFonts w:ascii="Times New Roman" w:hAnsi="Times New Roman"/>
          <w:color w:val="000000"/>
          <w:sz w:val="28"/>
          <w:szCs w:val="28"/>
        </w:rPr>
        <w:br/>
      </w:r>
      <w:r w:rsidR="00DD32B4" w:rsidRPr="0078696C">
        <w:rPr>
          <w:rFonts w:ascii="Times New Roman" w:hAnsi="Times New Roman"/>
          <w:color w:val="000000"/>
          <w:sz w:val="28"/>
          <w:szCs w:val="28"/>
        </w:rPr>
        <w:t>особи</w:t>
      </w:r>
      <w:r w:rsidRPr="0078696C">
        <w:rPr>
          <w:rFonts w:ascii="Times New Roman" w:hAnsi="Times New Roman"/>
          <w:color w:val="000000"/>
          <w:sz w:val="28"/>
          <w:szCs w:val="28"/>
          <w:vertAlign w:val="superscript"/>
        </w:rPr>
        <w:footnoteReference w:id="206"/>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Важливим у процесі реалізації особою права на пенсійне забезпечення є зарахування для призначення пенсії усього стажу роботи (в тому числі у пільговому обчисленні) та правильного визначення розміру заробітної плати особи. Судова практика підтверджує той факт, що доволі часто територіальні управління на власний розсуд зараховують або не зараховують ті чи інші періоди роботи особи, а також певні види її доходу, що згодом формує розмір пенсії за віком.</w:t>
      </w:r>
    </w:p>
    <w:p w:rsidR="00417F7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Аналіз судової практики щодо питань розміру пенсії підтверджує систематичне порушення </w:t>
      </w:r>
      <w:r w:rsidR="00DD32B4" w:rsidRPr="0078696C">
        <w:rPr>
          <w:rFonts w:ascii="Times New Roman" w:hAnsi="Times New Roman"/>
          <w:color w:val="000000"/>
          <w:sz w:val="28"/>
          <w:szCs w:val="28"/>
        </w:rPr>
        <w:t xml:space="preserve">органами ПФУ </w:t>
      </w:r>
      <w:r w:rsidRPr="0078696C">
        <w:rPr>
          <w:rFonts w:ascii="Times New Roman" w:hAnsi="Times New Roman"/>
          <w:color w:val="000000"/>
          <w:sz w:val="28"/>
          <w:szCs w:val="28"/>
        </w:rPr>
        <w:t xml:space="preserve">прав громадян у тих випадках, коли вони повинні здійснювати перерахунок розмірів пенсій з огляду на правові підстави, передбачені національним законодавством у сфері пенсійного забезпечення. </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Зокрема, найбільш поширеними </w:t>
      </w:r>
      <w:r w:rsidR="00417F7F" w:rsidRPr="0078696C">
        <w:rPr>
          <w:rFonts w:ascii="Times New Roman" w:hAnsi="Times New Roman"/>
          <w:color w:val="000000"/>
          <w:sz w:val="28"/>
          <w:szCs w:val="28"/>
        </w:rPr>
        <w:t>порушеннями, які допускаються органами ПФУ при реалізації прав громадян на призначення та перерахунок</w:t>
      </w:r>
      <w:r w:rsidRPr="0078696C">
        <w:rPr>
          <w:rFonts w:ascii="Times New Roman" w:hAnsi="Times New Roman"/>
          <w:color w:val="000000"/>
          <w:sz w:val="28"/>
          <w:szCs w:val="28"/>
        </w:rPr>
        <w:t xml:space="preserve"> можна назвати:</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По-перше, </w:t>
      </w:r>
      <w:r w:rsidR="00DD32B4" w:rsidRPr="0078696C">
        <w:rPr>
          <w:rFonts w:ascii="Times New Roman" w:hAnsi="Times New Roman"/>
          <w:color w:val="000000"/>
          <w:sz w:val="28"/>
          <w:szCs w:val="28"/>
        </w:rPr>
        <w:t>не</w:t>
      </w:r>
      <w:r w:rsidRPr="0078696C">
        <w:rPr>
          <w:rFonts w:ascii="Times New Roman" w:hAnsi="Times New Roman"/>
          <w:color w:val="000000"/>
          <w:sz w:val="28"/>
          <w:szCs w:val="28"/>
        </w:rPr>
        <w:t xml:space="preserve">проведення перерахунку пенсій військовослужбовцям у зв’язку із зміною розміру хоча б одного із видів грошового забезпечення відповідних категорій військовослужбовців всупереч ст. 63 Закону України </w:t>
      </w:r>
      <w:r w:rsidRPr="0078696C">
        <w:rPr>
          <w:rFonts w:ascii="Times New Roman" w:hAnsi="Times New Roman"/>
          <w:color w:val="000000"/>
          <w:sz w:val="28"/>
          <w:szCs w:val="28"/>
        </w:rPr>
        <w:lastRenderedPageBreak/>
        <w:t>«Про пенсійне забезпечення осіб, звільнених з військової служби, та деяких інших осіб».</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По-друге, порушення прав громадян в частині призначення та перерахунку пенсії відповідно до норм ст. 37 Закону України «Про державну службу».</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По-третє, порушення прав громадян щодо призначення пенсії за віком на пільгових умовах та за вислугу років відповідно до ст. ст. 13, 52, 55 Закону України «Про пенсійне забезпечення».</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По-четверте, порушення прав громадян на отримання щомісячної грошової допомоги у вигляді надбавки до пенсії в розмірі 30 % мінімальної пенсії за віком на підставі ст. 6 Закону України «Про соціальний захист дітей війни».</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По-п’яте, порушення прав громадян щодо здійснення перерахунку пенсії з урахуванням кратності стажу (1:1,5) за період роботи в районах Крайньої Півночі та місцевостях, прирівняних до них, а також заробітної плати за час роботи в особливих кліматичних умовах.</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По-шосте, порушення прав громадян щодо призначення </w:t>
      </w:r>
      <w:r w:rsidR="00417F7F" w:rsidRPr="0078696C">
        <w:rPr>
          <w:rFonts w:ascii="Times New Roman" w:hAnsi="Times New Roman"/>
          <w:color w:val="000000"/>
          <w:sz w:val="28"/>
          <w:szCs w:val="28"/>
        </w:rPr>
        <w:t xml:space="preserve">та перерахунку </w:t>
      </w:r>
      <w:r w:rsidRPr="0078696C">
        <w:rPr>
          <w:rFonts w:ascii="Times New Roman" w:hAnsi="Times New Roman"/>
          <w:color w:val="000000"/>
          <w:sz w:val="28"/>
          <w:szCs w:val="28"/>
        </w:rPr>
        <w:t>пенсі</w:t>
      </w:r>
      <w:r w:rsidR="00417F7F" w:rsidRPr="0078696C">
        <w:rPr>
          <w:rFonts w:ascii="Times New Roman" w:hAnsi="Times New Roman"/>
          <w:color w:val="000000"/>
          <w:sz w:val="28"/>
          <w:szCs w:val="28"/>
        </w:rPr>
        <w:t xml:space="preserve">й </w:t>
      </w:r>
      <w:r w:rsidRPr="0078696C">
        <w:rPr>
          <w:rFonts w:ascii="Times New Roman" w:hAnsi="Times New Roman"/>
          <w:color w:val="000000"/>
          <w:sz w:val="28"/>
          <w:szCs w:val="28"/>
        </w:rPr>
        <w:t>за нормами Закону України «Про статус і соціальний захист громадян, які постраждали внаслідок Чорнобильської катастрофи».</w:t>
      </w:r>
    </w:p>
    <w:p w:rsidR="00126F2F" w:rsidRPr="0078696C" w:rsidRDefault="00861B90"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w:t>
      </w:r>
      <w:r w:rsidR="00126F2F" w:rsidRPr="0078696C">
        <w:rPr>
          <w:rFonts w:ascii="Times New Roman" w:hAnsi="Times New Roman"/>
          <w:color w:val="000000"/>
          <w:sz w:val="28"/>
          <w:szCs w:val="28"/>
        </w:rPr>
        <w:t>сьоме, порушення прав громадян щодо визначення розміру пенсії з урахуванням розмірів отриманої матеріальної допомоги для вирішення соціально-побутових питань і матеріальної допомоги на оздоровлення.</w:t>
      </w:r>
    </w:p>
    <w:p w:rsidR="00861B90" w:rsidRPr="0078696C" w:rsidRDefault="00861B90"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По-восьме,</w:t>
      </w:r>
      <w:r w:rsidR="004C10B8" w:rsidRPr="0078696C">
        <w:rPr>
          <w:rFonts w:ascii="Times New Roman" w:hAnsi="Times New Roman"/>
          <w:color w:val="000000"/>
          <w:sz w:val="28"/>
          <w:szCs w:val="28"/>
        </w:rPr>
        <w:t xml:space="preserve">порушення прав громадян </w:t>
      </w:r>
      <w:r w:rsidR="00F0715F" w:rsidRPr="0078696C">
        <w:rPr>
          <w:rFonts w:ascii="Times New Roman" w:hAnsi="Times New Roman"/>
          <w:color w:val="000000"/>
          <w:sz w:val="28"/>
          <w:szCs w:val="28"/>
        </w:rPr>
        <w:t>щодо призначення та виплати грошової допомоги, яка не підлягає оподаткуванню, у розмірі десяти місячних пенсій, згідно п. 7-1 розділу XV «Прикінцеві положення» ЗУ «Про загальнообов’язкове державне пенсійне страхування».</w:t>
      </w:r>
    </w:p>
    <w:p w:rsidR="005E1EB8" w:rsidRPr="0078696C" w:rsidRDefault="005E1EB8"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По-дев’яте, </w:t>
      </w:r>
      <w:r w:rsidR="00CE3122" w:rsidRPr="0078696C">
        <w:rPr>
          <w:rFonts w:ascii="Times New Roman" w:hAnsi="Times New Roman"/>
          <w:color w:val="000000"/>
          <w:sz w:val="28"/>
          <w:szCs w:val="28"/>
        </w:rPr>
        <w:t xml:space="preserve">припинення виплати пенсій </w:t>
      </w:r>
      <w:r w:rsidR="004C10B8" w:rsidRPr="0078696C">
        <w:rPr>
          <w:rFonts w:ascii="Times New Roman" w:hAnsi="Times New Roman"/>
          <w:color w:val="000000"/>
          <w:sz w:val="28"/>
          <w:szCs w:val="28"/>
        </w:rPr>
        <w:t>внутрішньо переміщеним особам  з тимчасово окупованої території України.</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Практично з усіх ключових проблематичних питань Верховним Судом було сформовано відповідні правові позиції, які на сьогодні значно полегшують </w:t>
      </w:r>
      <w:r w:rsidRPr="0078696C">
        <w:rPr>
          <w:rFonts w:ascii="Times New Roman" w:hAnsi="Times New Roman"/>
          <w:color w:val="000000"/>
          <w:sz w:val="28"/>
          <w:szCs w:val="28"/>
        </w:rPr>
        <w:lastRenderedPageBreak/>
        <w:t xml:space="preserve">роботу окружним адміністративним судом при прийнятті рішень з приводу захисту пенсійних прав громадян. Більше того, вони є обов’язковими для зазначених судів при виборі і застосуванні норми права до спірних правовідносин </w:t>
      </w:r>
      <w:r w:rsidRPr="0078696C">
        <w:rPr>
          <w:rFonts w:ascii="Times New Roman" w:hAnsi="Times New Roman"/>
          <w:color w:val="000000"/>
          <w:sz w:val="28"/>
          <w:szCs w:val="28"/>
          <w:vertAlign w:val="superscript"/>
        </w:rPr>
        <w:footnoteReference w:id="207"/>
      </w:r>
      <w:r w:rsidRPr="0078696C">
        <w:rPr>
          <w:rFonts w:ascii="Times New Roman" w:hAnsi="Times New Roman"/>
          <w:color w:val="000000"/>
          <w:sz w:val="28"/>
          <w:szCs w:val="28"/>
        </w:rPr>
        <w:t>.</w:t>
      </w:r>
    </w:p>
    <w:p w:rsidR="00126F2F" w:rsidRPr="0078696C" w:rsidRDefault="00126F2F" w:rsidP="00126F2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Підсумовуючи, варто зазначити, що недотримання у процесі діяльності Пенсійним фондом України та його територіальними управління базових принципів правового регулювання порушує якість та ефективність процедури реалізації громадянами права на пенсійне забезпечення, яке прямо пов’язане із правом на життя особи. Найбільш поширеними проблемами під час процедури призначення чи перерахунку пенсій для громадян є: недостатня поінформованість громадян щодо змісту та обсягу права на пенсійне забезпечення, процедури його реалізації; надмірна кількість документів, які підтверджують один і той самий факт; недостатнє використання інформаційних технологій для забезпечення ефективності та спрощеності процедури призначення та виплати пенсії; відсутність законодавчої презумпції добросовісності особи-заявника щодо пенсії; невиконання Пенсійним фондом України обов’язку щодо автоматичного перерахунку пенсій; спірна практика Пенсійного фонду України щодо трактування моменту виникнення права на пенсійне забезпечення тощо.</w:t>
      </w:r>
    </w:p>
    <w:p w:rsidR="00126F2F" w:rsidRPr="0078696C" w:rsidRDefault="00126F2F" w:rsidP="00126F2F">
      <w:pPr>
        <w:spacing w:after="0" w:line="360" w:lineRule="auto"/>
        <w:jc w:val="both"/>
        <w:rPr>
          <w:rFonts w:ascii="Times New Roman" w:hAnsi="Times New Roman"/>
          <w:b/>
          <w:color w:val="000000"/>
          <w:sz w:val="28"/>
          <w:szCs w:val="28"/>
        </w:rPr>
      </w:pPr>
    </w:p>
    <w:p w:rsidR="002B64C1" w:rsidRPr="0078696C" w:rsidRDefault="00126F2F" w:rsidP="00724FE9">
      <w:pPr>
        <w:spacing w:after="0" w:line="360" w:lineRule="auto"/>
        <w:ind w:firstLine="709"/>
        <w:jc w:val="both"/>
        <w:rPr>
          <w:rFonts w:ascii="Times New Roman" w:hAnsi="Times New Roman"/>
          <w:b/>
          <w:color w:val="000000"/>
          <w:sz w:val="28"/>
          <w:szCs w:val="28"/>
        </w:rPr>
      </w:pPr>
      <w:r w:rsidRPr="0078696C">
        <w:rPr>
          <w:rFonts w:ascii="Times New Roman" w:hAnsi="Times New Roman"/>
          <w:b/>
          <w:color w:val="000000"/>
          <w:sz w:val="28"/>
          <w:szCs w:val="28"/>
        </w:rPr>
        <w:t>2.3</w:t>
      </w:r>
      <w:r w:rsidR="00505941">
        <w:rPr>
          <w:rFonts w:ascii="Times New Roman" w:hAnsi="Times New Roman"/>
          <w:b/>
          <w:color w:val="000000"/>
          <w:sz w:val="28"/>
          <w:szCs w:val="28"/>
        </w:rPr>
        <w:t xml:space="preserve"> </w:t>
      </w:r>
      <w:r w:rsidR="00214CD0" w:rsidRPr="0078696C">
        <w:rPr>
          <w:rFonts w:ascii="Times New Roman" w:hAnsi="Times New Roman"/>
          <w:b/>
          <w:color w:val="000000"/>
          <w:sz w:val="28"/>
          <w:szCs w:val="28"/>
        </w:rPr>
        <w:t>Т</w:t>
      </w:r>
      <w:r w:rsidR="0009280F" w:rsidRPr="0078696C">
        <w:rPr>
          <w:rFonts w:ascii="Times New Roman" w:hAnsi="Times New Roman"/>
          <w:b/>
          <w:color w:val="000000"/>
          <w:sz w:val="28"/>
          <w:szCs w:val="28"/>
        </w:rPr>
        <w:t>руднощі</w:t>
      </w:r>
      <w:r w:rsidR="005D146F" w:rsidRPr="0078696C">
        <w:rPr>
          <w:rFonts w:ascii="Times New Roman" w:hAnsi="Times New Roman"/>
          <w:b/>
          <w:color w:val="000000"/>
          <w:sz w:val="28"/>
          <w:szCs w:val="28"/>
        </w:rPr>
        <w:t xml:space="preserve"> впровадження пенсійної</w:t>
      </w:r>
      <w:r w:rsidR="00795E62" w:rsidRPr="0078696C">
        <w:rPr>
          <w:rFonts w:ascii="Times New Roman" w:hAnsi="Times New Roman"/>
          <w:b/>
          <w:color w:val="000000"/>
          <w:sz w:val="28"/>
          <w:szCs w:val="28"/>
        </w:rPr>
        <w:t xml:space="preserve"> реформ</w:t>
      </w:r>
      <w:r w:rsidR="005D146F" w:rsidRPr="0078696C">
        <w:rPr>
          <w:rFonts w:ascii="Times New Roman" w:hAnsi="Times New Roman"/>
          <w:b/>
          <w:color w:val="000000"/>
          <w:sz w:val="28"/>
          <w:szCs w:val="28"/>
        </w:rPr>
        <w:t>и</w:t>
      </w:r>
      <w:r w:rsidR="00795E62" w:rsidRPr="0078696C">
        <w:rPr>
          <w:rFonts w:ascii="Times New Roman" w:hAnsi="Times New Roman"/>
          <w:b/>
          <w:color w:val="000000"/>
          <w:sz w:val="28"/>
          <w:szCs w:val="28"/>
        </w:rPr>
        <w:t xml:space="preserve"> в Україні</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 сьогодні із трьох задекларованих рівнів пенсійної системи (солідарного, накопичувального та недержавного пенсійного забезпечення) в Україні загальнопоширеною та обов’язковою залишається винятково солідарна пенсійна система. Накопичувальний (другий обов’язковий) рівень української пенсійної системи, який повинен був бути введений відповідно до Закону </w:t>
      </w:r>
      <w:r w:rsidRPr="0078696C">
        <w:rPr>
          <w:rFonts w:ascii="Times New Roman" w:hAnsi="Times New Roman"/>
          <w:color w:val="000000"/>
          <w:sz w:val="28"/>
          <w:szCs w:val="28"/>
        </w:rPr>
        <w:lastRenderedPageBreak/>
        <w:t xml:space="preserve">України «Про внесення змін до деяких законодавчих актів України щодо підвищення пенсій» з 01.01.2019 р. </w:t>
      </w:r>
      <w:r w:rsidRPr="0078696C">
        <w:rPr>
          <w:rFonts w:ascii="Times New Roman" w:hAnsi="Times New Roman"/>
          <w:color w:val="000000"/>
          <w:sz w:val="28"/>
          <w:szCs w:val="28"/>
          <w:vertAlign w:val="superscript"/>
        </w:rPr>
        <w:footnoteReference w:id="208"/>
      </w:r>
      <w:r w:rsidRPr="0078696C">
        <w:rPr>
          <w:rFonts w:ascii="Times New Roman" w:hAnsi="Times New Roman"/>
          <w:color w:val="000000"/>
          <w:sz w:val="28"/>
          <w:szCs w:val="28"/>
        </w:rPr>
        <w:t xml:space="preserve"> досі залишається тільки проектом.</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Про чергове відтермінування було повідомлено міністром соціальної політики Андрієм Ревою на засіданні уряду 14 листопада 2018 року та запропоновано внести відповідні зміни до Закону</w:t>
      </w:r>
      <w:r w:rsidR="00860382" w:rsidRPr="0078696C">
        <w:rPr>
          <w:rStyle w:val="a8"/>
          <w:rFonts w:ascii="Times New Roman" w:hAnsi="Times New Roman"/>
          <w:color w:val="000000"/>
          <w:sz w:val="28"/>
          <w:szCs w:val="28"/>
        </w:rPr>
        <w:footnoteReference w:id="209"/>
      </w:r>
      <w:r w:rsidR="00860382" w:rsidRPr="0078696C">
        <w:rPr>
          <w:rFonts w:ascii="Times New Roman" w:hAnsi="Times New Roman"/>
          <w:color w:val="000000"/>
          <w:sz w:val="28"/>
          <w:szCs w:val="28"/>
        </w:rPr>
        <w:t>.</w:t>
      </w:r>
      <w:r w:rsidRPr="0078696C">
        <w:rPr>
          <w:rFonts w:ascii="Times New Roman" w:hAnsi="Times New Roman"/>
          <w:color w:val="000000"/>
          <w:sz w:val="28"/>
          <w:szCs w:val="28"/>
        </w:rPr>
        <w:t xml:space="preserve"> Згідно з документом</w:t>
      </w:r>
      <w:r w:rsidR="00860382" w:rsidRPr="0078696C">
        <w:rPr>
          <w:rStyle w:val="a8"/>
          <w:rFonts w:ascii="Times New Roman" w:hAnsi="Times New Roman"/>
          <w:color w:val="000000"/>
          <w:sz w:val="28"/>
          <w:szCs w:val="28"/>
        </w:rPr>
        <w:footnoteReference w:id="210"/>
      </w:r>
      <w:r w:rsidRPr="0078696C">
        <w:rPr>
          <w:rFonts w:ascii="Times New Roman" w:hAnsi="Times New Roman"/>
          <w:color w:val="000000"/>
          <w:sz w:val="28"/>
          <w:szCs w:val="28"/>
        </w:rPr>
        <w:t>, перерахування страхових внесків до накопичувальної системи пенсійного страхування запроваджується з 1 січня 2020 року замість 1 січня 2019 року. Учасниками накопичувальної системи пенсійного страхування є особи, які за станом на 1 січня 2020 року будуть підлягати загальнообов'язковому державному пенсійному страхуванню відповідно до цього закону, що діє. Застраховані особи, яким на 1 січня 2020 року (раніше 2019 року) залишиться менше 10 років до досягнення пенсійного віку, матимуть право прийняти рішення не сплачувати страхові внески до накопичувальної системи пенсійного страхування. Особи, які досягли пенсійного віку, не можуть бути платниками страхових внесків до Накопичувального фонду</w:t>
      </w:r>
      <w:r w:rsidR="00EF3700" w:rsidRPr="0078696C">
        <w:rPr>
          <w:rFonts w:ascii="Times New Roman" w:hAnsi="Times New Roman"/>
          <w:color w:val="000000"/>
          <w:sz w:val="28"/>
          <w:szCs w:val="28"/>
          <w:vertAlign w:val="superscript"/>
        </w:rPr>
        <w:footnoteReference w:id="211"/>
      </w:r>
      <w:r w:rsidR="005D146F"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Загальна кількість учасників недержавних пенсійних фондів (далі – НПФ) станом на 30.06.2018</w:t>
      </w:r>
      <w:r w:rsidR="005D146F" w:rsidRPr="0078696C">
        <w:rPr>
          <w:rFonts w:ascii="Times New Roman" w:hAnsi="Times New Roman"/>
          <w:color w:val="000000"/>
          <w:sz w:val="28"/>
          <w:szCs w:val="28"/>
        </w:rPr>
        <w:t xml:space="preserve"> р. становила 846,2 тис. осіб, </w:t>
      </w:r>
      <w:r w:rsidRPr="0078696C">
        <w:rPr>
          <w:rFonts w:ascii="Times New Roman" w:hAnsi="Times New Roman"/>
          <w:color w:val="000000"/>
          <w:sz w:val="28"/>
          <w:szCs w:val="28"/>
        </w:rPr>
        <w:t xml:space="preserve">а загальна вартість активів НПФ – 2536,7 млн. грн. </w:t>
      </w:r>
      <w:r w:rsidRPr="0078696C">
        <w:rPr>
          <w:rFonts w:ascii="Times New Roman" w:hAnsi="Times New Roman"/>
          <w:color w:val="000000"/>
          <w:sz w:val="28"/>
          <w:szCs w:val="28"/>
          <w:vertAlign w:val="superscript"/>
        </w:rPr>
        <w:footnoteReference w:id="212"/>
      </w:r>
      <w:r w:rsidRPr="0078696C">
        <w:rPr>
          <w:rFonts w:ascii="Times New Roman" w:hAnsi="Times New Roman"/>
          <w:color w:val="000000"/>
          <w:sz w:val="28"/>
          <w:szCs w:val="28"/>
        </w:rPr>
        <w:t>, що свідчить про неістотність недержавного сегменту в системі пенсійного забезпечення громадян України.</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 огляду на зазначене, сучасна система пенсійного забезпечення України і досі залишається солідарною, а основними видами пенсій, що призначаються у цій системі, як і раніше, залишаються: пенсії за віком, по інвалідності, в зв’язку </w:t>
      </w:r>
      <w:r w:rsidR="00E2656F">
        <w:rPr>
          <w:rFonts w:ascii="Times New Roman" w:hAnsi="Times New Roman"/>
          <w:color w:val="000000"/>
          <w:sz w:val="28"/>
          <w:szCs w:val="28"/>
        </w:rPr>
        <w:lastRenderedPageBreak/>
        <w:t>з втратою годувальника (</w:t>
      </w:r>
      <w:r w:rsidRPr="0078696C">
        <w:rPr>
          <w:rFonts w:ascii="Times New Roman" w:hAnsi="Times New Roman"/>
          <w:color w:val="000000"/>
          <w:sz w:val="28"/>
          <w:szCs w:val="28"/>
        </w:rPr>
        <w:t xml:space="preserve">ч. </w:t>
      </w:r>
      <w:r w:rsidR="00132764" w:rsidRPr="0078696C">
        <w:rPr>
          <w:rFonts w:ascii="Times New Roman" w:hAnsi="Times New Roman"/>
          <w:color w:val="000000"/>
          <w:sz w:val="28"/>
          <w:szCs w:val="28"/>
        </w:rPr>
        <w:t>1 ст. 9 Закону України «Про загальнообов’язкове державне пенсійне страхування</w:t>
      </w:r>
      <w:r w:rsidRPr="0078696C">
        <w:rPr>
          <w:rFonts w:ascii="Times New Roman" w:hAnsi="Times New Roman"/>
          <w:color w:val="000000"/>
          <w:sz w:val="28"/>
          <w:szCs w:val="28"/>
        </w:rPr>
        <w:t xml:space="preserve">») </w:t>
      </w:r>
      <w:r w:rsidRPr="0078696C">
        <w:rPr>
          <w:rFonts w:ascii="Times New Roman" w:hAnsi="Times New Roman"/>
          <w:color w:val="000000"/>
          <w:sz w:val="28"/>
          <w:szCs w:val="28"/>
          <w:vertAlign w:val="superscript"/>
        </w:rPr>
        <w:footnoteReference w:id="213"/>
      </w:r>
      <w:r w:rsidRPr="0078696C">
        <w:rPr>
          <w:rFonts w:ascii="Times New Roman" w:hAnsi="Times New Roman"/>
          <w:color w:val="000000"/>
          <w:sz w:val="28"/>
          <w:szCs w:val="28"/>
        </w:rPr>
        <w:t>.</w:t>
      </w:r>
    </w:p>
    <w:p w:rsidR="00FC05C5" w:rsidRPr="0078696C" w:rsidRDefault="00795E62" w:rsidP="00545683">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Станом на 01.01.20</w:t>
      </w:r>
      <w:r w:rsidR="00233974" w:rsidRPr="0078696C">
        <w:rPr>
          <w:rFonts w:ascii="Times New Roman" w:hAnsi="Times New Roman"/>
          <w:color w:val="000000"/>
          <w:sz w:val="28"/>
          <w:szCs w:val="28"/>
        </w:rPr>
        <w:t>19 р. в Україні налічувалося 11470</w:t>
      </w:r>
      <w:r w:rsidRPr="0078696C">
        <w:rPr>
          <w:rFonts w:ascii="Times New Roman" w:hAnsi="Times New Roman"/>
          <w:color w:val="000000"/>
          <w:sz w:val="28"/>
          <w:szCs w:val="28"/>
        </w:rPr>
        <w:t xml:space="preserve">405 пенсіонерів, з яких 8693013 – пенсіонери за віком (в тому числі і за нормами спеціального законодавства), 1370249 – по інвалідності, 553958 – пенсії військовослужбовців, 536132 – отримувачі пенсії в зв’язку з втратою годувальника, 229732 – за вислугою років, 84027 – соціальні пенсії, 3294 – особи, які отримують довічне грошове утримання суддів </w:t>
      </w:r>
      <w:r w:rsidRPr="0078696C">
        <w:rPr>
          <w:rFonts w:ascii="Times New Roman" w:hAnsi="Times New Roman"/>
          <w:color w:val="000000"/>
          <w:sz w:val="28"/>
          <w:szCs w:val="28"/>
          <w:vertAlign w:val="superscript"/>
        </w:rPr>
        <w:footnoteReference w:id="214"/>
      </w:r>
      <w:r w:rsidR="00545683"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center"/>
        <w:rPr>
          <w:rFonts w:ascii="Times New Roman" w:hAnsi="Times New Roman"/>
          <w:b/>
          <w:color w:val="000000"/>
          <w:sz w:val="28"/>
          <w:szCs w:val="28"/>
        </w:rPr>
      </w:pPr>
      <w:r w:rsidRPr="0078696C">
        <w:rPr>
          <w:rFonts w:ascii="Times New Roman" w:hAnsi="Times New Roman"/>
          <w:b/>
          <w:color w:val="000000"/>
          <w:sz w:val="28"/>
          <w:szCs w:val="28"/>
        </w:rPr>
        <w:t xml:space="preserve">Таблиця 2.1 </w:t>
      </w:r>
      <w:r w:rsidR="003B23B8" w:rsidRPr="0078696C">
        <w:rPr>
          <w:rFonts w:ascii="Times New Roman" w:hAnsi="Times New Roman"/>
          <w:b/>
          <w:color w:val="000000"/>
          <w:sz w:val="28"/>
          <w:szCs w:val="28"/>
        </w:rPr>
        <w:t>Розподіл пенсіонерів за видами пенсій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1373"/>
        <w:gridCol w:w="1095"/>
        <w:gridCol w:w="1095"/>
        <w:gridCol w:w="1095"/>
        <w:gridCol w:w="1095"/>
        <w:gridCol w:w="1095"/>
        <w:gridCol w:w="1095"/>
        <w:gridCol w:w="1095"/>
      </w:tblGrid>
      <w:tr w:rsidR="00795E62" w:rsidRPr="0078696C" w:rsidTr="00006FD0">
        <w:trPr>
          <w:trHeight w:val="2480"/>
        </w:trPr>
        <w:tc>
          <w:tcPr>
            <w:tcW w:w="817"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p>
        </w:tc>
        <w:tc>
          <w:tcPr>
            <w:tcW w:w="1373"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 xml:space="preserve">Загальна чисель-ність </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За віком</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По інвалідності</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 зв’язку з втра-тою го-дувальника</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Військові пенсіо-нери</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Вислуга років</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Соціальні пенсії</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Судді</w:t>
            </w:r>
          </w:p>
        </w:tc>
      </w:tr>
      <w:tr w:rsidR="00795E62" w:rsidRPr="0078696C" w:rsidTr="00006FD0">
        <w:tc>
          <w:tcPr>
            <w:tcW w:w="817" w:type="dxa"/>
            <w:shd w:val="clear" w:color="auto" w:fill="auto"/>
          </w:tcPr>
          <w:p w:rsidR="00795E62" w:rsidRPr="0078696C" w:rsidRDefault="00736493"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На 01.01.</w:t>
            </w:r>
            <w:r w:rsidR="00795E62" w:rsidRPr="0078696C">
              <w:rPr>
                <w:rFonts w:ascii="Times New Roman" w:hAnsi="Times New Roman"/>
                <w:color w:val="000000"/>
                <w:sz w:val="24"/>
                <w:szCs w:val="24"/>
              </w:rPr>
              <w:t>2018</w:t>
            </w:r>
          </w:p>
        </w:tc>
        <w:tc>
          <w:tcPr>
            <w:tcW w:w="1373"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11725370</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8922541</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1360957</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554565</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555048</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239439</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89712</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3108</w:t>
            </w:r>
          </w:p>
        </w:tc>
      </w:tr>
      <w:tr w:rsidR="00767F98" w:rsidRPr="0078696C" w:rsidTr="00006FD0">
        <w:tc>
          <w:tcPr>
            <w:tcW w:w="817" w:type="dxa"/>
            <w:shd w:val="clear" w:color="auto" w:fill="auto"/>
          </w:tcPr>
          <w:p w:rsidR="00767F98" w:rsidRPr="0078696C" w:rsidRDefault="009B05DC"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Питома вага</w:t>
            </w:r>
          </w:p>
        </w:tc>
        <w:tc>
          <w:tcPr>
            <w:tcW w:w="1373" w:type="dxa"/>
            <w:shd w:val="clear" w:color="auto" w:fill="auto"/>
          </w:tcPr>
          <w:p w:rsidR="00767F98" w:rsidRPr="0078696C" w:rsidRDefault="00767F9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100 %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76,1 %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11,6 %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4,73 %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4,73 %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2,04 %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0,77 %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0,03 %</w:t>
            </w:r>
          </w:p>
        </w:tc>
      </w:tr>
      <w:tr w:rsidR="00795E62" w:rsidRPr="0078696C" w:rsidTr="00006FD0">
        <w:trPr>
          <w:trHeight w:val="849"/>
        </w:trPr>
        <w:tc>
          <w:tcPr>
            <w:tcW w:w="817" w:type="dxa"/>
            <w:shd w:val="clear" w:color="auto" w:fill="auto"/>
          </w:tcPr>
          <w:p w:rsidR="00795E62" w:rsidRPr="0078696C" w:rsidRDefault="00736493" w:rsidP="00736493">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 xml:space="preserve">На 01.01.2019 </w:t>
            </w:r>
          </w:p>
        </w:tc>
        <w:tc>
          <w:tcPr>
            <w:tcW w:w="1373"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11470405</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8693013</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1370249</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536132</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553958</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229732</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84027</w:t>
            </w:r>
          </w:p>
        </w:tc>
        <w:tc>
          <w:tcPr>
            <w:tcW w:w="1095" w:type="dxa"/>
            <w:shd w:val="clear" w:color="auto" w:fill="auto"/>
          </w:tcPr>
          <w:p w:rsidR="00795E62" w:rsidRPr="0078696C" w:rsidRDefault="00795E62"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3294</w:t>
            </w:r>
          </w:p>
        </w:tc>
      </w:tr>
      <w:tr w:rsidR="00767F98" w:rsidRPr="0078696C" w:rsidTr="00006FD0">
        <w:trPr>
          <w:trHeight w:val="849"/>
        </w:trPr>
        <w:tc>
          <w:tcPr>
            <w:tcW w:w="817" w:type="dxa"/>
            <w:shd w:val="clear" w:color="auto" w:fill="auto"/>
          </w:tcPr>
          <w:p w:rsidR="00767F98" w:rsidRPr="0078696C" w:rsidRDefault="006B77C5" w:rsidP="00736493">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Питома вага</w:t>
            </w:r>
          </w:p>
        </w:tc>
        <w:tc>
          <w:tcPr>
            <w:tcW w:w="1373" w:type="dxa"/>
            <w:shd w:val="clear" w:color="auto" w:fill="auto"/>
          </w:tcPr>
          <w:p w:rsidR="00767F98" w:rsidRPr="0078696C" w:rsidRDefault="0005511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100 %</w:t>
            </w:r>
          </w:p>
        </w:tc>
        <w:tc>
          <w:tcPr>
            <w:tcW w:w="1095" w:type="dxa"/>
            <w:shd w:val="clear" w:color="auto" w:fill="auto"/>
          </w:tcPr>
          <w:p w:rsidR="00767F98" w:rsidRPr="0078696C" w:rsidRDefault="0005511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75,79</w:t>
            </w:r>
          </w:p>
        </w:tc>
        <w:tc>
          <w:tcPr>
            <w:tcW w:w="1095" w:type="dxa"/>
            <w:shd w:val="clear" w:color="auto" w:fill="auto"/>
          </w:tcPr>
          <w:p w:rsidR="00767F98" w:rsidRPr="0078696C" w:rsidRDefault="0005511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11,95 %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4,67 %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4,83 %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0,73 %</w:t>
            </w:r>
          </w:p>
        </w:tc>
        <w:tc>
          <w:tcPr>
            <w:tcW w:w="1095" w:type="dxa"/>
            <w:shd w:val="clear" w:color="auto" w:fill="auto"/>
          </w:tcPr>
          <w:p w:rsidR="00767F98" w:rsidRPr="0078696C" w:rsidRDefault="00AB6828" w:rsidP="00795E62">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0,03 %</w:t>
            </w:r>
          </w:p>
        </w:tc>
      </w:tr>
    </w:tbl>
    <w:p w:rsidR="00CF067F" w:rsidRDefault="00E2656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CF067F">
        <w:rPr>
          <w:rFonts w:ascii="Times New Roman" w:hAnsi="Times New Roman"/>
          <w:color w:val="000000"/>
          <w:sz w:val="28"/>
          <w:szCs w:val="28"/>
          <w:lang w:val="ru-RU"/>
        </w:rPr>
        <w:t>[</w:t>
      </w:r>
      <w:r w:rsidR="00CF067F">
        <w:rPr>
          <w:rFonts w:ascii="Times New Roman" w:hAnsi="Times New Roman"/>
          <w:color w:val="000000"/>
          <w:sz w:val="28"/>
          <w:szCs w:val="28"/>
          <w:lang w:val="ru-RU"/>
        </w:rPr>
        <w:t xml:space="preserve">складено автором на основі статистичних </w:t>
      </w:r>
    </w:p>
    <w:p w:rsidR="00FC05C5" w:rsidRP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lang w:val="ru-RU"/>
        </w:rPr>
        <w:t>відомостей, розміщених на сайті ПФУ</w:t>
      </w:r>
      <w:r w:rsidR="00E2656F" w:rsidRPr="00CF067F">
        <w:rPr>
          <w:rFonts w:ascii="Times New Roman" w:hAnsi="Times New Roman"/>
          <w:color w:val="000000"/>
          <w:sz w:val="28"/>
          <w:szCs w:val="28"/>
          <w:lang w:val="ru-RU"/>
        </w:rPr>
        <w:t>]</w:t>
      </w:r>
    </w:p>
    <w:p w:rsidR="005D146F" w:rsidRPr="0078696C" w:rsidRDefault="005D146F" w:rsidP="00055118">
      <w:pPr>
        <w:spacing w:line="360" w:lineRule="auto"/>
        <w:contextualSpacing/>
        <w:jc w:val="center"/>
        <w:rPr>
          <w:rFonts w:ascii="Times New Roman" w:hAnsi="Times New Roman"/>
          <w:color w:val="000000"/>
          <w:sz w:val="28"/>
          <w:szCs w:val="28"/>
        </w:rPr>
      </w:pPr>
    </w:p>
    <w:p w:rsidR="005D146F" w:rsidRPr="0078696C" w:rsidRDefault="005D146F" w:rsidP="00055118">
      <w:pPr>
        <w:spacing w:line="360" w:lineRule="auto"/>
        <w:contextualSpacing/>
        <w:jc w:val="center"/>
        <w:rPr>
          <w:rFonts w:ascii="Times New Roman" w:hAnsi="Times New Roman"/>
          <w:color w:val="000000"/>
          <w:sz w:val="28"/>
          <w:szCs w:val="28"/>
        </w:rPr>
      </w:pPr>
    </w:p>
    <w:p w:rsidR="005D146F" w:rsidRPr="0078696C" w:rsidRDefault="005D146F" w:rsidP="00055118">
      <w:pPr>
        <w:spacing w:line="360" w:lineRule="auto"/>
        <w:contextualSpacing/>
        <w:jc w:val="center"/>
        <w:rPr>
          <w:rFonts w:ascii="Times New Roman" w:hAnsi="Times New Roman"/>
          <w:color w:val="000000"/>
          <w:sz w:val="28"/>
          <w:szCs w:val="28"/>
        </w:rPr>
      </w:pPr>
    </w:p>
    <w:p w:rsidR="005D146F" w:rsidRPr="0078696C" w:rsidRDefault="005D146F" w:rsidP="00055118">
      <w:pPr>
        <w:spacing w:line="360" w:lineRule="auto"/>
        <w:contextualSpacing/>
        <w:jc w:val="center"/>
        <w:rPr>
          <w:rFonts w:ascii="Times New Roman" w:hAnsi="Times New Roman"/>
          <w:color w:val="000000"/>
          <w:sz w:val="28"/>
          <w:szCs w:val="28"/>
        </w:rPr>
      </w:pPr>
    </w:p>
    <w:p w:rsidR="005D146F" w:rsidRPr="0078696C" w:rsidRDefault="005D146F" w:rsidP="00055118">
      <w:pPr>
        <w:spacing w:line="360" w:lineRule="auto"/>
        <w:contextualSpacing/>
        <w:jc w:val="center"/>
        <w:rPr>
          <w:rFonts w:ascii="Times New Roman" w:hAnsi="Times New Roman"/>
          <w:color w:val="000000"/>
          <w:sz w:val="28"/>
          <w:szCs w:val="28"/>
        </w:rPr>
      </w:pPr>
    </w:p>
    <w:p w:rsidR="0067390F" w:rsidRPr="0078696C" w:rsidRDefault="005D146F" w:rsidP="005D146F">
      <w:pPr>
        <w:spacing w:line="360" w:lineRule="auto"/>
        <w:contextualSpacing/>
        <w:rPr>
          <w:rFonts w:ascii="Times New Roman" w:hAnsi="Times New Roman"/>
          <w:color w:val="000000"/>
          <w:sz w:val="28"/>
          <w:szCs w:val="28"/>
        </w:rPr>
      </w:pPr>
      <w:r w:rsidRPr="0078696C">
        <w:rPr>
          <w:rFonts w:ascii="Times New Roman" w:hAnsi="Times New Roman"/>
          <w:color w:val="000000"/>
          <w:sz w:val="28"/>
          <w:szCs w:val="28"/>
        </w:rPr>
        <w:br w:type="page"/>
      </w:r>
      <w:r w:rsidR="0067390F" w:rsidRPr="0078696C">
        <w:rPr>
          <w:rFonts w:ascii="Times New Roman" w:hAnsi="Times New Roman"/>
          <w:b/>
          <w:color w:val="000000"/>
          <w:sz w:val="28"/>
          <w:szCs w:val="28"/>
        </w:rPr>
        <w:lastRenderedPageBreak/>
        <w:t>Таблиця 2.2 Середній розмір пенсії за видами пенсійного забезпечення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1373"/>
        <w:gridCol w:w="1095"/>
        <w:gridCol w:w="1095"/>
        <w:gridCol w:w="1095"/>
        <w:gridCol w:w="1095"/>
        <w:gridCol w:w="1095"/>
        <w:gridCol w:w="1095"/>
        <w:gridCol w:w="1129"/>
      </w:tblGrid>
      <w:tr w:rsidR="0067390F" w:rsidRPr="0078696C" w:rsidTr="004E272B">
        <w:trPr>
          <w:trHeight w:val="2480"/>
        </w:trPr>
        <w:tc>
          <w:tcPr>
            <w:tcW w:w="817"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p>
        </w:tc>
        <w:tc>
          <w:tcPr>
            <w:tcW w:w="1373"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Середній розмір пенсійної виплати</w:t>
            </w:r>
            <w:r w:rsidR="00CD133D" w:rsidRPr="0078696C">
              <w:rPr>
                <w:rFonts w:ascii="Times New Roman" w:hAnsi="Times New Roman"/>
                <w:color w:val="000000"/>
                <w:sz w:val="24"/>
                <w:szCs w:val="24"/>
              </w:rPr>
              <w:t>, грн.</w:t>
            </w:r>
          </w:p>
        </w:tc>
        <w:tc>
          <w:tcPr>
            <w:tcW w:w="1095"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За віком</w:t>
            </w:r>
          </w:p>
        </w:tc>
        <w:tc>
          <w:tcPr>
            <w:tcW w:w="1095"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По інвалідності</w:t>
            </w:r>
          </w:p>
        </w:tc>
        <w:tc>
          <w:tcPr>
            <w:tcW w:w="1095"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 зв’язку з втра-тою го-дувальника</w:t>
            </w:r>
          </w:p>
        </w:tc>
        <w:tc>
          <w:tcPr>
            <w:tcW w:w="1095"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Військові пенсіо-нери</w:t>
            </w:r>
          </w:p>
        </w:tc>
        <w:tc>
          <w:tcPr>
            <w:tcW w:w="1095"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Вислуга років</w:t>
            </w:r>
          </w:p>
        </w:tc>
        <w:tc>
          <w:tcPr>
            <w:tcW w:w="1095"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Соціальні пенсії</w:t>
            </w:r>
          </w:p>
        </w:tc>
        <w:tc>
          <w:tcPr>
            <w:tcW w:w="1129" w:type="dxa"/>
            <w:shd w:val="clear" w:color="auto" w:fill="auto"/>
          </w:tcPr>
          <w:p w:rsidR="0067390F" w:rsidRPr="0078696C" w:rsidRDefault="0067390F"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Судді</w:t>
            </w:r>
          </w:p>
        </w:tc>
      </w:tr>
      <w:tr w:rsidR="0067390F" w:rsidRPr="0078696C" w:rsidTr="004E272B">
        <w:tc>
          <w:tcPr>
            <w:tcW w:w="817" w:type="dxa"/>
            <w:shd w:val="clear" w:color="auto" w:fill="auto"/>
          </w:tcPr>
          <w:p w:rsidR="0067390F" w:rsidRPr="0078696C" w:rsidRDefault="00055118"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На 01.01.2018</w:t>
            </w:r>
          </w:p>
        </w:tc>
        <w:tc>
          <w:tcPr>
            <w:tcW w:w="1373" w:type="dxa"/>
            <w:shd w:val="clear" w:color="auto" w:fill="auto"/>
          </w:tcPr>
          <w:p w:rsidR="0067390F" w:rsidRPr="0078696C" w:rsidRDefault="00767F98"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2479,15</w:t>
            </w:r>
          </w:p>
        </w:tc>
        <w:tc>
          <w:tcPr>
            <w:tcW w:w="1095" w:type="dxa"/>
            <w:shd w:val="clear" w:color="auto" w:fill="auto"/>
          </w:tcPr>
          <w:p w:rsidR="0067390F" w:rsidRPr="0078696C" w:rsidRDefault="00767F98"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w:t>
            </w:r>
            <w:r w:rsidR="006B77C5" w:rsidRPr="0078696C">
              <w:rPr>
                <w:rFonts w:ascii="Times New Roman" w:hAnsi="Times New Roman"/>
                <w:color w:val="000000"/>
                <w:sz w:val="24"/>
                <w:szCs w:val="24"/>
              </w:rPr>
              <w:t>556,88</w:t>
            </w:r>
          </w:p>
        </w:tc>
        <w:tc>
          <w:tcPr>
            <w:tcW w:w="1095" w:type="dxa"/>
            <w:shd w:val="clear" w:color="auto" w:fill="auto"/>
          </w:tcPr>
          <w:p w:rsidR="0067390F" w:rsidRPr="0078696C" w:rsidRDefault="006B77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1952,12</w:t>
            </w:r>
          </w:p>
        </w:tc>
        <w:tc>
          <w:tcPr>
            <w:tcW w:w="1095" w:type="dxa"/>
            <w:shd w:val="clear" w:color="auto" w:fill="auto"/>
          </w:tcPr>
          <w:p w:rsidR="0067390F" w:rsidRPr="0078696C" w:rsidRDefault="006B77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2209,46</w:t>
            </w:r>
          </w:p>
        </w:tc>
        <w:tc>
          <w:tcPr>
            <w:tcW w:w="1095" w:type="dxa"/>
            <w:shd w:val="clear" w:color="auto" w:fill="auto"/>
          </w:tcPr>
          <w:p w:rsidR="0067390F" w:rsidRPr="0078696C" w:rsidRDefault="006B77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2898,41</w:t>
            </w:r>
          </w:p>
        </w:tc>
        <w:tc>
          <w:tcPr>
            <w:tcW w:w="1095" w:type="dxa"/>
            <w:shd w:val="clear" w:color="auto" w:fill="auto"/>
          </w:tcPr>
          <w:p w:rsidR="0067390F" w:rsidRPr="0078696C" w:rsidRDefault="006B77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2335,09</w:t>
            </w:r>
          </w:p>
        </w:tc>
        <w:tc>
          <w:tcPr>
            <w:tcW w:w="1095" w:type="dxa"/>
            <w:shd w:val="clear" w:color="auto" w:fill="auto"/>
          </w:tcPr>
          <w:p w:rsidR="0067390F" w:rsidRPr="0078696C" w:rsidRDefault="006B77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1450,56</w:t>
            </w:r>
          </w:p>
        </w:tc>
        <w:tc>
          <w:tcPr>
            <w:tcW w:w="1129" w:type="dxa"/>
            <w:shd w:val="clear" w:color="auto" w:fill="auto"/>
          </w:tcPr>
          <w:p w:rsidR="0067390F" w:rsidRPr="0078696C" w:rsidRDefault="006B77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24772,27</w:t>
            </w:r>
          </w:p>
        </w:tc>
      </w:tr>
      <w:tr w:rsidR="0067390F" w:rsidRPr="0078696C" w:rsidTr="004E272B">
        <w:trPr>
          <w:trHeight w:val="849"/>
        </w:trPr>
        <w:tc>
          <w:tcPr>
            <w:tcW w:w="817" w:type="dxa"/>
            <w:shd w:val="clear" w:color="auto" w:fill="auto"/>
          </w:tcPr>
          <w:p w:rsidR="0067390F" w:rsidRPr="0078696C" w:rsidRDefault="00055118"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На 01.01.</w:t>
            </w:r>
            <w:r w:rsidR="0067390F" w:rsidRPr="0078696C">
              <w:rPr>
                <w:rFonts w:ascii="Times New Roman" w:hAnsi="Times New Roman"/>
                <w:color w:val="000000"/>
                <w:sz w:val="24"/>
                <w:szCs w:val="24"/>
              </w:rPr>
              <w:t>2019</w:t>
            </w:r>
          </w:p>
        </w:tc>
        <w:tc>
          <w:tcPr>
            <w:tcW w:w="1373" w:type="dxa"/>
            <w:shd w:val="clear" w:color="auto" w:fill="auto"/>
          </w:tcPr>
          <w:p w:rsidR="0067390F" w:rsidRPr="0078696C" w:rsidRDefault="0047331E"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2645,66</w:t>
            </w:r>
          </w:p>
        </w:tc>
        <w:tc>
          <w:tcPr>
            <w:tcW w:w="1095"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2648,24</w:t>
            </w:r>
          </w:p>
        </w:tc>
        <w:tc>
          <w:tcPr>
            <w:tcW w:w="1095"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1994,94</w:t>
            </w:r>
          </w:p>
        </w:tc>
        <w:tc>
          <w:tcPr>
            <w:tcW w:w="1095"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2254,57</w:t>
            </w:r>
          </w:p>
        </w:tc>
        <w:tc>
          <w:tcPr>
            <w:tcW w:w="1095"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4682,05</w:t>
            </w:r>
          </w:p>
        </w:tc>
        <w:tc>
          <w:tcPr>
            <w:tcW w:w="1095"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2476,92</w:t>
            </w:r>
          </w:p>
        </w:tc>
        <w:tc>
          <w:tcPr>
            <w:tcW w:w="1095"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1499,59</w:t>
            </w:r>
          </w:p>
        </w:tc>
        <w:tc>
          <w:tcPr>
            <w:tcW w:w="1129" w:type="dxa"/>
            <w:shd w:val="clear" w:color="auto" w:fill="auto"/>
          </w:tcPr>
          <w:p w:rsidR="0067390F" w:rsidRPr="0078696C" w:rsidRDefault="004E272B"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28702,37</w:t>
            </w:r>
          </w:p>
        </w:tc>
      </w:tr>
      <w:tr w:rsidR="00055118" w:rsidRPr="0078696C" w:rsidTr="004E272B">
        <w:trPr>
          <w:trHeight w:val="849"/>
        </w:trPr>
        <w:tc>
          <w:tcPr>
            <w:tcW w:w="817" w:type="dxa"/>
            <w:shd w:val="clear" w:color="auto" w:fill="auto"/>
          </w:tcPr>
          <w:p w:rsidR="00055118" w:rsidRPr="0078696C" w:rsidRDefault="00055118"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 зрос-тання</w:t>
            </w:r>
          </w:p>
        </w:tc>
        <w:tc>
          <w:tcPr>
            <w:tcW w:w="1373" w:type="dxa"/>
            <w:shd w:val="clear" w:color="auto" w:fill="auto"/>
          </w:tcPr>
          <w:p w:rsidR="00055118" w:rsidRPr="0078696C" w:rsidRDefault="00E06DC1"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6,72 %</w:t>
            </w:r>
          </w:p>
        </w:tc>
        <w:tc>
          <w:tcPr>
            <w:tcW w:w="1095" w:type="dxa"/>
            <w:shd w:val="clear" w:color="auto" w:fill="auto"/>
          </w:tcPr>
          <w:p w:rsidR="00055118" w:rsidRPr="0078696C" w:rsidRDefault="00E06DC1"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3,57 %</w:t>
            </w:r>
          </w:p>
        </w:tc>
        <w:tc>
          <w:tcPr>
            <w:tcW w:w="1095" w:type="dxa"/>
            <w:shd w:val="clear" w:color="auto" w:fill="auto"/>
          </w:tcPr>
          <w:p w:rsidR="00055118" w:rsidRPr="0078696C" w:rsidRDefault="00E06DC1"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2,19 %</w:t>
            </w:r>
          </w:p>
        </w:tc>
        <w:tc>
          <w:tcPr>
            <w:tcW w:w="1095" w:type="dxa"/>
            <w:shd w:val="clear" w:color="auto" w:fill="auto"/>
          </w:tcPr>
          <w:p w:rsidR="00055118" w:rsidRPr="0078696C" w:rsidRDefault="00E06DC1"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2,04 %</w:t>
            </w:r>
          </w:p>
        </w:tc>
        <w:tc>
          <w:tcPr>
            <w:tcW w:w="1095" w:type="dxa"/>
            <w:shd w:val="clear" w:color="auto" w:fill="auto"/>
          </w:tcPr>
          <w:p w:rsidR="00055118" w:rsidRPr="0078696C" w:rsidRDefault="00E06DC1"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61,54 %</w:t>
            </w:r>
          </w:p>
        </w:tc>
        <w:tc>
          <w:tcPr>
            <w:tcW w:w="1095" w:type="dxa"/>
            <w:shd w:val="clear" w:color="auto" w:fill="auto"/>
          </w:tcPr>
          <w:p w:rsidR="00055118" w:rsidRPr="0078696C" w:rsidRDefault="00FC05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6,07 %</w:t>
            </w:r>
          </w:p>
        </w:tc>
        <w:tc>
          <w:tcPr>
            <w:tcW w:w="1095" w:type="dxa"/>
            <w:shd w:val="clear" w:color="auto" w:fill="auto"/>
          </w:tcPr>
          <w:p w:rsidR="00055118" w:rsidRPr="0078696C" w:rsidRDefault="00FC05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3,38 %</w:t>
            </w:r>
          </w:p>
        </w:tc>
        <w:tc>
          <w:tcPr>
            <w:tcW w:w="1129" w:type="dxa"/>
            <w:shd w:val="clear" w:color="auto" w:fill="auto"/>
          </w:tcPr>
          <w:p w:rsidR="00055118" w:rsidRPr="0078696C" w:rsidRDefault="00FC05C5" w:rsidP="00AB6828">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15,86 %</w:t>
            </w:r>
          </w:p>
        </w:tc>
      </w:tr>
    </w:tbl>
    <w:p w:rsid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CF067F">
        <w:rPr>
          <w:rFonts w:ascii="Times New Roman" w:hAnsi="Times New Roman"/>
          <w:color w:val="000000"/>
          <w:sz w:val="28"/>
          <w:szCs w:val="28"/>
          <w:lang w:val="ru-RU"/>
        </w:rPr>
        <w:t>[</w:t>
      </w:r>
      <w:r>
        <w:rPr>
          <w:rFonts w:ascii="Times New Roman" w:hAnsi="Times New Roman"/>
          <w:color w:val="000000"/>
          <w:sz w:val="28"/>
          <w:szCs w:val="28"/>
          <w:lang w:val="ru-RU"/>
        </w:rPr>
        <w:t xml:space="preserve">складено автором на основі статистичних </w:t>
      </w:r>
    </w:p>
    <w:p w:rsidR="00CF067F" w:rsidRP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lang w:val="ru-RU"/>
        </w:rPr>
        <w:t>відомостей, розміщених на сайті ПФУ</w:t>
      </w:r>
      <w:r w:rsidRPr="00CF067F">
        <w:rPr>
          <w:rFonts w:ascii="Times New Roman" w:hAnsi="Times New Roman"/>
          <w:color w:val="000000"/>
          <w:sz w:val="28"/>
          <w:szCs w:val="28"/>
          <w:lang w:val="ru-RU"/>
        </w:rPr>
        <w:t>]</w:t>
      </w:r>
    </w:p>
    <w:p w:rsidR="00B8427D" w:rsidRPr="0078696C" w:rsidRDefault="00B8427D" w:rsidP="00795E62">
      <w:pPr>
        <w:spacing w:line="360" w:lineRule="auto"/>
        <w:contextualSpacing/>
        <w:jc w:val="both"/>
        <w:rPr>
          <w:rFonts w:ascii="Times New Roman" w:hAnsi="Times New Roman"/>
          <w:i/>
          <w:color w:val="000000"/>
          <w:sz w:val="28"/>
          <w:szCs w:val="28"/>
        </w:rPr>
      </w:pPr>
    </w:p>
    <w:p w:rsidR="0067390F" w:rsidRPr="0078696C" w:rsidRDefault="00B8427D" w:rsidP="00B8427D">
      <w:pPr>
        <w:spacing w:line="360" w:lineRule="auto"/>
        <w:contextualSpacing/>
        <w:jc w:val="center"/>
        <w:rPr>
          <w:rFonts w:ascii="Times New Roman" w:hAnsi="Times New Roman"/>
          <w:b/>
          <w:color w:val="000000"/>
          <w:sz w:val="28"/>
          <w:szCs w:val="28"/>
        </w:rPr>
      </w:pPr>
      <w:r w:rsidRPr="0078696C">
        <w:rPr>
          <w:rFonts w:ascii="Times New Roman" w:hAnsi="Times New Roman"/>
          <w:b/>
          <w:color w:val="000000"/>
          <w:sz w:val="28"/>
          <w:szCs w:val="28"/>
        </w:rPr>
        <w:t>Таблиця 2.3 Видатки на виплату пенсій за видами пенсійного забезпечення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275"/>
        <w:gridCol w:w="909"/>
        <w:gridCol w:w="1095"/>
        <w:gridCol w:w="1257"/>
        <w:gridCol w:w="933"/>
        <w:gridCol w:w="1095"/>
        <w:gridCol w:w="1095"/>
        <w:gridCol w:w="1129"/>
      </w:tblGrid>
      <w:tr w:rsidR="00B8427D" w:rsidRPr="0078696C" w:rsidTr="005D146F">
        <w:trPr>
          <w:trHeight w:val="2480"/>
        </w:trPr>
        <w:tc>
          <w:tcPr>
            <w:tcW w:w="1101"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p>
        </w:tc>
        <w:tc>
          <w:tcPr>
            <w:tcW w:w="1275" w:type="dxa"/>
            <w:shd w:val="clear" w:color="auto" w:fill="auto"/>
          </w:tcPr>
          <w:p w:rsidR="00B8427D" w:rsidRPr="0078696C" w:rsidRDefault="00FC05C5"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Загальна сума видатків на виплату пенсій</w:t>
            </w:r>
          </w:p>
        </w:tc>
        <w:tc>
          <w:tcPr>
            <w:tcW w:w="909"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За віком</w:t>
            </w:r>
          </w:p>
        </w:tc>
        <w:tc>
          <w:tcPr>
            <w:tcW w:w="1095"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По інвалід</w:t>
            </w:r>
            <w:r w:rsidR="005D146F" w:rsidRPr="0078696C">
              <w:rPr>
                <w:rFonts w:ascii="Times New Roman" w:hAnsi="Times New Roman"/>
                <w:color w:val="000000"/>
                <w:sz w:val="24"/>
                <w:szCs w:val="24"/>
              </w:rPr>
              <w:t>-</w:t>
            </w:r>
            <w:r w:rsidRPr="0078696C">
              <w:rPr>
                <w:rFonts w:ascii="Times New Roman" w:hAnsi="Times New Roman"/>
                <w:color w:val="000000"/>
                <w:sz w:val="24"/>
                <w:szCs w:val="24"/>
              </w:rPr>
              <w:t>ності</w:t>
            </w:r>
          </w:p>
        </w:tc>
        <w:tc>
          <w:tcPr>
            <w:tcW w:w="1257" w:type="dxa"/>
            <w:shd w:val="clear" w:color="auto" w:fill="auto"/>
          </w:tcPr>
          <w:p w:rsidR="005D146F"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 xml:space="preserve">В зв’язку з втра-тою </w:t>
            </w:r>
          </w:p>
          <w:p w:rsidR="00B8427D" w:rsidRPr="0078696C" w:rsidRDefault="005D146F"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го</w:t>
            </w:r>
            <w:r w:rsidR="00B8427D" w:rsidRPr="0078696C">
              <w:rPr>
                <w:rFonts w:ascii="Times New Roman" w:hAnsi="Times New Roman"/>
                <w:color w:val="000000"/>
                <w:sz w:val="24"/>
                <w:szCs w:val="24"/>
              </w:rPr>
              <w:t>ду</w:t>
            </w:r>
            <w:r w:rsidRPr="0078696C">
              <w:rPr>
                <w:rFonts w:ascii="Times New Roman" w:hAnsi="Times New Roman"/>
                <w:color w:val="000000"/>
                <w:sz w:val="24"/>
                <w:szCs w:val="24"/>
              </w:rPr>
              <w:t>-</w:t>
            </w:r>
            <w:r w:rsidR="00B8427D" w:rsidRPr="0078696C">
              <w:rPr>
                <w:rFonts w:ascii="Times New Roman" w:hAnsi="Times New Roman"/>
                <w:color w:val="000000"/>
                <w:sz w:val="24"/>
                <w:szCs w:val="24"/>
              </w:rPr>
              <w:t>вальника</w:t>
            </w:r>
          </w:p>
        </w:tc>
        <w:tc>
          <w:tcPr>
            <w:tcW w:w="933"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Військові пенсіо-нери</w:t>
            </w:r>
          </w:p>
        </w:tc>
        <w:tc>
          <w:tcPr>
            <w:tcW w:w="1095"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Вислуга років</w:t>
            </w:r>
          </w:p>
        </w:tc>
        <w:tc>
          <w:tcPr>
            <w:tcW w:w="1095"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Соціальні пенсії</w:t>
            </w:r>
          </w:p>
        </w:tc>
        <w:tc>
          <w:tcPr>
            <w:tcW w:w="1129"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Судді</w:t>
            </w:r>
          </w:p>
        </w:tc>
      </w:tr>
      <w:tr w:rsidR="00B8427D" w:rsidRPr="0078696C" w:rsidTr="005D146F">
        <w:tc>
          <w:tcPr>
            <w:tcW w:w="1101"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На 01.01.2018</w:t>
            </w:r>
          </w:p>
        </w:tc>
        <w:tc>
          <w:tcPr>
            <w:tcW w:w="1275" w:type="dxa"/>
            <w:shd w:val="clear" w:color="auto" w:fill="auto"/>
          </w:tcPr>
          <w:p w:rsidR="00B8427D" w:rsidRPr="0078696C" w:rsidRDefault="00116F26" w:rsidP="0093279B">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29</w:t>
            </w:r>
            <w:r w:rsidR="0093279B" w:rsidRPr="0078696C">
              <w:rPr>
                <w:rFonts w:ascii="Times New Roman" w:hAnsi="Times New Roman"/>
                <w:color w:val="000000"/>
                <w:sz w:val="24"/>
                <w:szCs w:val="24"/>
              </w:rPr>
              <w:t>,069</w:t>
            </w:r>
            <w:r w:rsidRPr="0078696C">
              <w:rPr>
                <w:rFonts w:ascii="Times New Roman" w:hAnsi="Times New Roman"/>
                <w:color w:val="000000"/>
                <w:sz w:val="24"/>
                <w:szCs w:val="24"/>
              </w:rPr>
              <w:t xml:space="preserve"> млрд.</w:t>
            </w:r>
          </w:p>
        </w:tc>
        <w:tc>
          <w:tcPr>
            <w:tcW w:w="909" w:type="dxa"/>
            <w:shd w:val="clear" w:color="auto" w:fill="auto"/>
          </w:tcPr>
          <w:p w:rsidR="00B8427D" w:rsidRPr="0078696C" w:rsidRDefault="00116F26" w:rsidP="0093279B">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22</w:t>
            </w:r>
            <w:r w:rsidR="0093279B" w:rsidRPr="0078696C">
              <w:rPr>
                <w:rFonts w:ascii="Times New Roman" w:hAnsi="Times New Roman"/>
                <w:color w:val="000000"/>
                <w:sz w:val="24"/>
                <w:szCs w:val="24"/>
              </w:rPr>
              <w:t>,815</w:t>
            </w:r>
            <w:r w:rsidRPr="0078696C">
              <w:rPr>
                <w:rFonts w:ascii="Times New Roman" w:hAnsi="Times New Roman"/>
                <w:color w:val="000000"/>
                <w:sz w:val="24"/>
                <w:szCs w:val="24"/>
              </w:rPr>
              <w:t xml:space="preserve"> млрд. </w:t>
            </w:r>
          </w:p>
        </w:tc>
        <w:tc>
          <w:tcPr>
            <w:tcW w:w="1095" w:type="dxa"/>
            <w:shd w:val="clear" w:color="auto" w:fill="auto"/>
          </w:tcPr>
          <w:p w:rsidR="00B8427D" w:rsidRPr="0078696C" w:rsidRDefault="001032C3" w:rsidP="0093279B">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w:t>
            </w:r>
            <w:r w:rsidR="0093279B" w:rsidRPr="0078696C">
              <w:rPr>
                <w:rFonts w:ascii="Times New Roman" w:hAnsi="Times New Roman"/>
                <w:color w:val="000000"/>
                <w:sz w:val="24"/>
                <w:szCs w:val="24"/>
              </w:rPr>
              <w:t>,657</w:t>
            </w:r>
            <w:r w:rsidRPr="0078696C">
              <w:rPr>
                <w:rFonts w:ascii="Times New Roman" w:hAnsi="Times New Roman"/>
                <w:color w:val="000000"/>
                <w:sz w:val="24"/>
                <w:szCs w:val="24"/>
              </w:rPr>
              <w:t xml:space="preserve"> млрд. </w:t>
            </w:r>
          </w:p>
        </w:tc>
        <w:tc>
          <w:tcPr>
            <w:tcW w:w="1257" w:type="dxa"/>
            <w:shd w:val="clear" w:color="auto" w:fill="auto"/>
          </w:tcPr>
          <w:p w:rsidR="00B8427D" w:rsidRPr="0078696C" w:rsidRDefault="00AA601D" w:rsidP="0093279B">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w:t>
            </w:r>
            <w:r w:rsidR="0093279B" w:rsidRPr="0078696C">
              <w:rPr>
                <w:rFonts w:ascii="Times New Roman" w:hAnsi="Times New Roman"/>
                <w:color w:val="000000"/>
                <w:sz w:val="24"/>
                <w:szCs w:val="24"/>
              </w:rPr>
              <w:t>,225</w:t>
            </w:r>
            <w:r w:rsidRPr="0078696C">
              <w:rPr>
                <w:rFonts w:ascii="Times New Roman" w:hAnsi="Times New Roman"/>
                <w:color w:val="000000"/>
                <w:sz w:val="24"/>
                <w:szCs w:val="24"/>
              </w:rPr>
              <w:t xml:space="preserve"> млрд. </w:t>
            </w:r>
          </w:p>
        </w:tc>
        <w:tc>
          <w:tcPr>
            <w:tcW w:w="933" w:type="dxa"/>
            <w:shd w:val="clear" w:color="auto" w:fill="auto"/>
          </w:tcPr>
          <w:p w:rsidR="00B8427D" w:rsidRPr="0078696C" w:rsidRDefault="00AA601D" w:rsidP="0093279B">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w:t>
            </w:r>
            <w:r w:rsidR="0093279B" w:rsidRPr="0078696C">
              <w:rPr>
                <w:rFonts w:ascii="Times New Roman" w:hAnsi="Times New Roman"/>
                <w:color w:val="000000"/>
                <w:sz w:val="24"/>
                <w:szCs w:val="24"/>
              </w:rPr>
              <w:t>,609</w:t>
            </w:r>
            <w:r w:rsidRPr="0078696C">
              <w:rPr>
                <w:rFonts w:ascii="Times New Roman" w:hAnsi="Times New Roman"/>
                <w:color w:val="000000"/>
                <w:sz w:val="24"/>
                <w:szCs w:val="24"/>
              </w:rPr>
              <w:t xml:space="preserve"> млрд.</w:t>
            </w:r>
          </w:p>
        </w:tc>
        <w:tc>
          <w:tcPr>
            <w:tcW w:w="1095" w:type="dxa"/>
            <w:shd w:val="clear" w:color="auto" w:fill="auto"/>
          </w:tcPr>
          <w:p w:rsidR="00B8427D" w:rsidRPr="0078696C" w:rsidRDefault="0093279B" w:rsidP="002B0853">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559 м</w:t>
            </w:r>
            <w:r w:rsidR="00EA41E2" w:rsidRPr="0078696C">
              <w:rPr>
                <w:rFonts w:ascii="Times New Roman" w:hAnsi="Times New Roman"/>
                <w:color w:val="000000"/>
                <w:sz w:val="24"/>
                <w:szCs w:val="24"/>
              </w:rPr>
              <w:t>лн</w:t>
            </w:r>
            <w:r w:rsidRPr="0078696C">
              <w:rPr>
                <w:rFonts w:ascii="Times New Roman" w:hAnsi="Times New Roman"/>
                <w:color w:val="000000"/>
                <w:sz w:val="24"/>
                <w:szCs w:val="24"/>
              </w:rPr>
              <w:t xml:space="preserve">. </w:t>
            </w:r>
          </w:p>
        </w:tc>
        <w:tc>
          <w:tcPr>
            <w:tcW w:w="1095" w:type="dxa"/>
            <w:shd w:val="clear" w:color="auto" w:fill="auto"/>
          </w:tcPr>
          <w:p w:rsidR="00B8427D" w:rsidRPr="0078696C" w:rsidRDefault="0093279B" w:rsidP="002B0853">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 xml:space="preserve">130 </w:t>
            </w:r>
            <w:r w:rsidR="00EA41E2" w:rsidRPr="0078696C">
              <w:rPr>
                <w:rFonts w:ascii="Times New Roman" w:hAnsi="Times New Roman"/>
                <w:color w:val="000000"/>
                <w:sz w:val="24"/>
                <w:szCs w:val="24"/>
              </w:rPr>
              <w:t>млн</w:t>
            </w:r>
            <w:r w:rsidR="002B0853" w:rsidRPr="0078696C">
              <w:rPr>
                <w:rFonts w:ascii="Times New Roman" w:hAnsi="Times New Roman"/>
                <w:color w:val="000000"/>
                <w:sz w:val="24"/>
                <w:szCs w:val="24"/>
              </w:rPr>
              <w:t>.</w:t>
            </w:r>
          </w:p>
        </w:tc>
        <w:tc>
          <w:tcPr>
            <w:tcW w:w="1129" w:type="dxa"/>
            <w:shd w:val="clear" w:color="auto" w:fill="auto"/>
          </w:tcPr>
          <w:p w:rsidR="00B8427D" w:rsidRPr="0078696C" w:rsidRDefault="0093279B" w:rsidP="002B0853">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 xml:space="preserve">77 </w:t>
            </w:r>
            <w:r w:rsidR="00EA41E2" w:rsidRPr="0078696C">
              <w:rPr>
                <w:rFonts w:ascii="Times New Roman" w:hAnsi="Times New Roman"/>
                <w:color w:val="000000"/>
                <w:sz w:val="24"/>
                <w:szCs w:val="24"/>
              </w:rPr>
              <w:t>млн</w:t>
            </w:r>
            <w:r w:rsidR="002B0853" w:rsidRPr="0078696C">
              <w:rPr>
                <w:rFonts w:ascii="Times New Roman" w:hAnsi="Times New Roman"/>
                <w:color w:val="000000"/>
                <w:sz w:val="24"/>
                <w:szCs w:val="24"/>
              </w:rPr>
              <w:t>.</w:t>
            </w:r>
          </w:p>
        </w:tc>
      </w:tr>
      <w:tr w:rsidR="00FC05C5" w:rsidRPr="0078696C" w:rsidTr="005D146F">
        <w:tc>
          <w:tcPr>
            <w:tcW w:w="1101" w:type="dxa"/>
            <w:shd w:val="clear" w:color="auto" w:fill="auto"/>
          </w:tcPr>
          <w:p w:rsidR="00FC05C5" w:rsidRPr="0078696C" w:rsidRDefault="00091360"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Питома вага</w:t>
            </w:r>
          </w:p>
        </w:tc>
        <w:tc>
          <w:tcPr>
            <w:tcW w:w="1275" w:type="dxa"/>
            <w:shd w:val="clear" w:color="auto" w:fill="auto"/>
          </w:tcPr>
          <w:p w:rsidR="00FC05C5" w:rsidRPr="0078696C" w:rsidRDefault="00091360"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100 %</w:t>
            </w:r>
          </w:p>
        </w:tc>
        <w:tc>
          <w:tcPr>
            <w:tcW w:w="909"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78,49 %</w:t>
            </w:r>
          </w:p>
        </w:tc>
        <w:tc>
          <w:tcPr>
            <w:tcW w:w="1095"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9,14 %</w:t>
            </w:r>
          </w:p>
        </w:tc>
        <w:tc>
          <w:tcPr>
            <w:tcW w:w="1257"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4,21 %</w:t>
            </w:r>
          </w:p>
        </w:tc>
        <w:tc>
          <w:tcPr>
            <w:tcW w:w="933"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5,54 %</w:t>
            </w:r>
          </w:p>
        </w:tc>
        <w:tc>
          <w:tcPr>
            <w:tcW w:w="1095"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1,92 %</w:t>
            </w:r>
          </w:p>
        </w:tc>
        <w:tc>
          <w:tcPr>
            <w:tcW w:w="1095"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0,45 %</w:t>
            </w:r>
          </w:p>
        </w:tc>
        <w:tc>
          <w:tcPr>
            <w:tcW w:w="1129"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0,26 %</w:t>
            </w:r>
          </w:p>
        </w:tc>
      </w:tr>
      <w:tr w:rsidR="00B8427D" w:rsidRPr="0078696C" w:rsidTr="005D146F">
        <w:trPr>
          <w:trHeight w:val="849"/>
        </w:trPr>
        <w:tc>
          <w:tcPr>
            <w:tcW w:w="1101" w:type="dxa"/>
            <w:shd w:val="clear" w:color="auto" w:fill="auto"/>
          </w:tcPr>
          <w:p w:rsidR="00B8427D" w:rsidRPr="0078696C" w:rsidRDefault="00B8427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На 01.01.2019</w:t>
            </w:r>
          </w:p>
        </w:tc>
        <w:tc>
          <w:tcPr>
            <w:tcW w:w="1275" w:type="dxa"/>
            <w:shd w:val="clear" w:color="auto" w:fill="auto"/>
          </w:tcPr>
          <w:p w:rsidR="00B8427D" w:rsidRPr="0078696C" w:rsidRDefault="0093279B"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30</w:t>
            </w:r>
            <w:r w:rsidR="002B0853" w:rsidRPr="0078696C">
              <w:rPr>
                <w:rFonts w:ascii="Times New Roman" w:hAnsi="Times New Roman"/>
                <w:color w:val="000000"/>
                <w:sz w:val="24"/>
                <w:szCs w:val="24"/>
              </w:rPr>
              <w:t>,347</w:t>
            </w:r>
            <w:r w:rsidRPr="0078696C">
              <w:rPr>
                <w:rFonts w:ascii="Times New Roman" w:hAnsi="Times New Roman"/>
                <w:color w:val="000000"/>
                <w:sz w:val="24"/>
                <w:szCs w:val="24"/>
              </w:rPr>
              <w:t xml:space="preserve"> млрд.</w:t>
            </w:r>
          </w:p>
        </w:tc>
        <w:tc>
          <w:tcPr>
            <w:tcW w:w="909" w:type="dxa"/>
            <w:shd w:val="clear" w:color="auto" w:fill="auto"/>
          </w:tcPr>
          <w:p w:rsidR="00B8427D" w:rsidRPr="0078696C" w:rsidRDefault="002B0853"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23,021 млрд.</w:t>
            </w:r>
          </w:p>
        </w:tc>
        <w:tc>
          <w:tcPr>
            <w:tcW w:w="1095" w:type="dxa"/>
            <w:shd w:val="clear" w:color="auto" w:fill="auto"/>
          </w:tcPr>
          <w:p w:rsidR="00B8427D" w:rsidRPr="0078696C" w:rsidRDefault="008A1605"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2,734 млрд.</w:t>
            </w:r>
          </w:p>
        </w:tc>
        <w:tc>
          <w:tcPr>
            <w:tcW w:w="1257" w:type="dxa"/>
            <w:shd w:val="clear" w:color="auto" w:fill="auto"/>
          </w:tcPr>
          <w:p w:rsidR="00B8427D" w:rsidRPr="0078696C" w:rsidRDefault="008A1605"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1,209 млрд.</w:t>
            </w:r>
          </w:p>
        </w:tc>
        <w:tc>
          <w:tcPr>
            <w:tcW w:w="933" w:type="dxa"/>
            <w:shd w:val="clear" w:color="auto" w:fill="auto"/>
          </w:tcPr>
          <w:p w:rsidR="00B8427D" w:rsidRPr="0078696C" w:rsidRDefault="008A1605"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2,594 млрд.</w:t>
            </w:r>
          </w:p>
        </w:tc>
        <w:tc>
          <w:tcPr>
            <w:tcW w:w="1095" w:type="dxa"/>
            <w:shd w:val="clear" w:color="auto" w:fill="auto"/>
          </w:tcPr>
          <w:p w:rsidR="00B8427D" w:rsidRPr="0078696C" w:rsidRDefault="00091360"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569</w:t>
            </w:r>
            <w:r w:rsidR="00C8366D" w:rsidRPr="0078696C">
              <w:rPr>
                <w:rFonts w:ascii="Times New Roman" w:hAnsi="Times New Roman"/>
                <w:color w:val="000000"/>
                <w:sz w:val="24"/>
                <w:szCs w:val="24"/>
              </w:rPr>
              <w:t xml:space="preserve"> млн.</w:t>
            </w:r>
          </w:p>
        </w:tc>
        <w:tc>
          <w:tcPr>
            <w:tcW w:w="1095" w:type="dxa"/>
            <w:shd w:val="clear" w:color="auto" w:fill="auto"/>
          </w:tcPr>
          <w:p w:rsidR="00B8427D" w:rsidRPr="0078696C" w:rsidRDefault="00091360"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126</w:t>
            </w:r>
            <w:r w:rsidR="00C8366D" w:rsidRPr="0078696C">
              <w:rPr>
                <w:rFonts w:ascii="Times New Roman" w:hAnsi="Times New Roman"/>
                <w:color w:val="000000"/>
                <w:sz w:val="24"/>
                <w:szCs w:val="24"/>
              </w:rPr>
              <w:t xml:space="preserve"> млн.</w:t>
            </w:r>
          </w:p>
        </w:tc>
        <w:tc>
          <w:tcPr>
            <w:tcW w:w="1129" w:type="dxa"/>
            <w:shd w:val="clear" w:color="auto" w:fill="auto"/>
          </w:tcPr>
          <w:p w:rsidR="00B8427D" w:rsidRPr="0078696C" w:rsidRDefault="00091360"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95</w:t>
            </w:r>
            <w:r w:rsidR="00C8366D" w:rsidRPr="0078696C">
              <w:rPr>
                <w:rFonts w:ascii="Times New Roman" w:hAnsi="Times New Roman"/>
                <w:color w:val="000000"/>
                <w:sz w:val="24"/>
                <w:szCs w:val="24"/>
              </w:rPr>
              <w:t xml:space="preserve"> млн.</w:t>
            </w:r>
          </w:p>
        </w:tc>
      </w:tr>
      <w:tr w:rsidR="00FC05C5" w:rsidRPr="0078696C" w:rsidTr="005D146F">
        <w:trPr>
          <w:trHeight w:val="849"/>
        </w:trPr>
        <w:tc>
          <w:tcPr>
            <w:tcW w:w="1101" w:type="dxa"/>
            <w:shd w:val="clear" w:color="auto" w:fill="auto"/>
          </w:tcPr>
          <w:p w:rsidR="00FC05C5" w:rsidRPr="0078696C" w:rsidRDefault="00EA41E2"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Питома вага</w:t>
            </w:r>
          </w:p>
        </w:tc>
        <w:tc>
          <w:tcPr>
            <w:tcW w:w="1275"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100 %</w:t>
            </w:r>
          </w:p>
        </w:tc>
        <w:tc>
          <w:tcPr>
            <w:tcW w:w="909"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75,86 %</w:t>
            </w:r>
          </w:p>
        </w:tc>
        <w:tc>
          <w:tcPr>
            <w:tcW w:w="1095"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9 %</w:t>
            </w:r>
          </w:p>
        </w:tc>
        <w:tc>
          <w:tcPr>
            <w:tcW w:w="1257"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3,98 %</w:t>
            </w:r>
          </w:p>
        </w:tc>
        <w:tc>
          <w:tcPr>
            <w:tcW w:w="933"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8,55 %</w:t>
            </w:r>
          </w:p>
        </w:tc>
        <w:tc>
          <w:tcPr>
            <w:tcW w:w="1095"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1,87 %</w:t>
            </w:r>
          </w:p>
        </w:tc>
        <w:tc>
          <w:tcPr>
            <w:tcW w:w="1095" w:type="dxa"/>
            <w:shd w:val="clear" w:color="auto" w:fill="auto"/>
          </w:tcPr>
          <w:p w:rsidR="00FC05C5" w:rsidRPr="0078696C" w:rsidRDefault="00E40EDE"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0,42 %</w:t>
            </w:r>
          </w:p>
        </w:tc>
        <w:tc>
          <w:tcPr>
            <w:tcW w:w="1129" w:type="dxa"/>
            <w:shd w:val="clear" w:color="auto" w:fill="auto"/>
          </w:tcPr>
          <w:p w:rsidR="00FC05C5" w:rsidRPr="0078696C" w:rsidRDefault="00C8366D" w:rsidP="0014734E">
            <w:pPr>
              <w:spacing w:after="0" w:line="240" w:lineRule="auto"/>
              <w:contextualSpacing/>
              <w:jc w:val="both"/>
              <w:rPr>
                <w:rFonts w:ascii="Times New Roman" w:hAnsi="Times New Roman"/>
                <w:color w:val="000000"/>
                <w:sz w:val="24"/>
                <w:szCs w:val="24"/>
              </w:rPr>
            </w:pPr>
            <w:r w:rsidRPr="0078696C">
              <w:rPr>
                <w:rFonts w:ascii="Times New Roman" w:hAnsi="Times New Roman"/>
                <w:color w:val="000000"/>
                <w:sz w:val="24"/>
                <w:szCs w:val="24"/>
              </w:rPr>
              <w:t>0,31 %</w:t>
            </w:r>
          </w:p>
        </w:tc>
      </w:tr>
    </w:tbl>
    <w:p w:rsid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CF067F">
        <w:rPr>
          <w:rFonts w:ascii="Times New Roman" w:hAnsi="Times New Roman"/>
          <w:color w:val="000000"/>
          <w:sz w:val="28"/>
          <w:szCs w:val="28"/>
          <w:lang w:val="ru-RU"/>
        </w:rPr>
        <w:t>[</w:t>
      </w:r>
      <w:r>
        <w:rPr>
          <w:rFonts w:ascii="Times New Roman" w:hAnsi="Times New Roman"/>
          <w:color w:val="000000"/>
          <w:sz w:val="28"/>
          <w:szCs w:val="28"/>
          <w:lang w:val="ru-RU"/>
        </w:rPr>
        <w:t xml:space="preserve">складено автором на основі статистичних </w:t>
      </w:r>
    </w:p>
    <w:p w:rsidR="00CF067F" w:rsidRP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lang w:val="ru-RU"/>
        </w:rPr>
        <w:t>відомостей, розміщених на сайті ПФУ</w:t>
      </w:r>
      <w:r w:rsidRPr="00CF067F">
        <w:rPr>
          <w:rFonts w:ascii="Times New Roman" w:hAnsi="Times New Roman"/>
          <w:color w:val="000000"/>
          <w:sz w:val="28"/>
          <w:szCs w:val="28"/>
          <w:lang w:val="ru-RU"/>
        </w:rPr>
        <w:t>]</w:t>
      </w:r>
    </w:p>
    <w:p w:rsidR="00CF067F" w:rsidRPr="0078696C" w:rsidRDefault="00CF067F" w:rsidP="00CF067F">
      <w:pPr>
        <w:spacing w:line="360" w:lineRule="auto"/>
        <w:contextualSpacing/>
        <w:jc w:val="center"/>
        <w:rPr>
          <w:rFonts w:ascii="Times New Roman" w:hAnsi="Times New Roman"/>
          <w:color w:val="000000"/>
          <w:sz w:val="28"/>
          <w:szCs w:val="28"/>
        </w:rPr>
      </w:pPr>
    </w:p>
    <w:p w:rsidR="005D146F" w:rsidRPr="0078696C" w:rsidRDefault="005D146F" w:rsidP="00795E62">
      <w:pPr>
        <w:spacing w:line="360" w:lineRule="auto"/>
        <w:contextualSpacing/>
        <w:jc w:val="both"/>
        <w:rPr>
          <w:rFonts w:ascii="Times New Roman" w:hAnsi="Times New Roman"/>
          <w:color w:val="000000"/>
          <w:sz w:val="28"/>
          <w:szCs w:val="28"/>
        </w:rPr>
      </w:pPr>
    </w:p>
    <w:p w:rsidR="005D146F" w:rsidRPr="0078696C" w:rsidRDefault="005D146F" w:rsidP="00795E62">
      <w:pPr>
        <w:spacing w:line="36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br w:type="page"/>
      </w:r>
    </w:p>
    <w:p w:rsidR="005D146F" w:rsidRPr="0078696C" w:rsidRDefault="0055017C" w:rsidP="005D146F">
      <w:pPr>
        <w:spacing w:line="360" w:lineRule="auto"/>
        <w:contextualSpacing/>
        <w:jc w:val="both"/>
        <w:rPr>
          <w:rFonts w:ascii="Times New Roman" w:hAnsi="Times New Roman"/>
          <w:b/>
          <w:color w:val="000000"/>
          <w:sz w:val="28"/>
          <w:szCs w:val="28"/>
        </w:rPr>
      </w:pPr>
      <w:r w:rsidRPr="0078696C">
        <w:rPr>
          <w:rFonts w:ascii="Times New Roman" w:hAnsi="Times New Roman"/>
          <w:noProof/>
          <w:color w:val="000000"/>
          <w:sz w:val="28"/>
          <w:szCs w:val="28"/>
          <w:lang w:eastAsia="uk-UA"/>
        </w:rPr>
        <w:lastRenderedPageBreak/>
        <w:drawing>
          <wp:inline distT="0" distB="0" distL="0" distR="0">
            <wp:extent cx="6153150" cy="3362325"/>
            <wp:effectExtent l="0" t="0" r="0" b="0"/>
            <wp:docPr id="2"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5D146F" w:rsidRPr="0078696C">
        <w:rPr>
          <w:rFonts w:ascii="Times New Roman" w:hAnsi="Times New Roman"/>
          <w:b/>
          <w:color w:val="000000"/>
          <w:sz w:val="28"/>
          <w:szCs w:val="28"/>
        </w:rPr>
        <w:t>Рисунок 2.1 Розподіл видатків на виплату пенсій станом на 01.01.2018 р.</w:t>
      </w:r>
    </w:p>
    <w:p w:rsid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CF067F">
        <w:rPr>
          <w:rFonts w:ascii="Times New Roman" w:hAnsi="Times New Roman"/>
          <w:color w:val="000000"/>
          <w:sz w:val="28"/>
          <w:szCs w:val="28"/>
          <w:lang w:val="ru-RU"/>
        </w:rPr>
        <w:t>[</w:t>
      </w:r>
      <w:r>
        <w:rPr>
          <w:rFonts w:ascii="Times New Roman" w:hAnsi="Times New Roman"/>
          <w:color w:val="000000"/>
          <w:sz w:val="28"/>
          <w:szCs w:val="28"/>
          <w:lang w:val="ru-RU"/>
        </w:rPr>
        <w:t xml:space="preserve">складено автором на основі статистичних </w:t>
      </w:r>
    </w:p>
    <w:p w:rsidR="00CF067F" w:rsidRP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lang w:val="ru-RU"/>
        </w:rPr>
        <w:t>відомостей, розміщених на сайті ПФУ</w:t>
      </w:r>
      <w:r w:rsidRPr="00CF067F">
        <w:rPr>
          <w:rFonts w:ascii="Times New Roman" w:hAnsi="Times New Roman"/>
          <w:color w:val="000000"/>
          <w:sz w:val="28"/>
          <w:szCs w:val="28"/>
          <w:lang w:val="ru-RU"/>
        </w:rPr>
        <w:t>]</w:t>
      </w:r>
    </w:p>
    <w:p w:rsidR="00CF067F" w:rsidRPr="0078696C" w:rsidRDefault="00CF067F" w:rsidP="00CF067F">
      <w:pPr>
        <w:spacing w:line="360" w:lineRule="auto"/>
        <w:contextualSpacing/>
        <w:jc w:val="center"/>
        <w:rPr>
          <w:rFonts w:ascii="Times New Roman" w:hAnsi="Times New Roman"/>
          <w:color w:val="000000"/>
          <w:sz w:val="28"/>
          <w:szCs w:val="28"/>
        </w:rPr>
      </w:pPr>
    </w:p>
    <w:p w:rsidR="009A515A" w:rsidRPr="0078696C" w:rsidRDefault="009A515A" w:rsidP="00795E62">
      <w:pPr>
        <w:spacing w:line="360" w:lineRule="auto"/>
        <w:contextualSpacing/>
        <w:jc w:val="both"/>
        <w:rPr>
          <w:rFonts w:ascii="Times New Roman" w:hAnsi="Times New Roman"/>
          <w:color w:val="000000"/>
          <w:sz w:val="28"/>
          <w:szCs w:val="28"/>
        </w:rPr>
      </w:pPr>
    </w:p>
    <w:p w:rsidR="00D57DF8" w:rsidRDefault="0055017C" w:rsidP="00795E62">
      <w:pPr>
        <w:spacing w:line="360" w:lineRule="auto"/>
        <w:contextualSpacing/>
        <w:jc w:val="both"/>
        <w:rPr>
          <w:rFonts w:ascii="Times New Roman" w:hAnsi="Times New Roman"/>
          <w:b/>
          <w:color w:val="000000"/>
          <w:sz w:val="28"/>
          <w:szCs w:val="28"/>
        </w:rPr>
      </w:pPr>
      <w:r w:rsidRPr="0078696C">
        <w:rPr>
          <w:rFonts w:ascii="Times New Roman" w:hAnsi="Times New Roman"/>
          <w:noProof/>
          <w:color w:val="000000"/>
          <w:sz w:val="28"/>
          <w:szCs w:val="28"/>
          <w:lang w:eastAsia="uk-UA"/>
        </w:rPr>
        <w:drawing>
          <wp:inline distT="0" distB="0" distL="0" distR="0">
            <wp:extent cx="6134100" cy="3352800"/>
            <wp:effectExtent l="0" t="0" r="0" b="0"/>
            <wp:docPr id="3"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5D146F" w:rsidRPr="0078696C">
        <w:rPr>
          <w:rFonts w:ascii="Times New Roman" w:hAnsi="Times New Roman"/>
          <w:b/>
          <w:color w:val="000000"/>
          <w:sz w:val="28"/>
          <w:szCs w:val="28"/>
        </w:rPr>
        <w:t>Рисунок 2.2 Розподіл видатків на виплату пенсій станом на 01.01.2019 р.</w:t>
      </w:r>
    </w:p>
    <w:p w:rsid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CF067F">
        <w:rPr>
          <w:rFonts w:ascii="Times New Roman" w:hAnsi="Times New Roman"/>
          <w:color w:val="000000"/>
          <w:sz w:val="28"/>
          <w:szCs w:val="28"/>
          <w:lang w:val="ru-RU"/>
        </w:rPr>
        <w:t>[</w:t>
      </w:r>
      <w:r>
        <w:rPr>
          <w:rFonts w:ascii="Times New Roman" w:hAnsi="Times New Roman"/>
          <w:color w:val="000000"/>
          <w:sz w:val="28"/>
          <w:szCs w:val="28"/>
          <w:lang w:val="ru-RU"/>
        </w:rPr>
        <w:t xml:space="preserve">складено автором на основі статистичних </w:t>
      </w:r>
    </w:p>
    <w:p w:rsidR="00CF067F" w:rsidRPr="00CF067F" w:rsidRDefault="00CF067F" w:rsidP="00CF067F">
      <w:pPr>
        <w:spacing w:after="0" w:line="240" w:lineRule="auto"/>
        <w:contextualSpacing/>
        <w:jc w:val="center"/>
        <w:rPr>
          <w:rFonts w:ascii="Times New Roman" w:hAnsi="Times New Roman"/>
          <w:color w:val="000000"/>
          <w:sz w:val="28"/>
          <w:szCs w:val="28"/>
          <w:lang w:val="ru-RU"/>
        </w:rPr>
      </w:pPr>
      <w:r>
        <w:rPr>
          <w:rFonts w:ascii="Times New Roman" w:hAnsi="Times New Roman"/>
          <w:color w:val="000000"/>
          <w:sz w:val="28"/>
          <w:szCs w:val="28"/>
          <w:lang w:val="ru-RU"/>
        </w:rPr>
        <w:t>відомостей, розміщених на сайті ПФУ</w:t>
      </w:r>
      <w:r w:rsidRPr="00CF067F">
        <w:rPr>
          <w:rFonts w:ascii="Times New Roman" w:hAnsi="Times New Roman"/>
          <w:color w:val="000000"/>
          <w:sz w:val="28"/>
          <w:szCs w:val="28"/>
          <w:lang w:val="ru-RU"/>
        </w:rPr>
        <w:t>]</w:t>
      </w:r>
    </w:p>
    <w:p w:rsidR="00CF067F" w:rsidRPr="0078696C" w:rsidRDefault="00CF067F" w:rsidP="00CF067F">
      <w:pPr>
        <w:spacing w:line="360" w:lineRule="auto"/>
        <w:contextualSpacing/>
        <w:jc w:val="center"/>
        <w:rPr>
          <w:rFonts w:ascii="Times New Roman" w:hAnsi="Times New Roman"/>
          <w:color w:val="000000"/>
          <w:sz w:val="28"/>
          <w:szCs w:val="28"/>
        </w:rPr>
      </w:pPr>
    </w:p>
    <w:p w:rsidR="00CF067F" w:rsidRPr="0078696C" w:rsidRDefault="00CF067F" w:rsidP="00795E62">
      <w:pPr>
        <w:spacing w:line="360" w:lineRule="auto"/>
        <w:contextualSpacing/>
        <w:jc w:val="both"/>
        <w:rPr>
          <w:rFonts w:ascii="Times New Roman" w:hAnsi="Times New Roman"/>
          <w:b/>
          <w:color w:val="000000"/>
          <w:sz w:val="28"/>
          <w:szCs w:val="28"/>
        </w:rPr>
      </w:pPr>
    </w:p>
    <w:p w:rsidR="00E17E4C"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Як бачимо, по всіх видах пенсій, окрім суддівського грошового утримання, спостерігається тенденція до зменшення</w:t>
      </w:r>
      <w:r w:rsidR="00E17E4C" w:rsidRPr="0078696C">
        <w:rPr>
          <w:rFonts w:ascii="Times New Roman" w:hAnsi="Times New Roman"/>
          <w:color w:val="000000"/>
          <w:sz w:val="28"/>
          <w:szCs w:val="28"/>
        </w:rPr>
        <w:t xml:space="preserve"> кількості одержувачів пенсій</w:t>
      </w:r>
      <w:r w:rsidRPr="0078696C">
        <w:rPr>
          <w:rFonts w:ascii="Times New Roman" w:hAnsi="Times New Roman"/>
          <w:color w:val="000000"/>
          <w:sz w:val="28"/>
          <w:szCs w:val="28"/>
        </w:rPr>
        <w:t xml:space="preserve">. </w:t>
      </w:r>
      <w:r w:rsidR="00E168F9" w:rsidRPr="0078696C">
        <w:rPr>
          <w:rFonts w:ascii="Times New Roman" w:hAnsi="Times New Roman"/>
          <w:color w:val="000000"/>
          <w:sz w:val="28"/>
          <w:szCs w:val="28"/>
        </w:rPr>
        <w:t xml:space="preserve">Крім цього, </w:t>
      </w:r>
      <w:r w:rsidR="00CD23EF" w:rsidRPr="0078696C">
        <w:rPr>
          <w:rFonts w:ascii="Times New Roman" w:hAnsi="Times New Roman"/>
          <w:color w:val="000000"/>
          <w:sz w:val="28"/>
          <w:szCs w:val="28"/>
        </w:rPr>
        <w:t xml:space="preserve">показовим є скорочення видатків (у загальній </w:t>
      </w:r>
      <w:r w:rsidR="00E17E4C" w:rsidRPr="0078696C">
        <w:rPr>
          <w:rFonts w:ascii="Times New Roman" w:hAnsi="Times New Roman"/>
          <w:color w:val="000000"/>
          <w:sz w:val="28"/>
          <w:szCs w:val="28"/>
        </w:rPr>
        <w:t xml:space="preserve">питомій вазі) </w:t>
      </w:r>
      <w:r w:rsidR="00CD23EF" w:rsidRPr="0078696C">
        <w:rPr>
          <w:rFonts w:ascii="Times New Roman" w:hAnsi="Times New Roman"/>
          <w:color w:val="000000"/>
          <w:sz w:val="28"/>
          <w:szCs w:val="28"/>
        </w:rPr>
        <w:t>на усі види пенсійних виплат</w:t>
      </w:r>
      <w:r w:rsidR="00E17E4C" w:rsidRPr="0078696C">
        <w:rPr>
          <w:rFonts w:ascii="Times New Roman" w:hAnsi="Times New Roman"/>
          <w:color w:val="000000"/>
          <w:sz w:val="28"/>
          <w:szCs w:val="28"/>
        </w:rPr>
        <w:t>, окрім видатків на виплату пенсій військовослужбовцям та судд</w:t>
      </w:r>
      <w:r w:rsidR="00860C2B" w:rsidRPr="0078696C">
        <w:rPr>
          <w:rFonts w:ascii="Times New Roman" w:hAnsi="Times New Roman"/>
          <w:color w:val="000000"/>
          <w:sz w:val="28"/>
          <w:szCs w:val="28"/>
        </w:rPr>
        <w:t>ям, у яких протягом 2018 року середній розмір пенсійної виплати зріс на 61,54 % (для військових пенсіонерів) та на 15,86% (для суддів).</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Такі зміни, окрім негативної демографічної тенденції, пояснюються значним збільшенням параметричних вимог щодо віку та страхового стажу осіб, що тягне за собою зміну суб’єктного складу учасників пенсійних правовідносин.</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 Україні є значні відмінності у регулюванні пенсійних виплат для окремих категорій населення. Найбільші відмінності стосуються: ознаки призначення пенсій (припинення або продовження трудової діяльності); механізму розрахунку (за формулою або у відсотковому співвідношенні до певної бази розрахунку); наявності або відсутності обмежень максимального розміру пенсії; підстав, що дають право на одержання пенсії (настання пенсійного віку, наявність страхового стажу і стажу роботи на конкретних посадах) </w:t>
      </w:r>
      <w:r w:rsidRPr="0078696C">
        <w:rPr>
          <w:rFonts w:ascii="Times New Roman" w:hAnsi="Times New Roman"/>
          <w:color w:val="000000"/>
          <w:sz w:val="28"/>
          <w:szCs w:val="28"/>
          <w:vertAlign w:val="superscript"/>
        </w:rPr>
        <w:footnoteReference w:id="215"/>
      </w:r>
      <w:r w:rsidRPr="0078696C">
        <w:rPr>
          <w:rFonts w:ascii="Times New Roman" w:hAnsi="Times New Roman"/>
          <w:color w:val="000000"/>
          <w:sz w:val="28"/>
          <w:szCs w:val="28"/>
        </w:rPr>
        <w:t>. Наявність цих додаткових умов означає, що особам передбачено більші пенсійні виплати, ніж ті, на які людина могла б претендувати в межах універсальних правил, визначених Законом України «Про загальнообов’язкове державне пенсійне страхування». При цьому, для частини осіб спеціальні пенсійні правила дають змогу претендувати на пенсійні виплати раніше, ніж це передбачено в загальних нормах для всього населення. Для інших осіб наявність спеціальних правил призначення пенсій дає змогу одержувати підвищені пенсійні виплати порівняно з тими, які їм могли б бути призначені в межах універсального пенсійного законодавства.</w:t>
      </w:r>
    </w:p>
    <w:p w:rsidR="009378FA" w:rsidRPr="00CF067F" w:rsidRDefault="00795E62" w:rsidP="00CF067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Серед категорій спеціальних пенсій варто виділити дві основні групи: такі, що передбачають більш ранній вихід на пенсію, та ті, що визначають особливий механізм обчислення розміру пен</w:t>
      </w:r>
      <w:r w:rsidR="00CF067F">
        <w:rPr>
          <w:rFonts w:ascii="Times New Roman" w:hAnsi="Times New Roman"/>
          <w:color w:val="000000"/>
          <w:sz w:val="28"/>
          <w:szCs w:val="28"/>
        </w:rPr>
        <w:t>сії.</w:t>
      </w:r>
    </w:p>
    <w:p w:rsidR="009378FA" w:rsidRPr="0078696C" w:rsidRDefault="0055017C" w:rsidP="00926C4B">
      <w:pPr>
        <w:spacing w:line="360" w:lineRule="auto"/>
        <w:contextualSpacing/>
        <w:jc w:val="both"/>
        <w:rPr>
          <w:rFonts w:ascii="Times New Roman" w:hAnsi="Times New Roman"/>
          <w:color w:val="000000"/>
          <w:sz w:val="28"/>
          <w:szCs w:val="28"/>
        </w:rPr>
      </w:pPr>
      <w:r w:rsidRPr="0078696C">
        <w:rPr>
          <w:rFonts w:ascii="Times New Roman" w:hAnsi="Times New Roman"/>
          <w:noProof/>
          <w:color w:val="000000"/>
          <w:sz w:val="28"/>
          <w:szCs w:val="28"/>
          <w:lang w:eastAsia="uk-UA"/>
        </w:rPr>
        <w:drawing>
          <wp:inline distT="0" distB="0" distL="0" distR="0">
            <wp:extent cx="6007100" cy="5869305"/>
            <wp:effectExtent l="95250" t="0" r="69850" b="17145"/>
            <wp:docPr id="4" name="Схема 1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5D146F" w:rsidRDefault="005D146F" w:rsidP="00795E62">
      <w:pPr>
        <w:spacing w:line="360" w:lineRule="auto"/>
        <w:ind w:firstLine="709"/>
        <w:contextualSpacing/>
        <w:jc w:val="both"/>
        <w:rPr>
          <w:rFonts w:ascii="Times New Roman" w:hAnsi="Times New Roman"/>
          <w:b/>
          <w:color w:val="000000"/>
          <w:sz w:val="28"/>
          <w:szCs w:val="28"/>
        </w:rPr>
      </w:pPr>
      <w:r w:rsidRPr="0078696C">
        <w:rPr>
          <w:rFonts w:ascii="Times New Roman" w:hAnsi="Times New Roman"/>
          <w:b/>
          <w:color w:val="000000"/>
          <w:sz w:val="28"/>
          <w:szCs w:val="28"/>
        </w:rPr>
        <w:t>Рисунок 2.3 Розподіл пенсій за видами</w:t>
      </w:r>
    </w:p>
    <w:p w:rsidR="00CF067F" w:rsidRPr="007F3B41" w:rsidRDefault="00CF067F" w:rsidP="00CF067F">
      <w:pPr>
        <w:spacing w:line="360" w:lineRule="auto"/>
        <w:ind w:firstLine="709"/>
        <w:contextualSpacing/>
        <w:jc w:val="center"/>
        <w:rPr>
          <w:rFonts w:ascii="Times New Roman" w:hAnsi="Times New Roman"/>
          <w:color w:val="000000"/>
          <w:sz w:val="28"/>
          <w:szCs w:val="28"/>
          <w:lang w:val="ru-RU"/>
        </w:rPr>
      </w:pPr>
      <w:r w:rsidRPr="00CF067F">
        <w:rPr>
          <w:rFonts w:ascii="Times New Roman" w:hAnsi="Times New Roman"/>
          <w:color w:val="000000"/>
          <w:sz w:val="28"/>
          <w:szCs w:val="28"/>
        </w:rPr>
        <w:t xml:space="preserve">Джерело: </w:t>
      </w:r>
      <w:r w:rsidRPr="007F3B41">
        <w:rPr>
          <w:rFonts w:ascii="Times New Roman" w:hAnsi="Times New Roman"/>
          <w:color w:val="000000"/>
          <w:sz w:val="28"/>
          <w:szCs w:val="28"/>
          <w:lang w:val="ru-RU"/>
        </w:rPr>
        <w:t>[</w:t>
      </w:r>
      <w:r>
        <w:rPr>
          <w:rFonts w:ascii="Times New Roman" w:hAnsi="Times New Roman"/>
          <w:color w:val="000000"/>
          <w:sz w:val="28"/>
          <w:szCs w:val="28"/>
          <w:lang w:val="ru-RU"/>
        </w:rPr>
        <w:t>складено автором</w:t>
      </w:r>
      <w:r w:rsidRPr="007F3B41">
        <w:rPr>
          <w:rFonts w:ascii="Times New Roman" w:hAnsi="Times New Roman"/>
          <w:color w:val="000000"/>
          <w:sz w:val="28"/>
          <w:szCs w:val="28"/>
          <w:lang w:val="ru-RU"/>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Особливістю пенсійної системи нашої держави є наявність можливості дострокового виходу на пенсії для значної частини застрахованих осіб. Велика група зайнятих осіб в Україні зберігають за собою право на пільгові пенсії, зважаючи на характер роботи. Привілеї при цьому полягають, зазвичай, у можливості дострокового виходу на пенсію за наявності певного стажу роботи або ж при досягненні віку, який є менший, ніж законодавчо встановлений </w:t>
      </w:r>
      <w:r w:rsidRPr="0078696C">
        <w:rPr>
          <w:rFonts w:ascii="Times New Roman" w:hAnsi="Times New Roman"/>
          <w:color w:val="000000"/>
          <w:sz w:val="28"/>
          <w:szCs w:val="28"/>
        </w:rPr>
        <w:lastRenderedPageBreak/>
        <w:t>пенсійний вік для громадян. Ідея застосування механізму призначення дострокових пенсій пов’язана з припущенням втрати професійної працездатності раніше, ніж встановлений у країні пенсійний вік.</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Дослідження практики призначення пенсійних виплат на пільгових умовах дало змогу з’ясувати чинники, що слугують обґрунтуванням для встановлення преференцій щодо визначення часу виходу на пенсію. Основними з цих чинників є: </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шкідливі, важкі та небезпечні умови праці (працівники, зайняті повний робочий день на підземних роботах, на роботах з особливо шкідливими та особливо важкими умовами праці, а також на роботах із шкідливими і важкими умовами праці; працівники, які зайняті на інших професіях, пов’яз</w:t>
      </w:r>
      <w:r w:rsidR="000C2AB9" w:rsidRPr="0078696C">
        <w:rPr>
          <w:rFonts w:ascii="Times New Roman" w:hAnsi="Times New Roman"/>
          <w:color w:val="000000"/>
          <w:sz w:val="28"/>
          <w:szCs w:val="28"/>
        </w:rPr>
        <w:t>аних із важкими умовами праці, та</w:t>
      </w:r>
      <w:r w:rsidRPr="0078696C">
        <w:rPr>
          <w:rFonts w:ascii="Times New Roman" w:hAnsi="Times New Roman"/>
          <w:color w:val="000000"/>
          <w:sz w:val="28"/>
          <w:szCs w:val="28"/>
        </w:rPr>
        <w:t xml:space="preserve"> ін.);</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несприятливе середовище зайнятості працюючих, пов’язане з постійним підвищеним емоційним і психологічним навантаженням (окремі категорії професій, зокрема окремі категорії працівників авіації та льотно-випробного складу, працівники освіти, охорони здоров’я, а також соціального забезпечення, які в будинках-інтернатах для престарілих та інвалідів і спеціальних службах</w:t>
      </w:r>
      <w:r w:rsidR="000C2AB9" w:rsidRPr="0078696C">
        <w:rPr>
          <w:rFonts w:ascii="Times New Roman" w:hAnsi="Times New Roman"/>
          <w:color w:val="000000"/>
          <w:sz w:val="28"/>
          <w:szCs w:val="28"/>
        </w:rPr>
        <w:t>, які</w:t>
      </w:r>
      <w:r w:rsidRPr="0078696C">
        <w:rPr>
          <w:rFonts w:ascii="Times New Roman" w:hAnsi="Times New Roman"/>
          <w:color w:val="000000"/>
          <w:sz w:val="28"/>
          <w:szCs w:val="28"/>
        </w:rPr>
        <w:t xml:space="preserve"> безпосередньо зайняті обслуговуванням пенсіонерів та інвалідів та ін.);</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 медико-біологічні та соціальні особливості </w:t>
      </w:r>
      <w:r w:rsidR="0045465A" w:rsidRPr="0078696C">
        <w:rPr>
          <w:rFonts w:ascii="Times New Roman" w:hAnsi="Times New Roman"/>
          <w:color w:val="000000"/>
          <w:sz w:val="28"/>
          <w:szCs w:val="28"/>
        </w:rPr>
        <w:t>життя</w:t>
      </w:r>
      <w:r w:rsidR="007A70F3">
        <w:rPr>
          <w:rFonts w:ascii="Times New Roman" w:hAnsi="Times New Roman"/>
          <w:color w:val="000000"/>
          <w:sz w:val="28"/>
          <w:szCs w:val="28"/>
        </w:rPr>
        <w:t xml:space="preserve"> </w:t>
      </w:r>
      <w:r w:rsidR="0045465A" w:rsidRPr="0078696C">
        <w:rPr>
          <w:rFonts w:ascii="Times New Roman" w:hAnsi="Times New Roman"/>
          <w:color w:val="000000"/>
          <w:sz w:val="28"/>
          <w:szCs w:val="28"/>
        </w:rPr>
        <w:t xml:space="preserve">осіб </w:t>
      </w:r>
      <w:r w:rsidRPr="0078696C">
        <w:rPr>
          <w:rFonts w:ascii="Times New Roman" w:hAnsi="Times New Roman"/>
          <w:color w:val="000000"/>
          <w:sz w:val="28"/>
          <w:szCs w:val="28"/>
        </w:rPr>
        <w:t>(багатодітні матері; матері інвалідів з дитинства; особи, хворі на гіпофізарний нанізм (ліліпути), і диспропорційні карлики та ін.);</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катастрофічні наслідки техногенних аварій (постраждалі від Чорнобильської катастрофи).</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Перелічені вищ</w:t>
      </w:r>
      <w:r w:rsidR="00F2452F" w:rsidRPr="0078696C">
        <w:rPr>
          <w:rFonts w:ascii="Times New Roman" w:hAnsi="Times New Roman"/>
          <w:color w:val="000000"/>
          <w:sz w:val="28"/>
          <w:szCs w:val="28"/>
        </w:rPr>
        <w:t xml:space="preserve">е чинники заслуговують уваги, а тому </w:t>
      </w:r>
      <w:r w:rsidRPr="0078696C">
        <w:rPr>
          <w:rFonts w:ascii="Times New Roman" w:hAnsi="Times New Roman"/>
          <w:color w:val="000000"/>
          <w:sz w:val="28"/>
          <w:szCs w:val="28"/>
        </w:rPr>
        <w:t>потребують застосування певних фінансових інструментів для компенсації їхньо</w:t>
      </w:r>
      <w:r w:rsidR="00724FE9" w:rsidRPr="0078696C">
        <w:rPr>
          <w:rFonts w:ascii="Times New Roman" w:hAnsi="Times New Roman"/>
          <w:color w:val="000000"/>
          <w:sz w:val="28"/>
          <w:szCs w:val="28"/>
        </w:rPr>
        <w:t>го негативного впливу на людей.</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Найбільш чисельна категорія працівників, котрі мають право на пільгові пенсії, – </w:t>
      </w:r>
      <w:r w:rsidR="00F2452F" w:rsidRPr="0078696C">
        <w:rPr>
          <w:rFonts w:ascii="Times New Roman" w:hAnsi="Times New Roman"/>
          <w:color w:val="000000"/>
          <w:sz w:val="28"/>
          <w:szCs w:val="28"/>
        </w:rPr>
        <w:t xml:space="preserve">це </w:t>
      </w:r>
      <w:r w:rsidRPr="0078696C">
        <w:rPr>
          <w:rFonts w:ascii="Times New Roman" w:hAnsi="Times New Roman"/>
          <w:color w:val="000000"/>
          <w:sz w:val="28"/>
          <w:szCs w:val="28"/>
        </w:rPr>
        <w:t xml:space="preserve">особи, зайняті повний робочий день на підземних роботах, на роботах з особливо шкідливими й особливо важкими умовами праці, – за списком № 1 виробництв, робіт, професій, посад та показників, затверджуваним </w:t>
      </w:r>
      <w:r w:rsidRPr="0078696C">
        <w:rPr>
          <w:rFonts w:ascii="Times New Roman" w:hAnsi="Times New Roman"/>
          <w:color w:val="000000"/>
          <w:sz w:val="28"/>
          <w:szCs w:val="28"/>
        </w:rPr>
        <w:lastRenderedPageBreak/>
        <w:t>Кабінетом Міністрів України, і за результатами атестації робочих місць, а також працівники, зайняті повний робочий день на інших роботах із шкідливими й важкими умовами праці, – за списком № 2 виробництв, робіт, професій, посад та показників, затверджуваним Кабінетом Міністрів України, і за результ</w:t>
      </w:r>
      <w:r w:rsidR="005D146F" w:rsidRPr="0078696C">
        <w:rPr>
          <w:rFonts w:ascii="Times New Roman" w:hAnsi="Times New Roman"/>
          <w:color w:val="000000"/>
          <w:sz w:val="28"/>
          <w:szCs w:val="28"/>
        </w:rPr>
        <w:t>атами атестації робочих місць.</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Особи, </w:t>
      </w:r>
      <w:r w:rsidR="0045465A" w:rsidRPr="0078696C">
        <w:rPr>
          <w:rFonts w:ascii="Times New Roman" w:hAnsi="Times New Roman"/>
          <w:color w:val="000000"/>
          <w:sz w:val="28"/>
          <w:szCs w:val="28"/>
        </w:rPr>
        <w:t>які працювали на роботах, що належать</w:t>
      </w:r>
      <w:r w:rsidR="007A70F3">
        <w:rPr>
          <w:rFonts w:ascii="Times New Roman" w:hAnsi="Times New Roman"/>
          <w:color w:val="000000"/>
          <w:sz w:val="28"/>
          <w:szCs w:val="28"/>
        </w:rPr>
        <w:t xml:space="preserve"> </w:t>
      </w:r>
      <w:r w:rsidR="0045465A" w:rsidRPr="0078696C">
        <w:rPr>
          <w:rFonts w:ascii="Times New Roman" w:hAnsi="Times New Roman"/>
          <w:color w:val="000000"/>
          <w:sz w:val="28"/>
          <w:szCs w:val="28"/>
        </w:rPr>
        <w:t>до</w:t>
      </w:r>
      <w:r w:rsidRPr="0078696C">
        <w:rPr>
          <w:rFonts w:ascii="Times New Roman" w:hAnsi="Times New Roman"/>
          <w:color w:val="000000"/>
          <w:sz w:val="28"/>
          <w:szCs w:val="28"/>
        </w:rPr>
        <w:t xml:space="preserve"> спис</w:t>
      </w:r>
      <w:r w:rsidR="0045465A" w:rsidRPr="0078696C">
        <w:rPr>
          <w:rFonts w:ascii="Times New Roman" w:hAnsi="Times New Roman"/>
          <w:color w:val="000000"/>
          <w:sz w:val="28"/>
          <w:szCs w:val="28"/>
        </w:rPr>
        <w:t>ку</w:t>
      </w:r>
      <w:r w:rsidRPr="0078696C">
        <w:rPr>
          <w:rFonts w:ascii="Times New Roman" w:hAnsi="Times New Roman"/>
          <w:color w:val="000000"/>
          <w:sz w:val="28"/>
          <w:szCs w:val="28"/>
        </w:rPr>
        <w:t xml:space="preserve"> № 1, мають право на пенсію після досягнення 50 років і при стажі роботи не менше 25 років у чоловіків, з них не менше 10 років на зазначених роботах, і не менше 20 років у жінок, з них не менше 7 років 6 місяців на зазначених роботах.</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Особи, </w:t>
      </w:r>
      <w:r w:rsidR="000C2AB9" w:rsidRPr="0078696C">
        <w:rPr>
          <w:rFonts w:ascii="Times New Roman" w:hAnsi="Times New Roman"/>
          <w:color w:val="000000"/>
          <w:sz w:val="28"/>
          <w:szCs w:val="28"/>
        </w:rPr>
        <w:t>які працювали на роботах, що належать до списку</w:t>
      </w:r>
      <w:r w:rsidRPr="0078696C">
        <w:rPr>
          <w:rFonts w:ascii="Times New Roman" w:hAnsi="Times New Roman"/>
          <w:color w:val="000000"/>
          <w:sz w:val="28"/>
          <w:szCs w:val="28"/>
        </w:rPr>
        <w:t xml:space="preserve"> № 2, мають право на пенсію – після досягнення 55 років і при стажі роботи не менше 30 років у чоловіків, з них не менше 12 років 6 місяців на зазначених роботах, і не менше 25 років у жінок, з них не менше 10 років на зазначених роботах </w:t>
      </w:r>
      <w:r w:rsidRPr="0078696C">
        <w:rPr>
          <w:rFonts w:ascii="Times New Roman" w:hAnsi="Times New Roman"/>
          <w:color w:val="000000"/>
          <w:sz w:val="28"/>
          <w:szCs w:val="28"/>
          <w:vertAlign w:val="superscript"/>
        </w:rPr>
        <w:footnoteReference w:id="216"/>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Дані вимоги щодо віку та стажу не є абсолютними та передбачають перехідний період до 01.01.2024 р., в рамках якого відбувається поступове підняття пенсійного віку для жінок та страхового стажу </w:t>
      </w:r>
      <w:r w:rsidR="0087574A" w:rsidRPr="0078696C">
        <w:rPr>
          <w:rFonts w:ascii="Times New Roman" w:hAnsi="Times New Roman"/>
          <w:color w:val="000000"/>
          <w:sz w:val="28"/>
          <w:szCs w:val="28"/>
        </w:rPr>
        <w:t>–</w:t>
      </w:r>
      <w:r w:rsidRPr="0078696C">
        <w:rPr>
          <w:rFonts w:ascii="Times New Roman" w:hAnsi="Times New Roman"/>
          <w:color w:val="000000"/>
          <w:sz w:val="28"/>
          <w:szCs w:val="28"/>
        </w:rPr>
        <w:t xml:space="preserve"> як для чоловіків, так і для жінок.</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Тривалий час функціонуюче в країні державне пенсійне забезпечення із домінуючою у ньому роллю держави, брало на себе обов’язки щодо преференцій окремим категоріям працюючих, що перебувають під впливом негативних чинників. Однак розбудова в Україні пенсійної системи на страхових засадах потребувала уніфікації правил участі в державному пенсійному страхуванні, в тому числі запровадження уніфікованих правил сплати внесків на державне пенсійне страхування та одержання пенсійних виплат. Це розуміли також автори пенсійної реформи, яка здійснювалася в Україні у 2003</w:t>
      </w:r>
      <w:r w:rsidR="006807C2" w:rsidRPr="0078696C">
        <w:rPr>
          <w:rFonts w:ascii="Times New Roman" w:hAnsi="Times New Roman"/>
          <w:color w:val="000000"/>
          <w:sz w:val="28"/>
          <w:szCs w:val="28"/>
        </w:rPr>
        <w:t>-</w:t>
      </w:r>
      <w:r w:rsidRPr="0078696C">
        <w:rPr>
          <w:rFonts w:ascii="Times New Roman" w:hAnsi="Times New Roman"/>
          <w:color w:val="000000"/>
          <w:sz w:val="28"/>
          <w:szCs w:val="28"/>
        </w:rPr>
        <w:t xml:space="preserve">2004 рр. У прийнятому </w:t>
      </w:r>
      <w:r w:rsidR="0087574A" w:rsidRPr="0078696C">
        <w:rPr>
          <w:rFonts w:ascii="Times New Roman" w:hAnsi="Times New Roman"/>
          <w:color w:val="000000"/>
          <w:sz w:val="28"/>
          <w:szCs w:val="28"/>
        </w:rPr>
        <w:t xml:space="preserve">9 липня 2003 р. Законі України </w:t>
      </w:r>
      <w:r w:rsidRPr="0078696C">
        <w:rPr>
          <w:rFonts w:ascii="Times New Roman" w:hAnsi="Times New Roman"/>
          <w:color w:val="000000"/>
          <w:sz w:val="28"/>
          <w:szCs w:val="28"/>
        </w:rPr>
        <w:t xml:space="preserve">«Про загальнообов’язкове державне пенсійне страхування» № 1058-ІV було передбачено низку заходів, які у процесі реформування пенсійної системи мали б розв’язати проблему преференцій щодо визначення пенсійного віку для </w:t>
      </w:r>
      <w:r w:rsidRPr="0078696C">
        <w:rPr>
          <w:rFonts w:ascii="Times New Roman" w:hAnsi="Times New Roman"/>
          <w:color w:val="000000"/>
          <w:sz w:val="28"/>
          <w:szCs w:val="28"/>
        </w:rPr>
        <w:lastRenderedPageBreak/>
        <w:t xml:space="preserve">окремих категорій працюючих. Так, пунктом 2 прикінцевих положень цього Закону України передбачено, що пенсійне забезпечення застрахованих осіб, які працюють на посадах, котрі дають право на призначення пенсії за віком на пільгових умовах або за вислугу років, здійснюють згідно з окремим законодавчим актом через професійні та корпоративні фонди </w:t>
      </w:r>
      <w:r w:rsidRPr="0078696C">
        <w:rPr>
          <w:rFonts w:ascii="Times New Roman" w:hAnsi="Times New Roman"/>
          <w:color w:val="000000"/>
          <w:sz w:val="28"/>
          <w:szCs w:val="28"/>
          <w:vertAlign w:val="superscript"/>
        </w:rPr>
        <w:footnoteReference w:id="217"/>
      </w:r>
      <w:r w:rsidRPr="0078696C">
        <w:rPr>
          <w:rFonts w:ascii="Times New Roman" w:hAnsi="Times New Roman"/>
          <w:color w:val="000000"/>
          <w:sz w:val="28"/>
          <w:szCs w:val="28"/>
        </w:rPr>
        <w:t>. Проте за весь період реформування пенсійної системи у нашій державі, не вдалося сформувати законодавчої бази, що регламентувала б діяльність корпоративних і професійних фондів.</w:t>
      </w:r>
    </w:p>
    <w:p w:rsidR="00724FE9"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Застосування пільгового режиму виходу на пенсію фактично слугує додатковим до оплати праці заохоченням для зайнятості на виробництвах, що шкідливо впливають на людину.</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можливість дострокового виходу на пенсію компенсує негативний вплив умов праці на людину. При чому, як засвідчують результати спеціальних наукових досліджень, далеко не завжди такі привілеї надають працівникам обґрунтовано. Так, за оцінка</w:t>
      </w:r>
      <w:r w:rsidR="00724FE9" w:rsidRPr="0078696C">
        <w:rPr>
          <w:rFonts w:ascii="Times New Roman" w:hAnsi="Times New Roman"/>
          <w:color w:val="000000"/>
          <w:sz w:val="28"/>
          <w:szCs w:val="28"/>
        </w:rPr>
        <w:t>ми українських експертів, до 30</w:t>
      </w:r>
      <w:r w:rsidRPr="0078696C">
        <w:rPr>
          <w:rFonts w:ascii="Times New Roman" w:hAnsi="Times New Roman"/>
          <w:color w:val="000000"/>
          <w:sz w:val="28"/>
          <w:szCs w:val="28"/>
        </w:rPr>
        <w:t>% зарахованих д</w:t>
      </w:r>
      <w:r w:rsidR="0087574A" w:rsidRPr="0078696C">
        <w:rPr>
          <w:rFonts w:ascii="Times New Roman" w:hAnsi="Times New Roman"/>
          <w:color w:val="000000"/>
          <w:sz w:val="28"/>
          <w:szCs w:val="28"/>
        </w:rPr>
        <w:t>о списків робочих місць № 1 та №</w:t>
      </w:r>
      <w:r w:rsidRPr="0078696C">
        <w:rPr>
          <w:rFonts w:ascii="Times New Roman" w:hAnsi="Times New Roman"/>
          <w:color w:val="000000"/>
          <w:sz w:val="28"/>
          <w:szCs w:val="28"/>
        </w:rPr>
        <w:t xml:space="preserve">2 цілком можуть мати нормальні умови праці, а дострокові пенсії (за деякими оцінками – до 70%) використовують як надбавку до заробітної плати працівників, які продовжують трудову діяльність </w:t>
      </w:r>
      <w:r w:rsidRPr="0078696C">
        <w:rPr>
          <w:rFonts w:ascii="Times New Roman" w:hAnsi="Times New Roman"/>
          <w:color w:val="000000"/>
          <w:sz w:val="28"/>
          <w:szCs w:val="28"/>
          <w:vertAlign w:val="superscript"/>
        </w:rPr>
        <w:footnoteReference w:id="218"/>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 нашу думку, очікувана грошова винагорода у вигляді пенсії, право на одержання якої надається раніше, ніж встановлений у державі пенсійний вік, не може бути адекватною компенсацією негативного впливу </w:t>
      </w:r>
      <w:r w:rsidR="0087574A" w:rsidRPr="0078696C">
        <w:rPr>
          <w:rFonts w:ascii="Times New Roman" w:hAnsi="Times New Roman"/>
          <w:color w:val="000000"/>
          <w:sz w:val="28"/>
          <w:szCs w:val="28"/>
        </w:rPr>
        <w:t xml:space="preserve">шкідливих умов праці </w:t>
      </w:r>
      <w:r w:rsidRPr="0078696C">
        <w:rPr>
          <w:rFonts w:ascii="Times New Roman" w:hAnsi="Times New Roman"/>
          <w:color w:val="000000"/>
          <w:sz w:val="28"/>
          <w:szCs w:val="28"/>
        </w:rPr>
        <w:t xml:space="preserve">на організм працюючого. Безумовно, для кожного індивіда зокрема, як для суспільства загалом, набагато важливіше запобігати втратам здоров’я внаслідок несприятливих умов праці, зберігати і продовжувати тривалість активного життя </w:t>
      </w:r>
      <w:r w:rsidRPr="0078696C">
        <w:rPr>
          <w:rFonts w:ascii="Times New Roman" w:hAnsi="Times New Roman"/>
          <w:color w:val="000000"/>
          <w:sz w:val="28"/>
          <w:szCs w:val="28"/>
          <w:vertAlign w:val="superscript"/>
        </w:rPr>
        <w:footnoteReference w:id="219"/>
      </w:r>
      <w:r w:rsidRPr="0078696C">
        <w:rPr>
          <w:rFonts w:ascii="Times New Roman" w:hAnsi="Times New Roman"/>
          <w:color w:val="000000"/>
          <w:sz w:val="28"/>
          <w:szCs w:val="28"/>
        </w:rPr>
        <w:t xml:space="preserve">. Завдання побудови індустріальної економіки в тоталітарній країні вочевидь не передбачало формування соціально </w:t>
      </w:r>
      <w:r w:rsidRPr="0078696C">
        <w:rPr>
          <w:rFonts w:ascii="Times New Roman" w:hAnsi="Times New Roman"/>
          <w:color w:val="000000"/>
          <w:sz w:val="28"/>
          <w:szCs w:val="28"/>
        </w:rPr>
        <w:lastRenderedPageBreak/>
        <w:t>орієнтованих трудових відносин та комфортних умов праці громадянам. Кризовий період розвитку вітчизняної економіки в 90-і роки минулого століття призвів до погіршення якості робочих місць. Пожвавлення економічної активності в нашій державі базувалося переважно на реалізації потенціалу наявних у країні виробничих потужностей, які нерідко фізично і морально застарілі й не відповідають сучасним вимогам. У таких умовах наявність пільг щодо виходу на пенсію слугує дієвим чинником залучення працівників на робочі місця, які не відповідають сучасним стандартам комфортної праці, що, зокрема, призводить до консервації умов праці на шкідливих виробництвах та, як наслідок, до зменшення гостроти потреби в інвестиціях у модернізацію вітчизняної економіки.</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Окремої уваги потребує аналіз механізму формування фінансових ресурсів для виплати пенсій осіб, які мають право на її дострокове одержання. Як ми вже зазначали, сьогодні залишається нереалізованою норма Закону України «Про загальнообов’язкове державне пенсійне страхування» щодо функціонування професійних і корпоративних фондів. У таких умовах законодавець поклав обов’язок щодо фінансового забезпечення пенсійних виплат осіб, які здобули право дострокового виходу на пенсію, на роботодавців. Зокрема, підприємства та організації вносять до Пенсійного фонду плату, що покриває фактичні витрати на виплату і доставку пенсій особам, які здобули право на достроковий вихід на пенсію. Таким чином, якщо особа була в різний час зайнята на шкідливих виробництвах кількох підприємств, то їй пенсійні виплати відшкодовуватиме роботодавець, після роботи в якого особа вийшла на пенсію. Варто зазначити, що на розмір пенсії осіб, які достроково виходять на пенсію, впливають розміри раніше одержуваних доходів, у тому числі</w:t>
      </w:r>
      <w:r w:rsidR="00B56124" w:rsidRPr="0078696C">
        <w:rPr>
          <w:rFonts w:ascii="Times New Roman" w:hAnsi="Times New Roman"/>
          <w:color w:val="000000"/>
          <w:sz w:val="28"/>
          <w:szCs w:val="28"/>
        </w:rPr>
        <w:t>,</w:t>
      </w:r>
      <w:r w:rsidRPr="0078696C">
        <w:rPr>
          <w:rFonts w:ascii="Times New Roman" w:hAnsi="Times New Roman"/>
          <w:color w:val="000000"/>
          <w:sz w:val="28"/>
          <w:szCs w:val="28"/>
        </w:rPr>
        <w:t xml:space="preserve"> які працівник одержував на виробництвах, які не належать до шкідливих. Однак, виходячи з букви закону, весь тягар щодо фінансування пенсійних виплат особи, яка здобула право на достроковий вихід на пенсію до тих пір, поки вона не досягне пенсійного віку</w:t>
      </w:r>
      <w:r w:rsidR="0087574A" w:rsidRPr="0078696C">
        <w:rPr>
          <w:rFonts w:ascii="Times New Roman" w:hAnsi="Times New Roman"/>
          <w:color w:val="000000"/>
          <w:sz w:val="28"/>
          <w:szCs w:val="28"/>
        </w:rPr>
        <w:t>,</w:t>
      </w:r>
      <w:r w:rsidRPr="0078696C">
        <w:rPr>
          <w:rFonts w:ascii="Times New Roman" w:hAnsi="Times New Roman"/>
          <w:color w:val="000000"/>
          <w:sz w:val="28"/>
          <w:szCs w:val="28"/>
        </w:rPr>
        <w:t xml:space="preserve"> припадає на останнього роботодавця. Це призводить до появи суттєвих проблем на ринку праці – працівники, які вже </w:t>
      </w:r>
      <w:r w:rsidRPr="0078696C">
        <w:rPr>
          <w:rFonts w:ascii="Times New Roman" w:hAnsi="Times New Roman"/>
          <w:color w:val="000000"/>
          <w:sz w:val="28"/>
          <w:szCs w:val="28"/>
        </w:rPr>
        <w:lastRenderedPageBreak/>
        <w:t>мають тривалий період стажу роботи на шкідливих виробництвах, перебувають в умовах підвищеного ризику звільнення. Знайти їм роботу буде дуже важко, адже наступному роботодавцеві доведеться вносити додаткові кошти на фінансування пенсійних виплат.</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Вагомим недоліком чинного механізму фінансового забезпечення пенсій особам, які здобули право на достроковий вихід, є залежність Пенсійного фонду від стабільності сплати роботодавцями платежів у той період, коли особа не працює, а одержує пенсію. Якщо підприємство перестає бути фінансово спроможним виконувати зобов’язання перед Пенсійним фондом України щодо компенсації фактичних витрат на виплату і доставку пенсій особам, які здобули право на достроковий вихід на пенсію, відповідні зобов’язання бере на себе держава. Це створює додаткові ризики фінансової стабільності й збалансованості функціонування Пенсійного фонду України та послаблює страхову складову пенсійних виплат.</w:t>
      </w:r>
    </w:p>
    <w:p w:rsidR="0087574A"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Наголосимо, що чинне законодавство звільняє окремі галузі від сплати коштів Пенсійному фонду України для компенсації витрат, пов’язаних з достроковою виплатою пенсій, а перекладає ці зобов’язання на Державний бюджет України. Відповідно до законодавства, виплачують пенсії особам, які були безпосередньо зайняті повний робочий день на підземних роботах (включаючи особовий склад гірничорятувальних частин) з видобутку вугілля, сланцю, руди й інших корисних копалин, на будівництві шахт та рудників. </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Окрім цього, в законодавстві передбачено компенсації Пенсійному фонду України з Державного бюджету для пенсійних виплат низки категорій працівників, які здобули право на достроковий вихід на пенсію, зокрема, для:</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трактористів-машиністів, безпосередньо зайнятих у виробництві сільськогосподарської продукції в колгоспах, радгоспах, інших підприємствах сільського господарства;</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жінок, які працюють трактористами-машиністами, машиністами будівельних, шляхових і вантажно-розвантажувальних машин, змонтованих на базі тракторів і екскаваторів;</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жінок, які працюють доярками (операторами машинного доїння), свинарками-операторами в колгоспах, радгоспах, інших підприємствах сільського господарства;</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жінок, зайнятих протягом повного сезону на вирощуванні, збиранні та післязбиральній обробці тютюну;</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 жінок, які працюють у сільськогосподарському виробництві та виховали п’ятеро і більше дітей </w:t>
      </w:r>
      <w:r w:rsidRPr="0078696C">
        <w:rPr>
          <w:rFonts w:ascii="Times New Roman" w:hAnsi="Times New Roman"/>
          <w:color w:val="000000"/>
          <w:sz w:val="28"/>
          <w:szCs w:val="28"/>
          <w:vertAlign w:val="superscript"/>
        </w:rPr>
        <w:footnoteReference w:id="220"/>
      </w:r>
      <w:r w:rsidRPr="0078696C">
        <w:rPr>
          <w:rFonts w:ascii="Times New Roman" w:hAnsi="Times New Roman"/>
          <w:color w:val="000000"/>
          <w:sz w:val="28"/>
          <w:szCs w:val="28"/>
        </w:rPr>
        <w:t>.</w:t>
      </w:r>
    </w:p>
    <w:p w:rsidR="00795E62" w:rsidRPr="0078696C" w:rsidRDefault="00795E62" w:rsidP="005D146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Отже, чинний механізм фінансового забезпечення виплати дострокових пенсій зазвичай передбачає перекладання (повне або часткове) відповідних зобов’язань на Державний бюджет. Низка категорій осіб одержує значні преференції, пов’язані з достроковим виходом на пенсії, у вигляді більш раннього призначення пенсійних виплат та більшого періоду їх одержання, які оплачуються здебільшого за рахунок коштів Державного бюджету. Це дає змогу роботодавцям встановлювати оплату праці на нижчому рівні, порівняно з тим, який би спостерігався в разі відсутності подібних преференцій. Отже, реальну вигоду від застосування механізму дострокового виходу на пенсію отримують підприємства, до того ж, ті, які забезпечують своїм</w:t>
      </w:r>
      <w:r w:rsidR="005D146F" w:rsidRPr="0078696C">
        <w:rPr>
          <w:rFonts w:ascii="Times New Roman" w:hAnsi="Times New Roman"/>
          <w:color w:val="000000"/>
          <w:sz w:val="28"/>
          <w:szCs w:val="28"/>
        </w:rPr>
        <w:t xml:space="preserve"> працівникам важкі умови праці.</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Зважаючи на те, що формування пенсійних зобов’язань та їх виконання зазвичай не співпадає в часі, відбувається перерозподіл не лише фінансових ресурсів між економічними суб’єктами, які функціонують у певний час, а й фінансових ресурсів, створених протягом різних часових періодів. Політична природа формування інституцій, що регламентують державне пенсійне страхування, збільшує ризики ухвалення нормативно-правових актів, наслідком яких є одержання </w:t>
      </w:r>
      <w:r w:rsidR="0087574A" w:rsidRPr="0078696C">
        <w:rPr>
          <w:rFonts w:ascii="Times New Roman" w:hAnsi="Times New Roman"/>
          <w:color w:val="000000"/>
          <w:sz w:val="28"/>
          <w:szCs w:val="28"/>
        </w:rPr>
        <w:t>вигоди</w:t>
      </w:r>
      <w:r w:rsidRPr="0078696C">
        <w:rPr>
          <w:rFonts w:ascii="Times New Roman" w:hAnsi="Times New Roman"/>
          <w:color w:val="000000"/>
          <w:sz w:val="28"/>
          <w:szCs w:val="28"/>
        </w:rPr>
        <w:t xml:space="preserve"> для теперішніх виборців за рахунок майбутніх поколінь. Ці ризики посилюються в умовах молодої демократії, коли не сформовано дієвих запобіжних засобів ухвалення популістських рішень. Прогалиною процедури розробки та ухвалення нормативно-правових актів, що регламентують порядок дострокового призначення пенсій, є відсутність у </w:t>
      </w:r>
      <w:r w:rsidRPr="0078696C">
        <w:rPr>
          <w:rFonts w:ascii="Times New Roman" w:hAnsi="Times New Roman"/>
          <w:color w:val="000000"/>
          <w:sz w:val="28"/>
          <w:szCs w:val="28"/>
        </w:rPr>
        <w:lastRenderedPageBreak/>
        <w:t>складі пакету документів, які подають на розгляд парламенту, розрахунків довгострокового (впродовж цілого покоління) впливу законодавчого акта на фінансовий стан Пенсійного фонду України й економіки загалом.</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Суттєвим недоліком практики здійснення пенсійних виплат особам, котрі достроково здобули на них право, є непрозорість цього механізму. Заходи щодо реформування пенсійної системи не забезпечили чіткого розмежування джерел фінансового забезпечення. Сьогодні як офіційна звітність Пенсійного фонду України, так і дані аналітичного обліку щодо конкретних осіб не містять інформації про те, які розміри пенсій виплачуються за рахунок страхових внесків, скільки коштів сплачують роботодавці, а яка сума виплачується за рахунок коштів Державного бюджету України. Обмеженість відомостей про джерела фінансового забезпечення дострокових пенсій перешкоджає адекватній оцінці індивідами своєї участі у державному пенсійному страхуванні та посилює суспільні очікуван</w:t>
      </w:r>
      <w:r w:rsidR="006375F1" w:rsidRPr="0078696C">
        <w:rPr>
          <w:rFonts w:ascii="Times New Roman" w:hAnsi="Times New Roman"/>
          <w:color w:val="000000"/>
          <w:sz w:val="28"/>
          <w:szCs w:val="28"/>
        </w:rPr>
        <w:t xml:space="preserve">ня підвищення розмірів пенсій. </w:t>
      </w:r>
      <w:r w:rsidRPr="0078696C">
        <w:rPr>
          <w:rFonts w:ascii="Times New Roman" w:hAnsi="Times New Roman"/>
          <w:color w:val="000000"/>
          <w:sz w:val="28"/>
          <w:szCs w:val="28"/>
        </w:rPr>
        <w:t>В умовах демократії це стає важливим чинником для ухвалення популістських рішень владними інституціями.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Особливістю пенсійної системи України є наявність широкого спектру зобов’язань перед громадянами, які постраждали внаслідок найбільшої техногенної катастрофи ХХ століття – аварії на Чорнобильській атомній електростанції. Рішенням Верховної Ради України передбачено низку привілеїв для осіб, які працювали або проживали на територіях радіоактивного забруднення, спричиненого Чорнобильською катастрофою. Ці привілеї стосуються:</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дострокового призначення пенсії;</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наявності права на додаткову пенсію;</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встановлення мінімального розміру пенсії для інвалідів, щодо яких встановлено зв’язок з Чорнобильською катастрофою на значно вищому рівні порівняно з іншими пенсіонерами;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особливого порядку обчислення стажу роботи;</w:t>
      </w:r>
    </w:p>
    <w:p w:rsidR="00795E62" w:rsidRPr="0078696C" w:rsidRDefault="00795E62" w:rsidP="00795E62">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 механізму обчислення середньомісячного заробітку на більш вигідних для осіб умовах </w:t>
      </w:r>
      <w:r w:rsidRPr="0078696C">
        <w:rPr>
          <w:rFonts w:ascii="Times New Roman" w:hAnsi="Times New Roman"/>
          <w:color w:val="000000"/>
          <w:sz w:val="28"/>
          <w:szCs w:val="28"/>
          <w:vertAlign w:val="superscript"/>
        </w:rPr>
        <w:footnoteReference w:id="221"/>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Чинним Законом України від 28.02.1991 р. № 796-ХІІ передбачено скорочення пенсійного віку для ліквідаторів аварії від 5 до 10 років, залежно від періоду роботи на забруднених радіацією територіях. Зазначеним нормативно-правовим актом передбачено для згаданих громадян також пільговий режим обчислення стажу роботи. Так, час роботи (служби, в т.ч. державної) для ліквідації наслідків аварії на Чорнобильській АЕС у зоні відчуження зараховують до стажу роботи, до вислуги років: до 1 січня 1988 року – в потрійному, а з 1 січня 1988 року до 1 січня 1993 року – в 1,5-кратному розмірі. Великий вплив на визначення розміру пенсії справляє обчислення середньомісячного заробітку. На відміну від загальних умов, які застосовують до усіх громадян, особи, які працювали на території радіоактивного забруднення, мають право визначати середньомісячний заробіток для обчислення пенсії за будь-яких 12 місяців підряд роботи на територіях радіоактивного забруднення. Якщо особа пропрацювала на територіях радіоактивного забруднення менше 12 місяців, середньомісячний заробіток визначають поділом загальної суми заробітку за календарні місяці роботи на кількість цих місяців </w:t>
      </w:r>
      <w:r w:rsidRPr="0078696C">
        <w:rPr>
          <w:rFonts w:ascii="Times New Roman" w:hAnsi="Times New Roman"/>
          <w:color w:val="000000"/>
          <w:sz w:val="28"/>
          <w:szCs w:val="28"/>
          <w:vertAlign w:val="superscript"/>
        </w:rPr>
        <w:footnoteReference w:id="222"/>
      </w:r>
      <w:r w:rsidRPr="0078696C">
        <w:rPr>
          <w:rFonts w:ascii="Times New Roman" w:hAnsi="Times New Roman"/>
          <w:color w:val="000000"/>
          <w:sz w:val="28"/>
          <w:szCs w:val="28"/>
        </w:rPr>
        <w:t>.</w:t>
      </w:r>
    </w:p>
    <w:p w:rsidR="007B1199" w:rsidRPr="0078696C" w:rsidRDefault="00795E62" w:rsidP="007B1199">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Для осіб, які проживали або працювали на забрудненій радіацією території, зменшення пенсійного віку становить від 2 до 10 років залежно від міри забруднення території. При цьому</w:t>
      </w:r>
      <w:r w:rsidR="007B1199" w:rsidRPr="0078696C">
        <w:rPr>
          <w:rFonts w:ascii="Times New Roman" w:hAnsi="Times New Roman"/>
          <w:color w:val="000000"/>
          <w:sz w:val="28"/>
          <w:szCs w:val="28"/>
        </w:rPr>
        <w:t>,</w:t>
      </w:r>
      <w:r w:rsidRPr="0078696C">
        <w:rPr>
          <w:rFonts w:ascii="Times New Roman" w:hAnsi="Times New Roman"/>
          <w:color w:val="000000"/>
          <w:sz w:val="28"/>
          <w:szCs w:val="28"/>
        </w:rPr>
        <w:t xml:space="preserve"> для всіх категорій постраждалих внаслідок Чорнобильської катастрофи громадян зменшено, порівняно із загальними умовами, які діють для усіх громадян, обов’язковий</w:t>
      </w:r>
      <w:r w:rsidR="007B1199" w:rsidRPr="0078696C">
        <w:rPr>
          <w:rFonts w:ascii="Times New Roman" w:hAnsi="Times New Roman"/>
          <w:color w:val="000000"/>
          <w:sz w:val="28"/>
          <w:szCs w:val="28"/>
        </w:rPr>
        <w:t xml:space="preserve"> страховий  стаж</w:t>
      </w:r>
      <w:r w:rsidRPr="0078696C">
        <w:rPr>
          <w:rFonts w:ascii="Times New Roman" w:hAnsi="Times New Roman"/>
          <w:color w:val="000000"/>
          <w:sz w:val="28"/>
          <w:szCs w:val="28"/>
        </w:rPr>
        <w:t>, не</w:t>
      </w:r>
      <w:r w:rsidR="007B1199" w:rsidRPr="0078696C">
        <w:rPr>
          <w:rFonts w:ascii="Times New Roman" w:hAnsi="Times New Roman"/>
          <w:color w:val="000000"/>
          <w:sz w:val="28"/>
          <w:szCs w:val="28"/>
        </w:rPr>
        <w:t xml:space="preserve">обхідний для призначення пенсії </w:t>
      </w:r>
      <w:r w:rsidRPr="0078696C">
        <w:rPr>
          <w:rFonts w:ascii="Times New Roman" w:hAnsi="Times New Roman"/>
          <w:color w:val="000000"/>
          <w:sz w:val="28"/>
          <w:szCs w:val="28"/>
        </w:rPr>
        <w:t>– до 15 років</w:t>
      </w:r>
      <w:r w:rsidR="007B1199" w:rsidRPr="0078696C">
        <w:rPr>
          <w:rFonts w:ascii="Times New Roman" w:hAnsi="Times New Roman"/>
          <w:color w:val="000000"/>
          <w:sz w:val="28"/>
          <w:szCs w:val="28"/>
        </w:rPr>
        <w:t xml:space="preserve"> (ст. 55 Закону України від 28.02.1991 р. № 796-ХІІ </w:t>
      </w:r>
      <w:r w:rsidR="007B1199" w:rsidRPr="0078696C">
        <w:rPr>
          <w:rStyle w:val="a8"/>
          <w:rFonts w:ascii="Times New Roman" w:hAnsi="Times New Roman"/>
          <w:color w:val="000000"/>
          <w:sz w:val="28"/>
          <w:szCs w:val="28"/>
        </w:rPr>
        <w:footnoteReference w:id="223"/>
      </w:r>
      <w:r w:rsidR="007B1199" w:rsidRPr="0078696C">
        <w:rPr>
          <w:rFonts w:ascii="Times New Roman" w:hAnsi="Times New Roman"/>
          <w:color w:val="000000"/>
          <w:sz w:val="28"/>
          <w:szCs w:val="28"/>
        </w:rPr>
        <w:t>)</w:t>
      </w:r>
      <w:r w:rsidRPr="0078696C">
        <w:rPr>
          <w:rFonts w:ascii="Times New Roman" w:hAnsi="Times New Roman"/>
          <w:color w:val="000000"/>
          <w:sz w:val="28"/>
          <w:szCs w:val="28"/>
        </w:rPr>
        <w:t>.</w:t>
      </w:r>
      <w:r w:rsidR="007B1199" w:rsidRPr="0078696C">
        <w:rPr>
          <w:rFonts w:ascii="Times New Roman" w:hAnsi="Times New Roman"/>
          <w:color w:val="000000"/>
          <w:sz w:val="28"/>
          <w:szCs w:val="28"/>
        </w:rPr>
        <w:t xml:space="preserve"> Також, за нормами даного Закону зменшено і необхідний стаж роботи для отримання пенсії в повному розмірі : для чоловіків </w:t>
      </w:r>
      <w:r w:rsidR="007B1199" w:rsidRPr="0078696C">
        <w:rPr>
          <w:rFonts w:ascii="Times New Roman" w:hAnsi="Times New Roman"/>
          <w:color w:val="000000"/>
          <w:sz w:val="28"/>
          <w:szCs w:val="28"/>
        </w:rPr>
        <w:lastRenderedPageBreak/>
        <w:t>– 20 років, для жінок – 15 років (ч. 2 ст. 56 Закону України від 28.02.1991 р.</w:t>
      </w:r>
      <w:r w:rsidR="00B844BD" w:rsidRPr="0078696C">
        <w:rPr>
          <w:rFonts w:ascii="Times New Roman" w:hAnsi="Times New Roman"/>
          <w:color w:val="000000"/>
          <w:sz w:val="28"/>
          <w:szCs w:val="28"/>
        </w:rPr>
        <w:br/>
      </w:r>
      <w:r w:rsidR="007B1199" w:rsidRPr="0078696C">
        <w:rPr>
          <w:rFonts w:ascii="Times New Roman" w:hAnsi="Times New Roman"/>
          <w:color w:val="000000"/>
          <w:sz w:val="28"/>
          <w:szCs w:val="28"/>
        </w:rPr>
        <w:t>№ 796-ХІІ</w:t>
      </w:r>
      <w:r w:rsidR="007B1199" w:rsidRPr="0078696C">
        <w:rPr>
          <w:rStyle w:val="a8"/>
          <w:rFonts w:ascii="Times New Roman" w:hAnsi="Times New Roman"/>
          <w:color w:val="000000"/>
          <w:sz w:val="28"/>
          <w:szCs w:val="28"/>
        </w:rPr>
        <w:footnoteReference w:id="224"/>
      </w:r>
      <w:r w:rsidR="007B1199"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Зазначимо, що особи, які постраждали внаслідок Чорнобильської катастрофи, одержують як державну пенсію, так і додаткову пенсію за шкоду, заподіяну здоров’ю, котру призначають після виникнення права на державну пенсію. Розмір щомісячної додаткової пенсії для осіб, віднесених до 1 категорії, становить від 50 до 100% мінімальної пенсії за віком; для осіб, віднесених до 2 категорії, – 30% мінімальної пенсії за віком; для осіб, віднесених до 3 категорії, – 25% мінімальної пенсії за віком; для осіб, віднесених до категорії 4, – 15% мінімальної пенсії за віком. До того ж, визначено мінімальний розмір пенсії для інвалідів, щодо яких встановлено зв’язок з Чорнобильською катастрофою. Так, для інвалідів I групи пенсія не може бути меншою, ніж 10 мінімальних пенсій за віком; для інвалідів II групи – 8 мінімальних пенсій за віком; для інвалідів III груп – 6 мінімальних пенсій за віком; для дітей-інвалідів – 3 мінімальних пенсії за віком </w:t>
      </w:r>
      <w:r w:rsidRPr="0078696C">
        <w:rPr>
          <w:rFonts w:ascii="Times New Roman" w:hAnsi="Times New Roman"/>
          <w:color w:val="000000"/>
          <w:sz w:val="28"/>
          <w:szCs w:val="28"/>
          <w:vertAlign w:val="superscript"/>
        </w:rPr>
        <w:footnoteReference w:id="225"/>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Застосування передбачених законодавством привілеїв щодо призначення пенсій особам, які постраждали внаслідок Чорнобильської катастрофи, на практиці приводить до встановлення цим особам пенсійних виплат на вищому рівні порівняно з пенсіями, що призначені на основі універсального пенсійного законодавства.</w:t>
      </w:r>
    </w:p>
    <w:p w:rsidR="006E3856" w:rsidRPr="0078696C" w:rsidRDefault="00795E62" w:rsidP="005D146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Здійснення підвищених пенсійних виплат особам, які постраждали від наслідків аварії на Чорнобильській АЕС, на нашу думку, безпосередньо не пов’язане із жодною з функцій державного пенсійного страхування, а слугує інструментом компенсації завданої державою людям шкоди. У цих умовах, джерелом таких виплат повинні бути ресурси Державного бюджету, а механізм фінансування згаданих грошових допомог – чітко в</w:t>
      </w:r>
      <w:r w:rsidR="005D146F" w:rsidRPr="0078696C">
        <w:rPr>
          <w:rFonts w:ascii="Times New Roman" w:hAnsi="Times New Roman"/>
          <w:color w:val="000000"/>
          <w:sz w:val="28"/>
          <w:szCs w:val="28"/>
        </w:rPr>
        <w:t>ідокремлений від виплат пенсій.</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Важливе місце в системі державного пенсійного страхування у нашій державі займає механізм формування розміру пенсій на відмінних засадах, аніж </w:t>
      </w:r>
      <w:r w:rsidRPr="0078696C">
        <w:rPr>
          <w:rFonts w:ascii="Times New Roman" w:hAnsi="Times New Roman"/>
          <w:color w:val="000000"/>
          <w:sz w:val="28"/>
          <w:szCs w:val="28"/>
        </w:rPr>
        <w:lastRenderedPageBreak/>
        <w:t>загальні правила. Як ми вже зазначали, в Україні діють кілька десятків законодавчих актів, що регламентують порядок розрахунку пенсій для окремих категорій осіб. Чинний механізм визначення розміру пенсій передбачає привілейовані режими призначення пенсій для незначної частки працюючих, результатом чого є встановлення пенсій на рівні, вищому ніж ті, які призначені особам в межах універсального пенсійного законодавства.</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З-поміж інших законодавчих актів, на основі яких відбувається призначення пенсій, вирізняється Закон України «Про державну службу»</w:t>
      </w:r>
      <w:r w:rsidR="00486DB4">
        <w:rPr>
          <w:rStyle w:val="a8"/>
          <w:rFonts w:ascii="Times New Roman" w:hAnsi="Times New Roman"/>
          <w:color w:val="000000"/>
          <w:sz w:val="28"/>
          <w:szCs w:val="28"/>
        </w:rPr>
        <w:footnoteReference w:id="226"/>
      </w:r>
      <w:r w:rsidRPr="0078696C">
        <w:rPr>
          <w:rFonts w:ascii="Times New Roman" w:hAnsi="Times New Roman"/>
          <w:color w:val="000000"/>
          <w:sz w:val="28"/>
          <w:szCs w:val="28"/>
        </w:rPr>
        <w:t>. Прийняття цього законодавчого акта наприкінці 1993 р. започаткувало практику ухвалення нормативно-правових актів, що надають право низці категорій осіб одержувати пенсійні виплати на привілейованих засадах. Так, упродовж наступного десятиліття з часу ухвалення зазначеного закону, було ухвалено законодавчі акти, які регламентують механізм призначення пенсій для осіб, які працюють в органах державного управління, правоохоронних органах, в державних та комунальних засобах масової інформації, Національному банку України, органах місцевого самоврядування. Зазначимо, що загалом в цих законодавчих актах передбачено схожі принципи визначення розміру пенсій.</w:t>
      </w:r>
    </w:p>
    <w:p w:rsidR="002B0BA3" w:rsidRPr="0078696C" w:rsidRDefault="002B0BA3" w:rsidP="002B0BA3">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Більші розміри пенсійних виплат особам, яким пенсії призначено на основі Закону України «Про державну службу» та інших схожих законодавчих актів пояснюються насамперед різним механізмом визначення обсягу пенсії. </w:t>
      </w:r>
    </w:p>
    <w:p w:rsidR="00733247" w:rsidRPr="0078696C" w:rsidRDefault="00795E62" w:rsidP="002B0BA3">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Варто зазначити, що з 1 травня 2016 року набув чинності </w:t>
      </w:r>
      <w:r w:rsidR="00BA080F">
        <w:rPr>
          <w:rFonts w:ascii="Times New Roman" w:hAnsi="Times New Roman"/>
          <w:color w:val="000000"/>
          <w:sz w:val="28"/>
          <w:szCs w:val="28"/>
        </w:rPr>
        <w:t>новий</w:t>
      </w:r>
      <w:r w:rsidRPr="0078696C">
        <w:rPr>
          <w:rFonts w:ascii="Times New Roman" w:hAnsi="Times New Roman"/>
          <w:color w:val="000000"/>
          <w:sz w:val="28"/>
          <w:szCs w:val="28"/>
        </w:rPr>
        <w:t xml:space="preserve"> Закон «Про державну службу» № 889-VIII, згідно </w:t>
      </w:r>
      <w:r w:rsidR="00724FE9" w:rsidRPr="0078696C">
        <w:rPr>
          <w:rFonts w:ascii="Times New Roman" w:hAnsi="Times New Roman"/>
          <w:color w:val="000000"/>
          <w:sz w:val="28"/>
          <w:szCs w:val="28"/>
        </w:rPr>
        <w:t xml:space="preserve">з </w:t>
      </w:r>
      <w:r w:rsidRPr="0078696C">
        <w:rPr>
          <w:rFonts w:ascii="Times New Roman" w:hAnsi="Times New Roman"/>
          <w:color w:val="000000"/>
          <w:sz w:val="28"/>
          <w:szCs w:val="28"/>
        </w:rPr>
        <w:t xml:space="preserve">ч. 2 Прикінцевих та перехідних положень якого визнано такими, що втратили чинність, зокрема, Закон </w:t>
      </w:r>
      <w:r w:rsidRPr="0078696C">
        <w:rPr>
          <w:rFonts w:ascii="Times New Roman" w:hAnsi="Times New Roman"/>
          <w:color w:val="000000"/>
          <w:sz w:val="28"/>
          <w:szCs w:val="28"/>
        </w:rPr>
        <w:br/>
        <w:t xml:space="preserve">№ 3723-ХІІ, крім статті 37, що застосовується до осіб, зазначених у пунктах 10 і 12 цього розділу </w:t>
      </w:r>
      <w:r w:rsidRPr="0078696C">
        <w:rPr>
          <w:rFonts w:ascii="Times New Roman" w:hAnsi="Times New Roman"/>
          <w:color w:val="000000"/>
          <w:sz w:val="28"/>
          <w:szCs w:val="28"/>
          <w:vertAlign w:val="superscript"/>
        </w:rPr>
        <w:footnoteReference w:id="227"/>
      </w:r>
      <w:r w:rsidRPr="0078696C">
        <w:rPr>
          <w:rFonts w:ascii="Times New Roman" w:hAnsi="Times New Roman"/>
          <w:color w:val="000000"/>
          <w:sz w:val="28"/>
          <w:szCs w:val="28"/>
        </w:rPr>
        <w:t>.</w:t>
      </w:r>
    </w:p>
    <w:p w:rsidR="00733247"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 згідно зі статтею 37 Закону України «Про державну службу» на одержання пенсії державних службовців мають право чоловіки, які досягли віку 62 роки, та жінки, які досягли пенсійного віку, встановленого статтею 26 </w:t>
      </w:r>
      <w:r w:rsidRPr="0078696C">
        <w:rPr>
          <w:rFonts w:ascii="Times New Roman" w:hAnsi="Times New Roman"/>
          <w:color w:val="000000"/>
          <w:sz w:val="28"/>
          <w:szCs w:val="28"/>
        </w:rPr>
        <w:lastRenderedPageBreak/>
        <w:t xml:space="preserve">Закону України «Про загальнообов'язкове державне пенсійне страхування» за наявності страхового стажу, необхідного для призначення пенсії за віком у мінімальному розмірі, передбаченого абзацом першим частини першої статті 28 Закону України «Про загальнообов'язкове державне пенсійне страхування», у тому числі стажу державної служби не менш як 10 років, та які на час досягнення зазначеного віку працювали на посадах державних службовців, а також особи, які мають не менш як 20 років стажу роботи на посадах, віднесених до категорій посад державних службовців, незалежно від місця роботи на час досягнення зазначеного віку. </w:t>
      </w:r>
    </w:p>
    <w:p w:rsidR="002B0BA3" w:rsidRPr="0078696C" w:rsidRDefault="002B0BA3" w:rsidP="002B0BA3">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Тобто, за наявності в особи станом на 01 травня 2016 року певного стажу державної служби (10 років для осіб, що на зазначену дату займали посади державної служби, або 20 років незалежно від того, чи працювала особа станом на 01 травня 2016 року на державній службі), така особа зберігає право на призначення пенсії відповідно до ст. 37 Закону № 3723-XII.</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Пенсія державним службовцям призначається в розмірі 60 відсотків суми їх заробітної плати, з якої було сплачено єдиний внесок на загальнообов'язкове державне соціальне страхування, а до 1 січня 2011 року – страхові внески на загальнообов'язкове державне пенсійне страхування, а особам, які на час звернення за призначенням пенсії не є державними службовцями, – у розмірі 60 відсотків заробітної плати працюючого державного службовця відповідної посади та рангу за останнім місцем роботи на державній службі, з якої було сплачено єдиний внесок на загальнообов'язкове державне соціальне страхування, а до 1 січня 2011 року – страхові внески на загальнообов'язкове державне пенсійне страхування </w:t>
      </w:r>
      <w:r w:rsidRPr="0078696C">
        <w:rPr>
          <w:rFonts w:ascii="Times New Roman" w:hAnsi="Times New Roman"/>
          <w:color w:val="000000"/>
          <w:sz w:val="28"/>
          <w:szCs w:val="28"/>
          <w:vertAlign w:val="superscript"/>
        </w:rPr>
        <w:footnoteReference w:id="228"/>
      </w:r>
      <w:r w:rsidRPr="0078696C">
        <w:rPr>
          <w:rFonts w:ascii="Times New Roman" w:hAnsi="Times New Roman"/>
          <w:color w:val="000000"/>
          <w:sz w:val="28"/>
          <w:szCs w:val="28"/>
        </w:rPr>
        <w:t>.</w:t>
      </w:r>
    </w:p>
    <w:p w:rsidR="002B0BA3" w:rsidRPr="0078696C" w:rsidRDefault="002B0BA3" w:rsidP="002B0BA3">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Такий самий або дуже схожий порядок застосовується при обчисленні розміру пенсії іншим особам, зайнятих в органах управління, правоохоронних органах та </w:t>
      </w:r>
      <w:r w:rsidR="005D146F" w:rsidRPr="0078696C">
        <w:rPr>
          <w:rFonts w:ascii="Times New Roman" w:hAnsi="Times New Roman"/>
          <w:color w:val="000000"/>
          <w:sz w:val="28"/>
          <w:szCs w:val="28"/>
        </w:rPr>
        <w:t>судовій системі.</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Отже, дослідження практики призначення і виплати пенсій державних службовців та прирівняних до цієї категорії осіб дає змогу зробити висновок </w:t>
      </w:r>
      <w:r w:rsidRPr="0078696C">
        <w:rPr>
          <w:rFonts w:ascii="Times New Roman" w:hAnsi="Times New Roman"/>
          <w:color w:val="000000"/>
          <w:sz w:val="28"/>
          <w:szCs w:val="28"/>
        </w:rPr>
        <w:lastRenderedPageBreak/>
        <w:t>про її принципову відмінність від механізму універсального державного пенсійного страхування. Крім цього, застосування описаного вище порядку спричиняє порушення виконання функцій державного пенсійного страхування та функціонування Пенсійного фонду України. Порушення економічної функції державного пенсійного страхування відбувається, насамперед, через відсутність чіткої залежності між страховими внесками працівників і роботодавців та розміром пенсійних виплат. Порушення ж соціальної функції спричинює наявність дуже великої диференціації між розмірами пенсій, призначених на основі Закону України «Про державну службу» й інших спеціальних законодавчих актів та пенсій, призначених на основі універсального пенсійного законодавства. Зважаючи на таку невідповідність у період здійснення пенсійної реформи, певні заходи були спрямовані на усунення згаданих проблем. Так, у Законі України «Про загальнообов’язкове державне пенсійне страхування» було передбачено чітке розмежування джерел виплат пенсій державному службовцеві. Зокрема, пенсія державному службовцеві у частині, що не перевищує розміру пенсії із солідарної системи, яку обчислюють відповідно до Закону України «Про загальнообов’язкове державне пенсійне страхування», виплачують за рахунок коштів Пенсійного фонду України. Частину пенсії, що перевищує зазначений розмір, фінансують за рахунок коштів Державного бюджету України</w:t>
      </w:r>
      <w:r w:rsidRPr="0078696C">
        <w:rPr>
          <w:rFonts w:ascii="Times New Roman" w:hAnsi="Times New Roman"/>
          <w:color w:val="000000"/>
          <w:sz w:val="28"/>
          <w:szCs w:val="28"/>
          <w:vertAlign w:val="superscript"/>
        </w:rPr>
        <w:footnoteReference w:id="229"/>
      </w:r>
      <w:r w:rsidRPr="0078696C">
        <w:rPr>
          <w:rFonts w:ascii="Times New Roman" w:hAnsi="Times New Roman"/>
          <w:color w:val="000000"/>
          <w:sz w:val="28"/>
          <w:szCs w:val="28"/>
        </w:rPr>
        <w:t>. Зазначена норма не вирішувала фундаментальних проблем застосування спеціального пенсійного законодавства в нашій державі, а була спрямована лише на забезпечення фінансовими ресурсами Пенсійного фонду України для відповідних пенсійних виплат. Проте навіть така норма під час реформування пенсійної системи залишилася нереалізованою.</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Чергові заходи щодо пенсійної реформи в нашій країні, які припали на літо 2011 р., також містили положення, що вносили зміни до порядку призначення і виплат пенсій державним службовцям та прирівняних до них категорій осіб. Принципові зміни стосувалися такого:</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 запровадження норми, якою максимальний розмір пенсії обмежено десятьма прожитковими мінімумами для осіб, котрі втратили працездатність;</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скасування норми, якою розмір пенсії збільшувався на 1 % за кожен рік, що перевищує 10років роботи на державній службі;</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підвищення пенсійного віку для чоловіків до 62 років і для жінок – на загальних умовах із універсальним пенсійним законодавством;</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обмеження пенсійних виплат для зайнятих пенсіонерів розміром пенсії, визначеної на основі Закону України «Про загальнообов’язкове державне пенсійне страхування»</w:t>
      </w:r>
      <w:r w:rsidR="006E3856" w:rsidRPr="0078696C">
        <w:rPr>
          <w:rStyle w:val="a8"/>
          <w:rFonts w:ascii="Times New Roman" w:hAnsi="Times New Roman"/>
          <w:color w:val="000000"/>
          <w:sz w:val="28"/>
          <w:szCs w:val="28"/>
        </w:rPr>
        <w:footnoteReference w:id="230"/>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Із переліку нововведень не складно зробити висновок, що вони спрямовані насамперед на обмеження виплат пенсій у певних випадках. Зважаючи на значні проблеми у реалізації соціальної функції державного пенсійного страхування, ці заходи сприятимуть зменшенню диференціації у розмірах пенсійних виплат. Обмеження у виплаті великих пенсій державним службовцям та прирівняних до них категорій осіб призведе до встановлення більш чіткого зв’язку між внеском працюючого у державне пенсійне страхування та пенсійними виплатами. Таким чином, згадані зміни позитивно впливають на функціонування державного пенсійного страхування, насамперед, забезпечення збалансованості Пенсійного фонду України. Проте низка фундаментальних проблем, що послаблюють вплив страхових принципів формування спеціальних пенсійних виплат у процесі реформування пенсійної системи в наш</w:t>
      </w:r>
      <w:r w:rsidR="000318B6" w:rsidRPr="0078696C">
        <w:rPr>
          <w:rFonts w:ascii="Times New Roman" w:hAnsi="Times New Roman"/>
          <w:color w:val="000000"/>
          <w:sz w:val="28"/>
          <w:szCs w:val="28"/>
        </w:rPr>
        <w:t>ій державі, досі залишаються не</w:t>
      </w:r>
      <w:r w:rsidRPr="0078696C">
        <w:rPr>
          <w:rFonts w:ascii="Times New Roman" w:hAnsi="Times New Roman"/>
          <w:color w:val="000000"/>
          <w:sz w:val="28"/>
          <w:szCs w:val="28"/>
        </w:rPr>
        <w:t>вирішеними.</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Схожий механізм формування пенсійних виплат застосовувався раніше щодо наукових і науково-педагогічних працівників. Ця сфера правовідносин, а саме право на призначення пенсій, обчислення стажу роботи, середньої заробітної плати та величини пенсій була регламентована спеціальним законодавчим актом – Законом України «Про наукову і науково-технічну </w:t>
      </w:r>
      <w:r w:rsidRPr="0078696C">
        <w:rPr>
          <w:rFonts w:ascii="Times New Roman" w:hAnsi="Times New Roman"/>
          <w:color w:val="000000"/>
          <w:sz w:val="28"/>
          <w:szCs w:val="28"/>
        </w:rPr>
        <w:lastRenderedPageBreak/>
        <w:t xml:space="preserve">діяльність» від 13.12.1991 р. </w:t>
      </w:r>
      <w:r w:rsidRPr="0078696C">
        <w:rPr>
          <w:rFonts w:ascii="Times New Roman" w:hAnsi="Times New Roman"/>
          <w:color w:val="000000"/>
          <w:sz w:val="28"/>
          <w:szCs w:val="28"/>
          <w:vertAlign w:val="superscript"/>
        </w:rPr>
        <w:footnoteReference w:id="231"/>
      </w:r>
      <w:r w:rsidRPr="0078696C">
        <w:rPr>
          <w:rFonts w:ascii="Times New Roman" w:hAnsi="Times New Roman"/>
          <w:color w:val="000000"/>
          <w:sz w:val="28"/>
          <w:szCs w:val="28"/>
        </w:rPr>
        <w:t xml:space="preserve">. Однак, згідно </w:t>
      </w:r>
      <w:r w:rsidR="00126F2F" w:rsidRPr="0078696C">
        <w:rPr>
          <w:rFonts w:ascii="Times New Roman" w:hAnsi="Times New Roman"/>
          <w:color w:val="000000"/>
          <w:sz w:val="28"/>
          <w:szCs w:val="28"/>
        </w:rPr>
        <w:t>з новим Законом</w:t>
      </w:r>
      <w:r w:rsidRPr="0078696C">
        <w:rPr>
          <w:rFonts w:ascii="Times New Roman" w:hAnsi="Times New Roman"/>
          <w:color w:val="000000"/>
          <w:sz w:val="28"/>
          <w:szCs w:val="28"/>
        </w:rPr>
        <w:t xml:space="preserve"> від 26.11.2015 р. його норми скасовано, а пенсійне забезпечення здійснюється відповідно до Закону України «Про загальнообов’язкове державне пенсійне страхування»</w:t>
      </w:r>
      <w:r w:rsidRPr="0078696C">
        <w:rPr>
          <w:rFonts w:ascii="Times New Roman" w:hAnsi="Times New Roman"/>
          <w:color w:val="000000"/>
          <w:sz w:val="28"/>
          <w:szCs w:val="28"/>
          <w:vertAlign w:val="superscript"/>
        </w:rPr>
        <w:footnoteReference w:id="232"/>
      </w:r>
      <w:r w:rsidRPr="0078696C">
        <w:rPr>
          <w:rFonts w:ascii="Times New Roman" w:hAnsi="Times New Roman"/>
          <w:color w:val="000000"/>
          <w:sz w:val="28"/>
          <w:szCs w:val="28"/>
        </w:rPr>
        <w:t>.</w:t>
      </w:r>
    </w:p>
    <w:p w:rsidR="00795E62" w:rsidRPr="0078696C" w:rsidRDefault="00233974"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Не</w:t>
      </w:r>
      <w:r w:rsidR="00795E62" w:rsidRPr="0078696C">
        <w:rPr>
          <w:rFonts w:ascii="Times New Roman" w:hAnsi="Times New Roman"/>
          <w:color w:val="000000"/>
          <w:sz w:val="28"/>
          <w:szCs w:val="28"/>
        </w:rPr>
        <w:t>зважаючи на те, що однією з цілей реформування пенсійної системи України було запровадження професійних і корпоративних пенсійних фондів, на практиці не лише не відбулося цього, а й було ще більше розширено спеціальні режими формування пенсійних виплат.</w:t>
      </w:r>
      <w:r w:rsidR="000318B6" w:rsidRPr="0078696C">
        <w:rPr>
          <w:rFonts w:ascii="Times New Roman" w:hAnsi="Times New Roman"/>
          <w:color w:val="000000"/>
          <w:sz w:val="28"/>
          <w:szCs w:val="28"/>
        </w:rPr>
        <w:t xml:space="preserve"> Яскравим прикладом розвитку не</w:t>
      </w:r>
      <w:r w:rsidR="00795E62" w:rsidRPr="0078696C">
        <w:rPr>
          <w:rFonts w:ascii="Times New Roman" w:hAnsi="Times New Roman"/>
          <w:color w:val="000000"/>
          <w:sz w:val="28"/>
          <w:szCs w:val="28"/>
        </w:rPr>
        <w:t>страхової складової державного пенсійного страхування в нашій державі було ухвалення 02.09.2008 р. Закону України «Про підвищення престижності шахтарської праці»</w:t>
      </w:r>
      <w:r w:rsidR="00D51F98" w:rsidRPr="0078696C">
        <w:rPr>
          <w:rStyle w:val="a8"/>
          <w:rFonts w:ascii="Times New Roman" w:hAnsi="Times New Roman"/>
          <w:color w:val="000000"/>
          <w:sz w:val="28"/>
          <w:szCs w:val="28"/>
        </w:rPr>
        <w:footnoteReference w:id="233"/>
      </w:r>
      <w:r w:rsidR="00795E62" w:rsidRPr="0078696C">
        <w:rPr>
          <w:rFonts w:ascii="Times New Roman" w:hAnsi="Times New Roman"/>
          <w:color w:val="000000"/>
          <w:sz w:val="28"/>
          <w:szCs w:val="28"/>
        </w:rPr>
        <w:t xml:space="preserve">. Згідно з цим законодавчим актом </w:t>
      </w:r>
      <w:r w:rsidR="000318B6" w:rsidRPr="0078696C">
        <w:rPr>
          <w:rFonts w:ascii="Times New Roman" w:hAnsi="Times New Roman"/>
          <w:color w:val="000000"/>
          <w:sz w:val="28"/>
          <w:szCs w:val="28"/>
        </w:rPr>
        <w:t>було запроваджено</w:t>
      </w:r>
      <w:r w:rsidR="00795E62" w:rsidRPr="0078696C">
        <w:rPr>
          <w:rFonts w:ascii="Times New Roman" w:hAnsi="Times New Roman"/>
          <w:color w:val="000000"/>
          <w:sz w:val="28"/>
          <w:szCs w:val="28"/>
        </w:rPr>
        <w:t xml:space="preserve"> додаткові привілеї при формуванні пенсій шахтарям. Так, мінімальний розмір пенсії шахтарям, які відпрацювали на підземних роботах неменше 15 років для чоловіків та 7,5 року для жінок за списком № 1 виробництв, робіт, професій, посад і показників, затвердженим Кабінетом Міністрів України, встановлюють незалежно від місця останньої роботи у розмірі 80% середньої заробітної плати шахтаря, але не менше трьох розмірів прожиткового мінімуму, встановленого для ос</w:t>
      </w:r>
      <w:r w:rsidR="00DB4939" w:rsidRPr="0078696C">
        <w:rPr>
          <w:rFonts w:ascii="Times New Roman" w:hAnsi="Times New Roman"/>
          <w:color w:val="000000"/>
          <w:sz w:val="28"/>
          <w:szCs w:val="28"/>
        </w:rPr>
        <w:t>іб, які втратили працездатність</w:t>
      </w:r>
      <w:r w:rsidR="00795E62" w:rsidRPr="0078696C">
        <w:rPr>
          <w:rFonts w:ascii="Times New Roman" w:hAnsi="Times New Roman"/>
          <w:color w:val="000000"/>
          <w:sz w:val="28"/>
          <w:szCs w:val="28"/>
          <w:vertAlign w:val="superscript"/>
        </w:rPr>
        <w:footnoteReference w:id="234"/>
      </w:r>
      <w:r w:rsidR="00795E62" w:rsidRPr="0078696C">
        <w:rPr>
          <w:rFonts w:ascii="Times New Roman" w:hAnsi="Times New Roman"/>
          <w:color w:val="000000"/>
          <w:sz w:val="28"/>
          <w:szCs w:val="28"/>
        </w:rPr>
        <w:t>. Слід зазначити, що при цьому зберігається за працівниками право дострокового виходу на пенсію на 10 років швидше, ніж в установлений у країні пенсійний вік. При цьому</w:t>
      </w:r>
      <w:r w:rsidR="000318B6" w:rsidRPr="0078696C">
        <w:rPr>
          <w:rFonts w:ascii="Times New Roman" w:hAnsi="Times New Roman"/>
          <w:color w:val="000000"/>
          <w:sz w:val="28"/>
          <w:szCs w:val="28"/>
        </w:rPr>
        <w:t>,</w:t>
      </w:r>
      <w:r w:rsidR="00795E62" w:rsidRPr="0078696C">
        <w:rPr>
          <w:rFonts w:ascii="Times New Roman" w:hAnsi="Times New Roman"/>
          <w:color w:val="000000"/>
          <w:sz w:val="28"/>
          <w:szCs w:val="28"/>
        </w:rPr>
        <w:t xml:space="preserve"> фінансові зобов’язання, що виникають у результаті застосування зазначеного закону, покладаються на державу. Таким чином, по суті, запроваджено систему державного субсидування вугільних підприємств за участі Пенсійного фонду України.</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Реформа пенсійної системи України не забезпечила запровадження сучасних способів убезпечення професійних ризиків у сфері пенсійного страхування. Досі не створено професійних і корпоративних пенсійних фондів, </w:t>
      </w:r>
      <w:r w:rsidRPr="0078696C">
        <w:rPr>
          <w:rFonts w:ascii="Times New Roman" w:hAnsi="Times New Roman"/>
          <w:color w:val="000000"/>
          <w:sz w:val="28"/>
          <w:szCs w:val="28"/>
        </w:rPr>
        <w:lastRenderedPageBreak/>
        <w:t>спроможних убезпечити працюючих від ризику дострокової втрати працездатності. За весь період реформування пенсійної системи відбулися тільки деякі зміни у формуванні пенсій державним службовцям та прирівняним до них категоріям осіб. Ці зміни лише незначно наближають режим формування спеціальних пенсій до того, який застосовують щодо всіх категорій осіб за збереження незмінними принципових відмінностей. Водночас розширюються зобов’язання держави стосовно пільгового пенсійного забезпечення окремих категорій осіб. Це свідчить про реальну слабкість інституцій, які регламентують процес реформування пенсійної системи на ринкових засадах в умовах нерозвиненої політичної системи ухвалення законодавчих актів, що призводить до збільшення фінансових зобов’язань Пенсійного фонду України. У зв’язку з цим погіршується спроможність державного пенсійного страхування виконувати властиві йому функції.</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Варто зауважити, що в Україні впродовж останніх років поступово ліквідовується інститут спеціальних-професійних </w:t>
      </w:r>
      <w:r w:rsidR="000318B6" w:rsidRPr="0078696C">
        <w:rPr>
          <w:rFonts w:ascii="Times New Roman" w:hAnsi="Times New Roman"/>
          <w:color w:val="000000"/>
          <w:sz w:val="28"/>
          <w:szCs w:val="28"/>
        </w:rPr>
        <w:t>пенсій</w:t>
      </w:r>
      <w:r w:rsidRPr="0078696C">
        <w:rPr>
          <w:rFonts w:ascii="Times New Roman" w:hAnsi="Times New Roman"/>
          <w:color w:val="000000"/>
          <w:sz w:val="28"/>
          <w:szCs w:val="28"/>
        </w:rPr>
        <w:t>(пенсії, призначені відповідно до законів України «Про Кабінет Міністрів України»</w:t>
      </w:r>
      <w:r w:rsidR="00D51F98" w:rsidRPr="0078696C">
        <w:rPr>
          <w:rStyle w:val="a8"/>
          <w:rFonts w:ascii="Times New Roman" w:hAnsi="Times New Roman"/>
          <w:color w:val="000000"/>
          <w:sz w:val="28"/>
          <w:szCs w:val="28"/>
        </w:rPr>
        <w:footnoteReference w:id="235"/>
      </w:r>
      <w:r w:rsidRPr="0078696C">
        <w:rPr>
          <w:rFonts w:ascii="Times New Roman" w:hAnsi="Times New Roman"/>
          <w:color w:val="000000"/>
          <w:sz w:val="28"/>
          <w:szCs w:val="28"/>
        </w:rPr>
        <w:t>, «Про державну службу»</w:t>
      </w:r>
      <w:r w:rsidR="00D473BA" w:rsidRPr="0078696C">
        <w:rPr>
          <w:rStyle w:val="a8"/>
          <w:rFonts w:ascii="Times New Roman" w:hAnsi="Times New Roman"/>
          <w:color w:val="000000"/>
          <w:sz w:val="28"/>
          <w:szCs w:val="28"/>
        </w:rPr>
        <w:footnoteReference w:id="236"/>
      </w:r>
      <w:r w:rsidRPr="0078696C">
        <w:rPr>
          <w:rFonts w:ascii="Times New Roman" w:hAnsi="Times New Roman"/>
          <w:color w:val="000000"/>
          <w:sz w:val="28"/>
          <w:szCs w:val="28"/>
        </w:rPr>
        <w:t>, «Про Національний банк України»</w:t>
      </w:r>
      <w:r w:rsidR="009D42DE" w:rsidRPr="0078696C">
        <w:rPr>
          <w:rStyle w:val="a8"/>
          <w:rFonts w:ascii="Times New Roman" w:hAnsi="Times New Roman"/>
          <w:color w:val="000000"/>
          <w:sz w:val="28"/>
          <w:szCs w:val="28"/>
        </w:rPr>
        <w:footnoteReference w:id="237"/>
      </w:r>
      <w:r w:rsidRPr="0078696C">
        <w:rPr>
          <w:rFonts w:ascii="Times New Roman" w:hAnsi="Times New Roman"/>
          <w:color w:val="000000"/>
          <w:sz w:val="28"/>
          <w:szCs w:val="28"/>
        </w:rPr>
        <w:t>, «Про дипломатичну службу»</w:t>
      </w:r>
      <w:r w:rsidR="009D42DE" w:rsidRPr="0078696C">
        <w:rPr>
          <w:rStyle w:val="a8"/>
          <w:rFonts w:ascii="Times New Roman" w:hAnsi="Times New Roman"/>
          <w:color w:val="000000"/>
          <w:sz w:val="28"/>
          <w:szCs w:val="28"/>
        </w:rPr>
        <w:footnoteReference w:id="238"/>
      </w:r>
      <w:r w:rsidRPr="0078696C">
        <w:rPr>
          <w:rFonts w:ascii="Times New Roman" w:hAnsi="Times New Roman"/>
          <w:color w:val="000000"/>
          <w:sz w:val="28"/>
          <w:szCs w:val="28"/>
        </w:rPr>
        <w:t>, «Про службу в орга</w:t>
      </w:r>
      <w:r w:rsidR="00DB4939" w:rsidRPr="0078696C">
        <w:rPr>
          <w:rFonts w:ascii="Times New Roman" w:hAnsi="Times New Roman"/>
          <w:color w:val="000000"/>
          <w:sz w:val="28"/>
          <w:szCs w:val="28"/>
        </w:rPr>
        <w:t>нах місцевого самоврядування»</w:t>
      </w:r>
      <w:r w:rsidR="00B90702" w:rsidRPr="0078696C">
        <w:rPr>
          <w:rStyle w:val="a8"/>
          <w:rFonts w:ascii="Times New Roman" w:hAnsi="Times New Roman"/>
          <w:color w:val="000000"/>
          <w:sz w:val="28"/>
          <w:szCs w:val="28"/>
        </w:rPr>
        <w:footnoteReference w:id="239"/>
      </w:r>
      <w:r w:rsidR="00DB4939" w:rsidRPr="0078696C">
        <w:rPr>
          <w:rFonts w:ascii="Times New Roman" w:hAnsi="Times New Roman"/>
          <w:color w:val="000000"/>
          <w:sz w:val="28"/>
          <w:szCs w:val="28"/>
        </w:rPr>
        <w:t xml:space="preserve">, </w:t>
      </w:r>
      <w:r w:rsidRPr="0078696C">
        <w:rPr>
          <w:rFonts w:ascii="Times New Roman" w:hAnsi="Times New Roman"/>
          <w:color w:val="000000"/>
          <w:sz w:val="28"/>
          <w:szCs w:val="28"/>
        </w:rPr>
        <w:t>«Про прокуратуру»</w:t>
      </w:r>
      <w:r w:rsidR="00D63DE3" w:rsidRPr="0078696C">
        <w:rPr>
          <w:rStyle w:val="a8"/>
          <w:rFonts w:ascii="Times New Roman" w:hAnsi="Times New Roman"/>
          <w:color w:val="000000"/>
          <w:sz w:val="28"/>
          <w:szCs w:val="28"/>
        </w:rPr>
        <w:footnoteReference w:id="240"/>
      </w:r>
      <w:r w:rsidRPr="0078696C">
        <w:rPr>
          <w:rFonts w:ascii="Times New Roman" w:hAnsi="Times New Roman"/>
          <w:color w:val="000000"/>
          <w:sz w:val="28"/>
          <w:szCs w:val="28"/>
        </w:rPr>
        <w:t>, «Про стату</w:t>
      </w:r>
      <w:r w:rsidR="00DB4939" w:rsidRPr="0078696C">
        <w:rPr>
          <w:rFonts w:ascii="Times New Roman" w:hAnsi="Times New Roman"/>
          <w:color w:val="000000"/>
          <w:sz w:val="28"/>
          <w:szCs w:val="28"/>
        </w:rPr>
        <w:t>с народного депутата України»</w:t>
      </w:r>
      <w:r w:rsidR="00D63DE3" w:rsidRPr="0078696C">
        <w:rPr>
          <w:rStyle w:val="a8"/>
          <w:rFonts w:ascii="Times New Roman" w:hAnsi="Times New Roman"/>
          <w:color w:val="000000"/>
          <w:sz w:val="28"/>
          <w:szCs w:val="28"/>
        </w:rPr>
        <w:footnoteReference w:id="241"/>
      </w:r>
      <w:r w:rsidR="00DB4939" w:rsidRPr="0078696C">
        <w:rPr>
          <w:rFonts w:ascii="Times New Roman" w:hAnsi="Times New Roman"/>
          <w:color w:val="000000"/>
          <w:sz w:val="28"/>
          <w:szCs w:val="28"/>
        </w:rPr>
        <w:t xml:space="preserve">, </w:t>
      </w:r>
      <w:r w:rsidRPr="0078696C">
        <w:rPr>
          <w:rFonts w:ascii="Times New Roman" w:hAnsi="Times New Roman"/>
          <w:color w:val="000000"/>
          <w:sz w:val="28"/>
          <w:szCs w:val="28"/>
        </w:rPr>
        <w:t>«Про судоустрій і статус суддів»</w:t>
      </w:r>
      <w:r w:rsidR="00D63DE3" w:rsidRPr="0078696C">
        <w:rPr>
          <w:rStyle w:val="a8"/>
          <w:rFonts w:ascii="Times New Roman" w:hAnsi="Times New Roman"/>
          <w:color w:val="000000"/>
          <w:sz w:val="28"/>
          <w:szCs w:val="28"/>
        </w:rPr>
        <w:footnoteReference w:id="242"/>
      </w:r>
      <w:r w:rsidRPr="0078696C">
        <w:rPr>
          <w:rFonts w:ascii="Times New Roman" w:hAnsi="Times New Roman"/>
          <w:color w:val="000000"/>
          <w:sz w:val="28"/>
          <w:szCs w:val="28"/>
        </w:rPr>
        <w:t>, «Про судову експертизу»</w:t>
      </w:r>
      <w:r w:rsidR="00D63DE3" w:rsidRPr="0078696C">
        <w:rPr>
          <w:rStyle w:val="a8"/>
          <w:rFonts w:ascii="Times New Roman" w:hAnsi="Times New Roman"/>
          <w:color w:val="000000"/>
          <w:sz w:val="28"/>
          <w:szCs w:val="28"/>
        </w:rPr>
        <w:footnoteReference w:id="243"/>
      </w:r>
      <w:r w:rsidRPr="0078696C">
        <w:rPr>
          <w:rFonts w:ascii="Times New Roman" w:hAnsi="Times New Roman"/>
          <w:color w:val="000000"/>
          <w:sz w:val="28"/>
          <w:szCs w:val="28"/>
        </w:rPr>
        <w:t xml:space="preserve">, </w:t>
      </w:r>
      <w:r w:rsidRPr="0078696C">
        <w:rPr>
          <w:rFonts w:ascii="Times New Roman" w:hAnsi="Times New Roman"/>
          <w:color w:val="000000"/>
          <w:sz w:val="28"/>
          <w:szCs w:val="28"/>
        </w:rPr>
        <w:lastRenderedPageBreak/>
        <w:t>«Про наукову і науково-технічну діяльність»</w:t>
      </w:r>
      <w:r w:rsidR="00F42D19" w:rsidRPr="0078696C">
        <w:rPr>
          <w:rStyle w:val="a8"/>
          <w:rFonts w:ascii="Times New Roman" w:hAnsi="Times New Roman"/>
          <w:color w:val="000000"/>
          <w:sz w:val="28"/>
          <w:szCs w:val="28"/>
        </w:rPr>
        <w:footnoteReference w:id="244"/>
      </w:r>
      <w:r w:rsidRPr="0078696C">
        <w:rPr>
          <w:rFonts w:ascii="Times New Roman" w:hAnsi="Times New Roman"/>
          <w:color w:val="000000"/>
          <w:sz w:val="28"/>
          <w:szCs w:val="28"/>
        </w:rPr>
        <w:t>, «Про державну підтримку засобів масової інформації та соціальний захист журналістів»</w:t>
      </w:r>
      <w:r w:rsidR="00611409" w:rsidRPr="0078696C">
        <w:rPr>
          <w:rStyle w:val="a8"/>
          <w:rFonts w:ascii="Times New Roman" w:hAnsi="Times New Roman"/>
          <w:color w:val="000000"/>
          <w:sz w:val="28"/>
          <w:szCs w:val="28"/>
        </w:rPr>
        <w:footnoteReference w:id="245"/>
      </w:r>
      <w:r w:rsidRPr="0078696C">
        <w:rPr>
          <w:rFonts w:ascii="Times New Roman" w:hAnsi="Times New Roman"/>
          <w:color w:val="000000"/>
          <w:sz w:val="28"/>
          <w:szCs w:val="28"/>
        </w:rPr>
        <w:t>, Митного кодексу України</w:t>
      </w:r>
      <w:r w:rsidR="00611409" w:rsidRPr="0078696C">
        <w:rPr>
          <w:rStyle w:val="a8"/>
          <w:rFonts w:ascii="Times New Roman" w:hAnsi="Times New Roman"/>
          <w:color w:val="000000"/>
          <w:sz w:val="28"/>
          <w:szCs w:val="28"/>
        </w:rPr>
        <w:footnoteReference w:id="246"/>
      </w:r>
      <w:r w:rsidRPr="0078696C">
        <w:rPr>
          <w:rFonts w:ascii="Times New Roman" w:hAnsi="Times New Roman"/>
          <w:color w:val="000000"/>
          <w:sz w:val="28"/>
          <w:szCs w:val="28"/>
        </w:rPr>
        <w:t>, Податкового кодексу України</w:t>
      </w:r>
      <w:r w:rsidR="00611409" w:rsidRPr="0078696C">
        <w:rPr>
          <w:rStyle w:val="a8"/>
          <w:rFonts w:ascii="Times New Roman" w:hAnsi="Times New Roman"/>
          <w:color w:val="000000"/>
          <w:sz w:val="28"/>
          <w:szCs w:val="28"/>
        </w:rPr>
        <w:footnoteReference w:id="247"/>
      </w:r>
      <w:r w:rsidRPr="0078696C">
        <w:rPr>
          <w:rFonts w:ascii="Times New Roman" w:hAnsi="Times New Roman"/>
          <w:color w:val="000000"/>
          <w:sz w:val="28"/>
          <w:szCs w:val="28"/>
        </w:rPr>
        <w:t>, Положення про помічника-консультанта народного депутата України</w:t>
      </w:r>
      <w:r w:rsidR="005D1B0B" w:rsidRPr="0078696C">
        <w:rPr>
          <w:rStyle w:val="a8"/>
          <w:rFonts w:ascii="Times New Roman" w:hAnsi="Times New Roman"/>
          <w:color w:val="000000"/>
          <w:sz w:val="28"/>
          <w:szCs w:val="28"/>
        </w:rPr>
        <w:footnoteReference w:id="248"/>
      </w:r>
      <w:r w:rsidRPr="0078696C">
        <w:rPr>
          <w:rFonts w:ascii="Times New Roman" w:hAnsi="Times New Roman"/>
          <w:color w:val="000000"/>
          <w:sz w:val="28"/>
          <w:szCs w:val="28"/>
        </w:rPr>
        <w:t>).</w:t>
      </w:r>
    </w:p>
    <w:p w:rsidR="005D1B0B"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Положення, що передбачали окремі умови пенсійного забезпечення державних службовців, були скасовані ще з 01.05.2016 року, коли набрав чинності Закон України «Про держав</w:t>
      </w:r>
      <w:r w:rsidR="00D94E57" w:rsidRPr="0078696C">
        <w:rPr>
          <w:rFonts w:ascii="Times New Roman" w:hAnsi="Times New Roman"/>
          <w:color w:val="000000"/>
          <w:sz w:val="28"/>
          <w:szCs w:val="28"/>
        </w:rPr>
        <w:t>ну служ</w:t>
      </w:r>
      <w:r w:rsidR="005D146F" w:rsidRPr="0078696C">
        <w:rPr>
          <w:rFonts w:ascii="Times New Roman" w:hAnsi="Times New Roman"/>
          <w:color w:val="000000"/>
          <w:sz w:val="28"/>
          <w:szCs w:val="28"/>
        </w:rPr>
        <w:t xml:space="preserve">бу» від 10.12.2015 року </w:t>
      </w:r>
      <w:r w:rsidRPr="0078696C">
        <w:rPr>
          <w:rFonts w:ascii="Times New Roman" w:hAnsi="Times New Roman"/>
          <w:color w:val="000000"/>
          <w:sz w:val="28"/>
          <w:szCs w:val="28"/>
        </w:rPr>
        <w:t>№ 889-VIII</w:t>
      </w:r>
      <w:r w:rsidR="00D51F98" w:rsidRPr="0078696C">
        <w:rPr>
          <w:rStyle w:val="a8"/>
          <w:rFonts w:ascii="Times New Roman" w:hAnsi="Times New Roman"/>
          <w:color w:val="000000"/>
          <w:sz w:val="28"/>
          <w:szCs w:val="28"/>
        </w:rPr>
        <w:footnoteReference w:id="249"/>
      </w:r>
      <w:r w:rsidRPr="0078696C">
        <w:rPr>
          <w:rFonts w:ascii="Times New Roman" w:hAnsi="Times New Roman"/>
          <w:color w:val="000000"/>
          <w:sz w:val="28"/>
          <w:szCs w:val="28"/>
        </w:rPr>
        <w:t xml:space="preserve">. Законом України «Про внесення змін до деяких законодавчих актів України щодо підвищення пенсій» </w:t>
      </w:r>
      <w:r w:rsidR="005D1B0B" w:rsidRPr="0078696C">
        <w:rPr>
          <w:rStyle w:val="a8"/>
          <w:rFonts w:ascii="Times New Roman" w:hAnsi="Times New Roman"/>
          <w:color w:val="000000"/>
          <w:sz w:val="28"/>
          <w:szCs w:val="28"/>
        </w:rPr>
        <w:footnoteReference w:id="250"/>
      </w:r>
      <w:r w:rsidRPr="0078696C">
        <w:rPr>
          <w:rFonts w:ascii="Times New Roman" w:hAnsi="Times New Roman"/>
          <w:color w:val="000000"/>
          <w:sz w:val="28"/>
          <w:szCs w:val="28"/>
        </w:rPr>
        <w:t>остаточно скасовано положення більшості законів, що передбачали умови і підстави пенсійного забезпечення для окремих категорій осіб, відмінні від загальнообов’язкового дер</w:t>
      </w:r>
      <w:r w:rsidR="009551EC" w:rsidRPr="0078696C">
        <w:rPr>
          <w:rFonts w:ascii="Times New Roman" w:hAnsi="Times New Roman"/>
          <w:color w:val="000000"/>
          <w:sz w:val="28"/>
          <w:szCs w:val="28"/>
        </w:rPr>
        <w:t>жавного пенсійного страхування.</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Наступним проблемним напрямом у забезпеченні належного рівня розміру пенсійних виплат в солідарній пенсійній системі є встановлений законами та іншими нормативно-правовими актами України механізм підвищення пенсійних виплат громадянам, що дає можливість частково або повністю відшкодовувати подорожчання споживчих товарів і послуг (індексація та перерахунок пенсій).</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Питання перерахунку пенсій, що виплачуються в межах солідарної пенсійної системи, регулює ст. 42 Закону України № 1058-IV «Про загальнообов’язкове державне пенсійне страхування».Так, відповідно до ч. 3 ст. 42 Закону України «Про загальнообов’язкове державне пенсійне страхування» встановлення нового розміру прожиткового мінімуму для осіб, які втратили </w:t>
      </w:r>
      <w:r w:rsidRPr="0078696C">
        <w:rPr>
          <w:rFonts w:ascii="Times New Roman" w:hAnsi="Times New Roman"/>
          <w:color w:val="000000"/>
          <w:sz w:val="28"/>
          <w:szCs w:val="28"/>
        </w:rPr>
        <w:lastRenderedPageBreak/>
        <w:t xml:space="preserve">працездатність, визначеного законом, зумовлює автоматичний перерахунок пенсії. Перерахунок пенсії проводиться з дня встановлення нового розміру прожиткового мінімуму </w:t>
      </w:r>
      <w:r w:rsidRPr="0078696C">
        <w:rPr>
          <w:rFonts w:ascii="Times New Roman" w:hAnsi="Times New Roman"/>
          <w:color w:val="000000"/>
          <w:sz w:val="28"/>
          <w:szCs w:val="28"/>
          <w:vertAlign w:val="superscript"/>
        </w:rPr>
        <w:footnoteReference w:id="251"/>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Додаткова підстава для проведення перерахунку розміру пенсії за віком передбачена частиною другою ст. 42 Закону України «Про загальнообов’язкове державне пенсійне страхування» в редакції Закону України № 2148-VIII від 03.10.2017</w:t>
      </w:r>
      <w:r w:rsidR="006B5671" w:rsidRPr="0078696C">
        <w:rPr>
          <w:rFonts w:ascii="Times New Roman" w:hAnsi="Times New Roman"/>
          <w:color w:val="000000"/>
          <w:sz w:val="28"/>
          <w:szCs w:val="28"/>
        </w:rPr>
        <w:t xml:space="preserve"> р</w:t>
      </w:r>
      <w:r w:rsidRPr="0078696C">
        <w:rPr>
          <w:rFonts w:ascii="Times New Roman" w:hAnsi="Times New Roman"/>
          <w:color w:val="000000"/>
          <w:sz w:val="28"/>
          <w:szCs w:val="28"/>
        </w:rPr>
        <w:t>. Відповідно до неї з 1 січня 2016 року автоматичний перерахунок мінімального розміру пенсії за віком повинен здійснюватися у разі збільшення розміру прожиткового мінімуму для осіб, які втратили працездатність, визначеного законом, а також у разі збільшення розміру мінімальної заробітної плати, визначеної законом про Державний бюджет України на відповідний рік. Перерахунок пенсії проводиться з дня встановлення нового розміру прожиткового мінімуму/мінімальної заробітної плати. Наведена законодавча гарантія не поширюється на пенсіонерів, які працюють (провадять діяльність, пов’язану з отриманням доходу, що є базою нарахування єдиного внеску на загальнообов’язкове державне соціальне страхування). Це, на нашу думку, є прямим порушенням принципів рівності прав всіх громадян та соціальної справедливості.</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Таким пенсіонерам, які працюють (провадять діяльність, пов’язану з отриманням доходу, що є базою нарахування єдиного внеску на загальнообов’язкове державне соціальне страхування), пенсія перераховується після звільнення з роботи або припинення такої діяльності з урахуванням прожиткового мінімуму для осіб, які втратили працездатність/мінімальної заробітної плати, визначених законом на дату звільнення з роботи або припинення такої діяльності </w:t>
      </w:r>
      <w:r w:rsidRPr="0078696C">
        <w:rPr>
          <w:rFonts w:ascii="Times New Roman" w:hAnsi="Times New Roman"/>
          <w:color w:val="000000"/>
          <w:sz w:val="28"/>
          <w:szCs w:val="28"/>
          <w:vertAlign w:val="superscript"/>
        </w:rPr>
        <w:footnoteReference w:id="252"/>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Перерахунок пенсії також може бути проведений у випадку збільшення </w:t>
      </w:r>
      <w:r w:rsidR="00FE3A49" w:rsidRPr="0078696C">
        <w:rPr>
          <w:rFonts w:ascii="Times New Roman" w:hAnsi="Times New Roman"/>
          <w:color w:val="000000"/>
          <w:sz w:val="28"/>
          <w:szCs w:val="28"/>
        </w:rPr>
        <w:t>особистого</w:t>
      </w:r>
      <w:r w:rsidRPr="0078696C">
        <w:rPr>
          <w:rFonts w:ascii="Times New Roman" w:hAnsi="Times New Roman"/>
          <w:color w:val="000000"/>
          <w:sz w:val="28"/>
          <w:szCs w:val="28"/>
        </w:rPr>
        <w:t xml:space="preserve"> страхового стажу особи (ч. 4 ст. 42 Закону України № 1058-IV</w:t>
      </w:r>
      <w:r w:rsidR="00FE3A49" w:rsidRPr="0078696C">
        <w:rPr>
          <w:rStyle w:val="a8"/>
          <w:rFonts w:ascii="Times New Roman" w:hAnsi="Times New Roman"/>
          <w:color w:val="000000"/>
          <w:sz w:val="28"/>
          <w:szCs w:val="28"/>
        </w:rPr>
        <w:footnoteReference w:id="253"/>
      </w:r>
      <w:r w:rsidRPr="0078696C">
        <w:rPr>
          <w:rFonts w:ascii="Times New Roman" w:hAnsi="Times New Roman"/>
          <w:color w:val="000000"/>
          <w:sz w:val="28"/>
          <w:szCs w:val="28"/>
        </w:rPr>
        <w:t xml:space="preserve">). Варто наголосити, що перерахунок пенсії, пов’язаний зі збільшенням </w:t>
      </w:r>
      <w:r w:rsidRPr="0078696C">
        <w:rPr>
          <w:rFonts w:ascii="Times New Roman" w:hAnsi="Times New Roman"/>
          <w:color w:val="000000"/>
          <w:sz w:val="28"/>
          <w:szCs w:val="28"/>
        </w:rPr>
        <w:lastRenderedPageBreak/>
        <w:t xml:space="preserve">страхового стажу не поширюється на пенсіонерів, яким призначено пенсію за вислугу років на умовах, передбачених Законом України «Про пенсійне забезпечення», та які не досягли пенсійного віку, встановленого ст. 26 Закону України «Про загальнообов’язкове державне пенсійне страхування» (абз. 7 ч. 4 ст. 42 Закону України «Про загальнообов’язкове державне пенсійне страхування») </w:t>
      </w:r>
      <w:r w:rsidRPr="0078696C">
        <w:rPr>
          <w:rFonts w:ascii="Times New Roman" w:hAnsi="Times New Roman"/>
          <w:color w:val="000000"/>
          <w:sz w:val="28"/>
          <w:szCs w:val="28"/>
          <w:vertAlign w:val="superscript"/>
        </w:rPr>
        <w:footnoteReference w:id="254"/>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Абзацом 5 ч. 4 ст. 42 Закону України «Про загальнообов’язкове державне пенсійне страхування» передбачено зобов’язання органів Пенсійного фонду щороку з 1 квітня без додаткового звернення особи проводити перерахунок пенсії тим особам, які станом на 1 березня року, в якому здійснюється перерахунок, набули право на проведення перерахунку, пов’язаного із збільшенням кількісного критерію страхового стажу особи на найбільш вигідних умовах </w:t>
      </w:r>
      <w:r w:rsidRPr="0078696C">
        <w:rPr>
          <w:rFonts w:ascii="Times New Roman" w:hAnsi="Times New Roman"/>
          <w:color w:val="000000"/>
          <w:sz w:val="28"/>
          <w:szCs w:val="28"/>
          <w:vertAlign w:val="superscript"/>
        </w:rPr>
        <w:footnoteReference w:id="255"/>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Важливим у процедурі реалізації особою пенсійних прав є індексація грошових доходів населення – як встановлений законами та іншими нормативно-правовими актами України механізм підвищення грошових доходів населення, що дає можливість частково або повністю відшкодовувати подорожчання споживчих товарів і послуг (ст.1 Закону України № 2462-VI «Про індексацію грошових доходів населення») </w:t>
      </w:r>
      <w:r w:rsidRPr="0078696C">
        <w:rPr>
          <w:rFonts w:ascii="Times New Roman" w:hAnsi="Times New Roman"/>
          <w:color w:val="000000"/>
          <w:sz w:val="28"/>
          <w:szCs w:val="28"/>
          <w:vertAlign w:val="superscript"/>
        </w:rPr>
        <w:footnoteReference w:id="256"/>
      </w:r>
      <w:r w:rsidRPr="0078696C">
        <w:rPr>
          <w:rFonts w:ascii="Times New Roman" w:hAnsi="Times New Roman"/>
          <w:color w:val="000000"/>
          <w:sz w:val="28"/>
          <w:szCs w:val="28"/>
        </w:rPr>
        <w:t>. Водночас в Україні з оглядуна дефіцит бюджету Пенсійного фонду України (зокрема в 2017 році Пенсійний фонд України називав д</w:t>
      </w:r>
      <w:r w:rsidR="00752B2B" w:rsidRPr="0078696C">
        <w:rPr>
          <w:rFonts w:ascii="Times New Roman" w:hAnsi="Times New Roman"/>
          <w:color w:val="000000"/>
          <w:sz w:val="28"/>
          <w:szCs w:val="28"/>
        </w:rPr>
        <w:t>ефіцит своїх коштів на рівні 71</w:t>
      </w:r>
      <w:r w:rsidRPr="0078696C">
        <w:rPr>
          <w:rFonts w:ascii="Times New Roman" w:hAnsi="Times New Roman"/>
          <w:color w:val="000000"/>
          <w:sz w:val="28"/>
          <w:szCs w:val="28"/>
        </w:rPr>
        <w:t xml:space="preserve">700 млн. грн. </w:t>
      </w:r>
      <w:r w:rsidRPr="0078696C">
        <w:rPr>
          <w:rFonts w:ascii="Times New Roman" w:hAnsi="Times New Roman"/>
          <w:color w:val="000000"/>
          <w:sz w:val="28"/>
          <w:szCs w:val="28"/>
          <w:vertAlign w:val="superscript"/>
        </w:rPr>
        <w:footnoteReference w:id="257"/>
      </w:r>
      <w:r w:rsidRPr="0078696C">
        <w:rPr>
          <w:rFonts w:ascii="Times New Roman" w:hAnsi="Times New Roman"/>
          <w:color w:val="000000"/>
          <w:sz w:val="28"/>
          <w:szCs w:val="28"/>
        </w:rPr>
        <w:t>) зазначений механізм соціального захисту громадян наявний в законодавчих положеннях, однак відсутній</w:t>
      </w:r>
      <w:r w:rsidR="00752B2B" w:rsidRPr="0078696C">
        <w:rPr>
          <w:rFonts w:ascii="Times New Roman" w:hAnsi="Times New Roman"/>
          <w:color w:val="000000"/>
          <w:sz w:val="28"/>
          <w:szCs w:val="28"/>
        </w:rPr>
        <w:t xml:space="preserve"> на практиці, що, </w:t>
      </w:r>
      <w:r w:rsidRPr="0078696C">
        <w:rPr>
          <w:rFonts w:ascii="Times New Roman" w:hAnsi="Times New Roman"/>
          <w:color w:val="000000"/>
          <w:sz w:val="28"/>
          <w:szCs w:val="28"/>
        </w:rPr>
        <w:t>призвело до реальної дискримінації громадян у сфері пенсійного забезпечення: за однакових правових підстав та умов реалізації права на пенсію особа, яка вийшла на пенсію раніше отримувала значно нижчий розмір пенсії).</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З 1 жовтня 2017 року передбачено окремий порядок індексації пенсій, який є абсолютно новим для нашої країни.</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Зокрема ч. 2 ст. 42 Закону України «Про загальнообов’язкове державне пенсійне страхування» передбачає, що для забезпечення індексації пенсії щороку буде проводитися перерахунок раніше призначених пенсій шляхом збільшення показника середньої заробітної плати (доходу) в Україні, з якої сплачено страхові внески, та який враховується для обчислення пенсії</w:t>
      </w:r>
      <w:r w:rsidR="00FE3A49" w:rsidRPr="0078696C">
        <w:rPr>
          <w:rStyle w:val="a8"/>
          <w:rFonts w:ascii="Times New Roman" w:hAnsi="Times New Roman"/>
          <w:color w:val="000000"/>
          <w:sz w:val="28"/>
          <w:szCs w:val="28"/>
        </w:rPr>
        <w:footnoteReference w:id="258"/>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Показник середньої заробітної плати (доходу) в Україні, який застосовується для обчислення пенсії, щороку збільшується </w:t>
      </w:r>
      <w:r w:rsidR="00752B2B" w:rsidRPr="0078696C">
        <w:rPr>
          <w:rFonts w:ascii="Times New Roman" w:hAnsi="Times New Roman"/>
          <w:color w:val="000000"/>
          <w:sz w:val="28"/>
          <w:szCs w:val="28"/>
        </w:rPr>
        <w:t>на коефіцієнт, що відповідає 50</w:t>
      </w:r>
      <w:r w:rsidRPr="0078696C">
        <w:rPr>
          <w:rFonts w:ascii="Times New Roman" w:hAnsi="Times New Roman"/>
          <w:color w:val="000000"/>
          <w:sz w:val="28"/>
          <w:szCs w:val="28"/>
        </w:rPr>
        <w:t>% показника зростання спожив</w:t>
      </w:r>
      <w:r w:rsidR="00752B2B" w:rsidRPr="0078696C">
        <w:rPr>
          <w:rFonts w:ascii="Times New Roman" w:hAnsi="Times New Roman"/>
          <w:color w:val="000000"/>
          <w:sz w:val="28"/>
          <w:szCs w:val="28"/>
        </w:rPr>
        <w:t>чих цін за попередній рік та 50</w:t>
      </w:r>
      <w:r w:rsidRPr="0078696C">
        <w:rPr>
          <w:rFonts w:ascii="Times New Roman" w:hAnsi="Times New Roman"/>
          <w:color w:val="000000"/>
          <w:sz w:val="28"/>
          <w:szCs w:val="28"/>
        </w:rPr>
        <w:t>% показника зростання середньої заробітної плати (доходу) в Україні, з якої сплачено страхові внески, за три календарні роки, що передують року, в якому проводиться збільшення, порівняно з трьома календарними роками, що передували року, який є попереднім щодо року, в якому проводиться збільшення</w:t>
      </w:r>
      <w:r w:rsidRPr="0078696C">
        <w:rPr>
          <w:rFonts w:ascii="Times New Roman" w:hAnsi="Times New Roman"/>
          <w:color w:val="000000"/>
          <w:sz w:val="28"/>
          <w:szCs w:val="28"/>
          <w:vertAlign w:val="superscript"/>
        </w:rPr>
        <w:footnoteReference w:id="259"/>
      </w:r>
      <w:r w:rsidRPr="0078696C">
        <w:rPr>
          <w:rFonts w:ascii="Times New Roman" w:hAnsi="Times New Roman"/>
          <w:color w:val="000000"/>
          <w:sz w:val="28"/>
          <w:szCs w:val="28"/>
        </w:rPr>
        <w:t xml:space="preserve">. Змішана методологія індексації пенсій (на основі динаміки споживчих цін та динаміки заробітної плати) застосовується в Данії, Італії, Німеччині </w:t>
      </w:r>
      <w:r w:rsidRPr="0078696C">
        <w:rPr>
          <w:rFonts w:ascii="Times New Roman" w:hAnsi="Times New Roman"/>
          <w:color w:val="000000"/>
          <w:sz w:val="28"/>
          <w:szCs w:val="28"/>
          <w:vertAlign w:val="superscript"/>
        </w:rPr>
        <w:footnoteReference w:id="260"/>
      </w:r>
      <w:r w:rsidRPr="0078696C">
        <w:rPr>
          <w:rFonts w:ascii="Times New Roman" w:hAnsi="Times New Roman"/>
          <w:color w:val="000000"/>
          <w:sz w:val="28"/>
          <w:szCs w:val="28"/>
        </w:rPr>
        <w:t>.</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Однак, аналіз зазначеної норми дає підстави стверджувати, що такий перерахунок буде проводитись у випадку відсутності дефіциту ПФУ для фінансування виплати пенсій у солідарній системі. Дана норма про індексацію може бути нівельована положенням, відповідно до якого розмір, дата та порядок індексації визначаються у межах бюджету Пенсійного фонду за рішенням Кабінету Міністрів України з урахуванням мінімального розміру збільшення, визначеного абзацом другим цієї частини. На практиці це доволі часто означає, що Кабінет Міністрів України може зловживати свої</w:t>
      </w:r>
      <w:r w:rsidR="00FE45CD" w:rsidRPr="0078696C">
        <w:rPr>
          <w:rFonts w:ascii="Times New Roman" w:hAnsi="Times New Roman"/>
          <w:color w:val="000000"/>
          <w:sz w:val="28"/>
          <w:szCs w:val="28"/>
        </w:rPr>
        <w:t>м</w:t>
      </w:r>
      <w:r w:rsidRPr="0078696C">
        <w:rPr>
          <w:rFonts w:ascii="Times New Roman" w:hAnsi="Times New Roman"/>
          <w:color w:val="000000"/>
          <w:sz w:val="28"/>
          <w:szCs w:val="28"/>
        </w:rPr>
        <w:t xml:space="preserve"> правом – не приймати відповідне рішення, й таким чином штучно відтерміновувати індексацію пенсій.</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На сьогодні у пенсійної системи України є ряд й інших загроз, що перешкоджають їй адаптуватися до вимог Євросоюзу, зокрема високий рівень тінізації економіки.</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Основною причиною високого рівня тінізації української економіки є неефективні інституціональні засади регулювання підприємництва та незадовільні умови для здійснення підприємницької діяльності. Тому </w:t>
      </w:r>
      <w:r w:rsidRPr="0078696C">
        <w:rPr>
          <w:rFonts w:ascii="Times New Roman" w:eastAsia="Times New Roman" w:hAnsi="Times New Roman"/>
          <w:color w:val="000000"/>
          <w:sz w:val="28"/>
          <w:szCs w:val="28"/>
          <w:lang w:eastAsia="ru-RU"/>
        </w:rPr>
        <w:br/>
        <w:t xml:space="preserve">Д. Водолажченко стверджує, що існує наявний потенціал розширення ресурсної бази пенсійної системи, України, який може реалізуватися в процесі легалізації доходів населення </w:t>
      </w:r>
      <w:r w:rsidRPr="0078696C">
        <w:rPr>
          <w:rStyle w:val="a8"/>
          <w:rFonts w:ascii="Times New Roman" w:eastAsia="Times New Roman" w:hAnsi="Times New Roman"/>
          <w:color w:val="000000"/>
          <w:sz w:val="28"/>
          <w:szCs w:val="28"/>
          <w:lang w:eastAsia="ru-RU"/>
        </w:rPr>
        <w:footnoteReference w:id="261"/>
      </w:r>
      <w:r w:rsidRPr="0078696C">
        <w:rPr>
          <w:rFonts w:ascii="Times New Roman" w:eastAsia="Times New Roman" w:hAnsi="Times New Roman"/>
          <w:color w:val="000000"/>
          <w:sz w:val="28"/>
          <w:szCs w:val="28"/>
          <w:lang w:eastAsia="ru-RU"/>
        </w:rPr>
        <w:t>.</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 умовах високої інфляції забезпечення позитивної реальної дохідності пенсійних накопичень є дуже складним завданням, особливо за наявності дефіциту в зборі податкових надходжень. Накопичувальні системи є більш вразливими за такого показника, але інфляція становить загрозу для усіх складових пенсійної системи, у т. ч. – і розподільної.</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За останні роки різко зріс рівень нерівності заробітків. Для тієї моделі пенсійної системи, яка зараз існує, це становить велику проблему. Нині дедалі більше громадян,а особливо молоді, починає шукати роботу, незалежну від держави. А це призводить до того, що вони ухиляються від соціального страхування, тобто не дбають про свою старість та не беруть солідарної участі в утриманні сьогоднішніх пенсіонерів. Модель соціальної поведінки багатьох молодих людей, які працюють на сьогодні неофіційно, не передбачає, що держава піклуватиметься про них у старості. Все це зумовить необхідність самостійно знаходити активи, щоб забезпечити себе у похилому віці.</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Участь України в глобалізаційних пр</w:t>
      </w:r>
      <w:r w:rsidR="00752B2B" w:rsidRPr="0078696C">
        <w:rPr>
          <w:rFonts w:ascii="Times New Roman" w:eastAsia="Times New Roman" w:hAnsi="Times New Roman"/>
          <w:color w:val="000000"/>
          <w:sz w:val="28"/>
          <w:szCs w:val="28"/>
          <w:lang w:eastAsia="ru-RU"/>
        </w:rPr>
        <w:t>оцесах призводить до</w:t>
      </w:r>
      <w:r w:rsidRPr="0078696C">
        <w:rPr>
          <w:rFonts w:ascii="Times New Roman" w:eastAsia="Times New Roman" w:hAnsi="Times New Roman"/>
          <w:color w:val="000000"/>
          <w:sz w:val="28"/>
          <w:szCs w:val="28"/>
          <w:lang w:eastAsia="ru-RU"/>
        </w:rPr>
        <w:t xml:space="preserve"> посилення трудової мобільності. Так, за даними Національного інституту стратегічних досліджень, кількість трудових мігрантів із України становить 4 млн. осіб, тобто 20% платників пенсійних внесків </w:t>
      </w:r>
      <w:r w:rsidRPr="0078696C">
        <w:rPr>
          <w:rStyle w:val="a8"/>
          <w:rFonts w:ascii="Times New Roman" w:eastAsia="Times New Roman" w:hAnsi="Times New Roman"/>
          <w:color w:val="000000"/>
          <w:sz w:val="28"/>
          <w:szCs w:val="28"/>
          <w:lang w:eastAsia="ru-RU"/>
        </w:rPr>
        <w:footnoteReference w:id="262"/>
      </w:r>
      <w:r w:rsidRPr="0078696C">
        <w:rPr>
          <w:rFonts w:ascii="Times New Roman" w:eastAsia="Times New Roman" w:hAnsi="Times New Roman"/>
          <w:color w:val="000000"/>
          <w:sz w:val="28"/>
          <w:szCs w:val="28"/>
          <w:lang w:eastAsia="ru-RU"/>
        </w:rPr>
        <w:t xml:space="preserve">. Процеси глобалізації економіки </w:t>
      </w:r>
      <w:r w:rsidRPr="0078696C">
        <w:rPr>
          <w:rFonts w:ascii="Times New Roman" w:eastAsia="Times New Roman" w:hAnsi="Times New Roman"/>
          <w:color w:val="000000"/>
          <w:sz w:val="28"/>
          <w:szCs w:val="28"/>
          <w:lang w:eastAsia="ru-RU"/>
        </w:rPr>
        <w:lastRenderedPageBreak/>
        <w:t>призводять безсилля держав перед суперечливими транснаціональними процесами на ринку праці.</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Підсилення ролі політичних чинників на сучасному етапі розвитку пенсійних систем є похідним від процесу старіння населення. Наприклад, спеціальні пенсії, які виникли в результаті успішних політичних рішень і які практично незворотньо породжують додат</w:t>
      </w:r>
      <w:r w:rsidR="00752B2B" w:rsidRPr="0078696C">
        <w:rPr>
          <w:rFonts w:ascii="Times New Roman" w:eastAsia="Times New Roman" w:hAnsi="Times New Roman"/>
          <w:color w:val="000000"/>
          <w:sz w:val="28"/>
          <w:szCs w:val="28"/>
          <w:lang w:eastAsia="ru-RU"/>
        </w:rPr>
        <w:t>кові витрати П</w:t>
      </w:r>
      <w:r w:rsidRPr="0078696C">
        <w:rPr>
          <w:rFonts w:ascii="Times New Roman" w:eastAsia="Times New Roman" w:hAnsi="Times New Roman"/>
          <w:color w:val="000000"/>
          <w:sz w:val="28"/>
          <w:szCs w:val="28"/>
          <w:lang w:eastAsia="ru-RU"/>
        </w:rPr>
        <w:t xml:space="preserve">енсійного фонду. Крім того, особи пенсійного віку є найбільш активною та організованою частиною електорату. Тому, чим старіше населення, тим сильнішою стає електоральна підтримка політики, спрямованої на щохвилинне, швидкоплинне поліпшення стану пенсійного забезпечення. Разом з тим, виникають не менш вразливі групи ризику, наприклад молодь без відповідної освіти, родини з дітьми (особливо неповні), інваліди і сім'ї, які втратили годувальника тощо. Нехтування інтересами таких соціальних груп для задоволення пенсійної складової зрештою обертається на шкоду і пенсіонерам, оскільки політика здійснюється не належним чином, зокрема, у сферах освіти, інноваційного розвитку, модернізації виробництва </w:t>
      </w:r>
      <w:r w:rsidRPr="0078696C">
        <w:rPr>
          <w:rStyle w:val="a8"/>
          <w:rFonts w:ascii="Times New Roman" w:eastAsia="Times New Roman" w:hAnsi="Times New Roman"/>
          <w:color w:val="000000"/>
          <w:sz w:val="28"/>
          <w:szCs w:val="28"/>
          <w:lang w:eastAsia="ru-RU"/>
        </w:rPr>
        <w:footnoteReference w:id="263"/>
      </w:r>
      <w:r w:rsidR="00752B2B" w:rsidRPr="0078696C">
        <w:rPr>
          <w:rFonts w:ascii="Times New Roman" w:eastAsia="Times New Roman" w:hAnsi="Times New Roman"/>
          <w:color w:val="000000"/>
          <w:sz w:val="28"/>
          <w:szCs w:val="28"/>
          <w:lang w:eastAsia="ru-RU"/>
        </w:rPr>
        <w:t>.</w:t>
      </w:r>
    </w:p>
    <w:p w:rsidR="007240C7" w:rsidRPr="0078696C" w:rsidRDefault="007240C7" w:rsidP="007240C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Таким чином, з’являється, на перший погляд, малопомітна, тривала у часі, але вкрай небезпечна тенденція до асоціалізації суспільства, маргіналізації та поширення серед населення психології «звичної» бідності, що відбивається на рівні життя майбутніх пенсіонерів.</w:t>
      </w:r>
    </w:p>
    <w:p w:rsidR="00795E62" w:rsidRPr="0078696C" w:rsidRDefault="00795E62" w:rsidP="00795E62">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Аналізуючи досвід впровадження пенсійних реформ в Україні, можемо стверджувати, що наша держава послуговується досвідом іноземних країн щодо модернізації сучасної пенсійної системи та підвищення індивідуальної (персональної) відповідальності особи за майбутній рівень власного пенсійного забезпечення. Зокрема, проаналізувавши внесені зміни в українське пенсійне законодавство, можна виділити наступні шляхи: збільшення періодів соціального пенсійного страхування; збільшення кола осіб, які підлягають або можуть бути застраховані в пенсійній системі України; збільшення вимог щодо </w:t>
      </w:r>
      <w:r w:rsidRPr="0078696C">
        <w:rPr>
          <w:rFonts w:ascii="Times New Roman" w:hAnsi="Times New Roman"/>
          <w:color w:val="000000"/>
          <w:sz w:val="28"/>
          <w:szCs w:val="28"/>
        </w:rPr>
        <w:lastRenderedPageBreak/>
        <w:t>мінімального страхового стажу для можливої участі особи в системі пенсійного забезпечення та для гарантування мінімальної пенсії за віком як державного соціального стандарту; непряме підвищення пенсійного віку; зменшення величини оцінки одного року страхового пенсійного стажу особи у механізмі обчислення її пенсії.</w:t>
      </w:r>
    </w:p>
    <w:p w:rsidR="006B5671" w:rsidRDefault="006B5671" w:rsidP="00795E62">
      <w:pPr>
        <w:spacing w:line="360" w:lineRule="auto"/>
        <w:ind w:firstLine="709"/>
        <w:contextualSpacing/>
        <w:jc w:val="both"/>
        <w:rPr>
          <w:rFonts w:ascii="Times New Roman" w:hAnsi="Times New Roman"/>
          <w:color w:val="000000"/>
          <w:sz w:val="28"/>
          <w:szCs w:val="28"/>
        </w:rPr>
      </w:pPr>
    </w:p>
    <w:p w:rsidR="00112F78" w:rsidRPr="0078696C" w:rsidRDefault="00112F78" w:rsidP="00795E62">
      <w:pPr>
        <w:spacing w:line="360" w:lineRule="auto"/>
        <w:ind w:firstLine="709"/>
        <w:contextualSpacing/>
        <w:jc w:val="both"/>
        <w:rPr>
          <w:rFonts w:ascii="Times New Roman" w:hAnsi="Times New Roman"/>
          <w:color w:val="000000"/>
          <w:sz w:val="28"/>
          <w:szCs w:val="28"/>
        </w:rPr>
      </w:pPr>
    </w:p>
    <w:p w:rsidR="00AE4D2F" w:rsidRPr="0078696C" w:rsidRDefault="00AE4D2F" w:rsidP="00AE4D2F">
      <w:pPr>
        <w:spacing w:after="0" w:line="360" w:lineRule="auto"/>
        <w:ind w:firstLine="709"/>
        <w:jc w:val="both"/>
        <w:rPr>
          <w:rFonts w:ascii="Times New Roman" w:hAnsi="Times New Roman"/>
          <w:b/>
          <w:color w:val="000000"/>
          <w:sz w:val="28"/>
          <w:szCs w:val="28"/>
        </w:rPr>
      </w:pPr>
      <w:r w:rsidRPr="0078696C">
        <w:rPr>
          <w:rFonts w:ascii="Times New Roman" w:hAnsi="Times New Roman"/>
          <w:b/>
          <w:color w:val="000000"/>
          <w:sz w:val="28"/>
          <w:szCs w:val="28"/>
        </w:rPr>
        <w:t>Висновки до розділу 2</w:t>
      </w:r>
    </w:p>
    <w:p w:rsidR="00752B2B" w:rsidRPr="0078696C" w:rsidRDefault="00AE4D2F" w:rsidP="00752B2B">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Дослідження сучасного стану державного управління системою пенсійного забезпечення України дало підстави зробити наступні висновки:</w:t>
      </w:r>
    </w:p>
    <w:p w:rsidR="00752B2B" w:rsidRPr="0078696C" w:rsidRDefault="00752B2B" w:rsidP="00461113">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1. </w:t>
      </w:r>
      <w:r w:rsidR="00AE4D2F" w:rsidRPr="0078696C">
        <w:rPr>
          <w:rFonts w:ascii="Times New Roman" w:hAnsi="Times New Roman"/>
          <w:color w:val="000000"/>
          <w:sz w:val="28"/>
          <w:szCs w:val="28"/>
        </w:rPr>
        <w:t xml:space="preserve">У </w:t>
      </w:r>
      <w:r w:rsidR="00E31BB0" w:rsidRPr="0078696C">
        <w:rPr>
          <w:rFonts w:ascii="Times New Roman" w:hAnsi="Times New Roman"/>
          <w:color w:val="000000"/>
          <w:sz w:val="28"/>
          <w:szCs w:val="28"/>
        </w:rPr>
        <w:t xml:space="preserve">процесі здійснення </w:t>
      </w:r>
      <w:r w:rsidR="009C6E05" w:rsidRPr="0078696C">
        <w:rPr>
          <w:rFonts w:ascii="Times New Roman" w:hAnsi="Times New Roman"/>
          <w:color w:val="000000"/>
          <w:sz w:val="28"/>
          <w:szCs w:val="28"/>
        </w:rPr>
        <w:t xml:space="preserve">пенсійних </w:t>
      </w:r>
      <w:r w:rsidR="00E31BB0" w:rsidRPr="0078696C">
        <w:rPr>
          <w:rFonts w:ascii="Times New Roman" w:hAnsi="Times New Roman"/>
          <w:color w:val="000000"/>
          <w:sz w:val="28"/>
          <w:szCs w:val="28"/>
        </w:rPr>
        <w:t xml:space="preserve">реформ </w:t>
      </w:r>
      <w:r w:rsidR="00AE4D2F" w:rsidRPr="0078696C">
        <w:rPr>
          <w:rFonts w:ascii="Times New Roman" w:hAnsi="Times New Roman"/>
          <w:color w:val="000000"/>
          <w:sz w:val="28"/>
          <w:szCs w:val="28"/>
        </w:rPr>
        <w:t xml:space="preserve">України, починаючи з </w:t>
      </w:r>
      <w:r w:rsidR="00531F02">
        <w:rPr>
          <w:rFonts w:ascii="Times New Roman" w:hAnsi="Times New Roman"/>
          <w:color w:val="000000"/>
          <w:sz w:val="28"/>
          <w:szCs w:val="28"/>
          <w:lang w:val="ru-RU"/>
        </w:rPr>
        <w:br/>
      </w:r>
      <w:r w:rsidR="00AE4D2F" w:rsidRPr="0078696C">
        <w:rPr>
          <w:rFonts w:ascii="Times New Roman" w:hAnsi="Times New Roman"/>
          <w:color w:val="000000"/>
          <w:sz w:val="28"/>
          <w:szCs w:val="28"/>
        </w:rPr>
        <w:t>1991 року</w:t>
      </w:r>
      <w:r w:rsidR="009A7E61" w:rsidRPr="0078696C">
        <w:rPr>
          <w:rFonts w:ascii="Times New Roman" w:hAnsi="Times New Roman"/>
          <w:color w:val="000000"/>
          <w:sz w:val="28"/>
          <w:szCs w:val="28"/>
        </w:rPr>
        <w:t xml:space="preserve"> до сьогодні</w:t>
      </w:r>
      <w:r w:rsidR="00AE4D2F" w:rsidRPr="0078696C">
        <w:rPr>
          <w:rFonts w:ascii="Times New Roman" w:hAnsi="Times New Roman"/>
          <w:color w:val="000000"/>
          <w:sz w:val="28"/>
          <w:szCs w:val="28"/>
        </w:rPr>
        <w:t>, можна виокремити 6 основних етапів</w:t>
      </w:r>
      <w:r w:rsidR="00CE1223" w:rsidRPr="0078696C">
        <w:rPr>
          <w:rFonts w:ascii="Times New Roman" w:hAnsi="Times New Roman"/>
          <w:color w:val="000000"/>
          <w:sz w:val="28"/>
          <w:szCs w:val="28"/>
        </w:rPr>
        <w:t xml:space="preserve">, </w:t>
      </w:r>
    </w:p>
    <w:p w:rsidR="00AE4D2F" w:rsidRPr="0078696C" w:rsidRDefault="00AE4D2F" w:rsidP="0053135A">
      <w:pPr>
        <w:spacing w:after="0" w:line="360" w:lineRule="auto"/>
        <w:ind w:firstLine="709"/>
        <w:jc w:val="both"/>
        <w:rPr>
          <w:rFonts w:ascii="Times New Roman" w:hAnsi="Times New Roman"/>
          <w:color w:val="000000"/>
          <w:sz w:val="28"/>
          <w:szCs w:val="28"/>
        </w:rPr>
      </w:pPr>
      <w:r w:rsidRPr="0078696C">
        <w:rPr>
          <w:rFonts w:ascii="Times New Roman" w:eastAsia="Times New Roman" w:hAnsi="Times New Roman"/>
          <w:i/>
          <w:color w:val="000000"/>
          <w:sz w:val="28"/>
          <w:szCs w:val="28"/>
          <w:lang w:eastAsia="uk-UA"/>
        </w:rPr>
        <w:t>1 етап (1991 – 1997)</w:t>
      </w:r>
      <w:r w:rsidRPr="0078696C">
        <w:rPr>
          <w:rFonts w:ascii="Times New Roman" w:eastAsia="Times New Roman" w:hAnsi="Times New Roman"/>
          <w:color w:val="000000"/>
          <w:sz w:val="28"/>
          <w:szCs w:val="28"/>
          <w:lang w:eastAsia="uk-UA"/>
        </w:rPr>
        <w:t xml:space="preserve"> – формування, розвиток та удосконалення пенсійної системи у перші роки незалежності України; ухвалення універсального закону «Про пенсійне забезпечення» та низки законів, що визначали спеціальні умови виходу на пенсію окремих категорій осіб; визначення статусу Пенсійного фонду України як самостійної фінансово-банківської системи;</w:t>
      </w:r>
    </w:p>
    <w:p w:rsidR="00AE4D2F" w:rsidRPr="0078696C" w:rsidRDefault="00AE4D2F" w:rsidP="0053135A">
      <w:pPr>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 xml:space="preserve">2 етап (1998 – 2003) </w:t>
      </w:r>
      <w:r w:rsidRPr="0078696C">
        <w:rPr>
          <w:rFonts w:ascii="Times New Roman" w:eastAsia="Times New Roman" w:hAnsi="Times New Roman"/>
          <w:color w:val="000000"/>
          <w:sz w:val="28"/>
          <w:szCs w:val="28"/>
          <w:lang w:eastAsia="uk-UA"/>
        </w:rPr>
        <w:t>– впровадження персоніфікованого обліку в системі загальнообов’язкового державного пенсійного страхування, об’єднання в складі єдиного органу – Пенсійного фонду України всіх необхідних підсистем;</w:t>
      </w:r>
    </w:p>
    <w:p w:rsidR="00AE4D2F" w:rsidRPr="0078696C" w:rsidRDefault="00AE4D2F" w:rsidP="0053135A">
      <w:pPr>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 xml:space="preserve">3 етап (2004 – вересень 2011 ) </w:t>
      </w:r>
      <w:r w:rsidRPr="0078696C">
        <w:rPr>
          <w:rFonts w:ascii="Times New Roman" w:eastAsia="Times New Roman" w:hAnsi="Times New Roman"/>
          <w:color w:val="000000"/>
          <w:sz w:val="28"/>
          <w:szCs w:val="28"/>
          <w:lang w:eastAsia="uk-UA"/>
        </w:rPr>
        <w:t>– запровадження нової трирівневої пенсійної системи, що складається з трьох рівнів: перший рівень – солідарна система, другий – накопичувальна система, третій рівень – система недержавного пенсійного забезпечення;</w:t>
      </w:r>
    </w:p>
    <w:p w:rsidR="00AE4D2F" w:rsidRPr="0078696C" w:rsidRDefault="00AE4D2F" w:rsidP="0053135A">
      <w:pPr>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4 етап (жовтень 2011 – березень 2014)</w:t>
      </w:r>
      <w:r w:rsidRPr="0078696C">
        <w:rPr>
          <w:rFonts w:ascii="Times New Roman" w:eastAsia="Times New Roman" w:hAnsi="Times New Roman"/>
          <w:color w:val="000000"/>
          <w:sz w:val="28"/>
          <w:szCs w:val="28"/>
          <w:lang w:eastAsia="uk-UA"/>
        </w:rPr>
        <w:t xml:space="preserve"> – внесення змін до пенсійного законодавства в частині підвищення пенсійного віку жінок, збільшення тривалості страхового стажу, обмеження максимального розміру пенсії тощо;</w:t>
      </w:r>
    </w:p>
    <w:p w:rsidR="00AE4D2F" w:rsidRPr="0078696C" w:rsidRDefault="00AE4D2F" w:rsidP="0053135A">
      <w:pPr>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5 етап (квітень 2014 – вересень 2017)</w:t>
      </w:r>
      <w:r w:rsidRPr="0078696C">
        <w:rPr>
          <w:rFonts w:ascii="Times New Roman" w:eastAsia="Times New Roman" w:hAnsi="Times New Roman"/>
          <w:color w:val="000000"/>
          <w:sz w:val="28"/>
          <w:szCs w:val="28"/>
          <w:lang w:eastAsia="uk-UA"/>
        </w:rPr>
        <w:t xml:space="preserve"> – реформування пенсійного законодавства в умовах економічної кризи, введення оподаткування пенсій залежно від платоспроможності пенсіонерів, припинення призначення на </w:t>
      </w:r>
      <w:r w:rsidRPr="0078696C">
        <w:rPr>
          <w:rFonts w:ascii="Times New Roman" w:eastAsia="Times New Roman" w:hAnsi="Times New Roman"/>
          <w:color w:val="000000"/>
          <w:sz w:val="28"/>
          <w:szCs w:val="28"/>
          <w:lang w:eastAsia="uk-UA"/>
        </w:rPr>
        <w:lastRenderedPageBreak/>
        <w:t>період роботи спецпенсій державним службовцям, прокурорам, суддям, народним депутатам тощо;</w:t>
      </w:r>
    </w:p>
    <w:p w:rsidR="00752B2B" w:rsidRPr="0078696C" w:rsidRDefault="00AE4D2F" w:rsidP="0053135A">
      <w:pPr>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i/>
          <w:color w:val="000000"/>
          <w:sz w:val="28"/>
          <w:szCs w:val="28"/>
          <w:lang w:eastAsia="uk-UA"/>
        </w:rPr>
        <w:t>6 етап (жовтень 2017 – до сьогодні)</w:t>
      </w:r>
      <w:r w:rsidRPr="0078696C">
        <w:rPr>
          <w:rFonts w:ascii="Times New Roman" w:eastAsia="Times New Roman" w:hAnsi="Times New Roman"/>
          <w:color w:val="000000"/>
          <w:sz w:val="28"/>
          <w:szCs w:val="28"/>
          <w:lang w:eastAsia="uk-UA"/>
        </w:rPr>
        <w:t xml:space="preserve"> – проведення масштабних змін пенсійного законодавства, що спрямовані на підняття пенсійного віку </w:t>
      </w:r>
      <w:r w:rsidR="00752B2B" w:rsidRPr="0078696C">
        <w:rPr>
          <w:rFonts w:ascii="Times New Roman" w:eastAsia="Times New Roman" w:hAnsi="Times New Roman"/>
          <w:color w:val="000000"/>
          <w:sz w:val="28"/>
          <w:szCs w:val="28"/>
          <w:lang w:eastAsia="uk-UA"/>
        </w:rPr>
        <w:t>та збільшення страхового стажу.</w:t>
      </w:r>
    </w:p>
    <w:p w:rsidR="00AE4D2F" w:rsidRPr="0078696C" w:rsidRDefault="00752B2B" w:rsidP="00752B2B">
      <w:pPr>
        <w:spacing w:after="0" w:line="360" w:lineRule="auto"/>
        <w:ind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2. </w:t>
      </w:r>
      <w:r w:rsidR="00AE4D2F" w:rsidRPr="0078696C">
        <w:rPr>
          <w:rFonts w:ascii="Times New Roman" w:eastAsia="Times New Roman" w:hAnsi="Times New Roman"/>
          <w:color w:val="000000"/>
          <w:sz w:val="28"/>
          <w:szCs w:val="28"/>
          <w:lang w:eastAsia="uk-UA"/>
        </w:rPr>
        <w:t>При реалізації права на призначення пенсії громадяни України зіштовхуються з низкою проблем, найбільш поширенішими з яких є:</w:t>
      </w:r>
    </w:p>
    <w:p w:rsidR="00AE4D2F" w:rsidRPr="0078696C" w:rsidRDefault="00AE4D2F" w:rsidP="000E323C">
      <w:pPr>
        <w:numPr>
          <w:ilvl w:val="1"/>
          <w:numId w:val="18"/>
        </w:numPr>
        <w:tabs>
          <w:tab w:val="left" w:pos="709"/>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неможливість представлення до органу ПФУ уточнюючої довідки про пільговий характер робіт в зв’язку з відсутністю даних про місцезнаходження підприємства чи інших даних щодо тривалості та характеру робіт;</w:t>
      </w:r>
    </w:p>
    <w:p w:rsidR="00AE4D2F" w:rsidRPr="0078696C" w:rsidRDefault="00AE4D2F" w:rsidP="000E323C">
      <w:pPr>
        <w:numPr>
          <w:ilvl w:val="1"/>
          <w:numId w:val="18"/>
        </w:numPr>
        <w:tabs>
          <w:tab w:val="left" w:pos="709"/>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неможливість підтвердження стажу роботи на підприємстві, яке на момент звернення за призначенням пенсії є ліквідованим, в зв’язку з відсутністю документів в архівних установах;</w:t>
      </w:r>
    </w:p>
    <w:p w:rsidR="00AE4D2F" w:rsidRPr="0078696C" w:rsidRDefault="00AE4D2F" w:rsidP="000E323C">
      <w:pPr>
        <w:numPr>
          <w:ilvl w:val="1"/>
          <w:numId w:val="18"/>
        </w:numPr>
        <w:tabs>
          <w:tab w:val="left" w:pos="709"/>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непроведення підприємством атестації робочих місць за умовами праці в зв’язку з відсутністю коштів чи іншими бюрократичними процедурами, або наявність перерви понад 5 років при проведенні чергової атестації; </w:t>
      </w:r>
    </w:p>
    <w:p w:rsidR="00AE4D2F" w:rsidRPr="0078696C" w:rsidRDefault="00AE4D2F" w:rsidP="000E323C">
      <w:pPr>
        <w:numPr>
          <w:ilvl w:val="1"/>
          <w:numId w:val="18"/>
        </w:numPr>
        <w:tabs>
          <w:tab w:val="left" w:pos="709"/>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відсутність первинних документів щодо участі особи в ліквідації наслідків аварії на ЧАЕС;</w:t>
      </w:r>
    </w:p>
    <w:p w:rsidR="00AE4D2F" w:rsidRPr="0078696C" w:rsidRDefault="00AE4D2F" w:rsidP="000E323C">
      <w:pPr>
        <w:numPr>
          <w:ilvl w:val="1"/>
          <w:numId w:val="18"/>
        </w:numPr>
        <w:tabs>
          <w:tab w:val="left" w:pos="709"/>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відсутність строкових трудових договорів про роботу в особливих кліматичних умовах (райони Крайньої Півночі та місцевості, прирівняні до них);</w:t>
      </w:r>
    </w:p>
    <w:p w:rsidR="00AE4D2F" w:rsidRPr="0078696C" w:rsidRDefault="00B844BD" w:rsidP="000E323C">
      <w:pPr>
        <w:numPr>
          <w:ilvl w:val="1"/>
          <w:numId w:val="18"/>
        </w:numPr>
        <w:tabs>
          <w:tab w:val="left" w:pos="709"/>
        </w:tabs>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неналежна урегульо</w:t>
      </w:r>
      <w:r w:rsidR="00AE4D2F" w:rsidRPr="0078696C">
        <w:rPr>
          <w:rFonts w:ascii="Times New Roman" w:eastAsia="Times New Roman" w:hAnsi="Times New Roman"/>
          <w:color w:val="000000"/>
          <w:sz w:val="28"/>
          <w:szCs w:val="28"/>
          <w:lang w:eastAsia="uk-UA"/>
        </w:rPr>
        <w:t>ваність нормативно-правових актів в частині призначення та перерахунку пенсій військовослужбовців та прирівняних до них осіб та ін.</w:t>
      </w:r>
    </w:p>
    <w:p w:rsidR="00C50C1C" w:rsidRPr="0078696C" w:rsidRDefault="00752B2B" w:rsidP="00752B2B">
      <w:pPr>
        <w:spacing w:after="0" w:line="360" w:lineRule="auto"/>
        <w:ind w:left="851"/>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3. </w:t>
      </w:r>
      <w:r w:rsidR="00C50C1C" w:rsidRPr="0078696C">
        <w:rPr>
          <w:rFonts w:ascii="Times New Roman" w:eastAsia="Times New Roman" w:hAnsi="Times New Roman"/>
          <w:color w:val="000000"/>
          <w:sz w:val="28"/>
          <w:szCs w:val="28"/>
          <w:lang w:eastAsia="uk-UA"/>
        </w:rPr>
        <w:t>Ос</w:t>
      </w:r>
      <w:r w:rsidR="00214CD0" w:rsidRPr="0078696C">
        <w:rPr>
          <w:rFonts w:ascii="Times New Roman" w:eastAsia="Times New Roman" w:hAnsi="Times New Roman"/>
          <w:color w:val="000000"/>
          <w:sz w:val="28"/>
          <w:szCs w:val="28"/>
          <w:lang w:eastAsia="uk-UA"/>
        </w:rPr>
        <w:t>новними труднощами</w:t>
      </w:r>
      <w:r w:rsidR="00C50C1C" w:rsidRPr="0078696C">
        <w:rPr>
          <w:rFonts w:ascii="Times New Roman" w:eastAsia="Times New Roman" w:hAnsi="Times New Roman"/>
          <w:color w:val="000000"/>
          <w:sz w:val="28"/>
          <w:szCs w:val="28"/>
          <w:lang w:eastAsia="uk-UA"/>
        </w:rPr>
        <w:t xml:space="preserve"> впровадження пенсійних реформ в Україні є:</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наявність преференцій при зниженні пенсійного віку для окремих категорій пенсіонерів, що спричиняє розбалансованість бюджету Пенсійного </w:t>
      </w:r>
      <w:r w:rsidR="00AE3DB3" w:rsidRPr="0078696C">
        <w:rPr>
          <w:rFonts w:ascii="Times New Roman" w:eastAsia="Times New Roman" w:hAnsi="Times New Roman"/>
          <w:color w:val="000000"/>
          <w:sz w:val="28"/>
          <w:szCs w:val="28"/>
          <w:lang w:eastAsia="uk-UA"/>
        </w:rPr>
        <w:t>фонду та наявність</w:t>
      </w:r>
      <w:r w:rsidRPr="0078696C">
        <w:rPr>
          <w:rFonts w:ascii="Times New Roman" w:eastAsia="Times New Roman" w:hAnsi="Times New Roman"/>
          <w:color w:val="000000"/>
          <w:sz w:val="28"/>
          <w:szCs w:val="28"/>
          <w:lang w:eastAsia="uk-UA"/>
        </w:rPr>
        <w:t xml:space="preserve"> постійного дефіциту у ньому, покриття якого змушене здійснюватися за кошти Державного бюджету України;</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lastRenderedPageBreak/>
        <w:t>наявність відмінних механізмів розрахунків пенсій для окремих категорій осіб, що призводить до виникнення необґрунтованих диспропорцій у пенсійних виплатах, спричиняє порушення принципу справедливості пенсійної системи, надмірних фінансових витрат з бюджету Пенсійного фонду;</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залежність Пенсійного фонду від стабільності сплати роботодавцями платежів (компенсації фактичних витрат на виплату і доставку пенсій особам, які здобули право на достроковий вихід на пенсію) у той період, коли особа не працює, а одержує пенсію;</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існування пільг щодо відшкодування виплат пільгових пенсій для окремих галузей виробництва за рахунок коштів Державного бюджету;</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непрозорість механізму обчислення пенсії та чіткого розмежування джерел фінансового забезпечення пенсійних виплат;</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наявність широкого і невластивого для Пенсійного фонду спектру зобов’язань перед громадянами, які постраждали внаслідок Чорнобильської катастрофи;</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відсутність реального механізму індексації пенсійних виплат у зв’язку з інфляційними процесами в державі;</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низький рівень пенсій, який є нееквівалентним сучасному стрімкому підвищенню цін;</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 xml:space="preserve">необґрунтованість реформ в частині різкого підвищення пенсійного віку та трудового стажу, що не відповідає середній тривалості життя після пенсії в нашій країні та в країнах Європи; </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високі відсоткові ставки страхових внесків до Пенсійного фонду для працівників та роботодавців, що спричиняє значну тінізацію заробітних плат;</w:t>
      </w:r>
    </w:p>
    <w:p w:rsidR="00F40DB5" w:rsidRPr="0078696C" w:rsidRDefault="00F40DB5" w:rsidP="00F40DB5">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наявність заборгованості по внесках на загальнообов'язкове державне пенсійнестрахування підприємств, установ і організацій;</w:t>
      </w:r>
    </w:p>
    <w:p w:rsidR="00C50C1C" w:rsidRPr="0078696C" w:rsidRDefault="00C50C1C" w:rsidP="00C50C1C">
      <w:pPr>
        <w:numPr>
          <w:ilvl w:val="0"/>
          <w:numId w:val="17"/>
        </w:numPr>
        <w:spacing w:after="0" w:line="360" w:lineRule="auto"/>
        <w:ind w:left="0" w:firstLine="709"/>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невідповідність розміру пенсійної виплати обсягу сплачених особою за життя страхових внесків;</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lastRenderedPageBreak/>
        <w:t>відсутність дієвого механізму державного регулювання пільгового пенсійного забезпечення та контролю за проведенням атестації робочого місць підприємствами, що в подальшому ускладнює реалізацію права особи на пенсію зі зниженням пенсійного віку;</w:t>
      </w:r>
    </w:p>
    <w:p w:rsidR="00C50C1C" w:rsidRPr="0078696C" w:rsidRDefault="00C50C1C" w:rsidP="00C50C1C">
      <w:pPr>
        <w:numPr>
          <w:ilvl w:val="0"/>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погано розвинута система недержавного пенсійного забезпечення, що спричинена пізнім залученням України до світового досвіду використання ринку недержавних пенсійних послуг для забезпечення соціальних потреб пенсіонерів та збільшення інвестиційного потенціалу країни (для порівняння – якщо перші НПФ з’явилися в світі більше 100 років тому, то в Україні лише у 2004 р.);</w:t>
      </w:r>
    </w:p>
    <w:p w:rsidR="007240C7" w:rsidRPr="0078696C" w:rsidRDefault="00C50C1C" w:rsidP="00752B2B">
      <w:pPr>
        <w:numPr>
          <w:ilvl w:val="1"/>
          <w:numId w:val="17"/>
        </w:numPr>
        <w:spacing w:after="0" w:line="360" w:lineRule="auto"/>
        <w:ind w:left="0" w:firstLine="709"/>
        <w:contextualSpacing/>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uk-UA"/>
        </w:rPr>
        <w:t>значна неінформованість громадян у сфері пенсійного забезпечення, що спричинена доволі частим проведенням реформ та постійним внесенням з</w:t>
      </w:r>
      <w:r w:rsidR="007240C7" w:rsidRPr="0078696C">
        <w:rPr>
          <w:rFonts w:ascii="Times New Roman" w:eastAsia="Times New Roman" w:hAnsi="Times New Roman"/>
          <w:color w:val="000000"/>
          <w:sz w:val="28"/>
          <w:szCs w:val="28"/>
          <w:lang w:eastAsia="uk-UA"/>
        </w:rPr>
        <w:t>мін до пенсійного законодавства</w:t>
      </w:r>
      <w:r w:rsidR="00752B2B" w:rsidRPr="0078696C">
        <w:rPr>
          <w:rFonts w:ascii="Times New Roman" w:eastAsia="Times New Roman" w:hAnsi="Times New Roman"/>
          <w:color w:val="000000"/>
          <w:sz w:val="28"/>
          <w:szCs w:val="28"/>
          <w:lang w:eastAsia="uk-UA"/>
        </w:rPr>
        <w:t>.</w:t>
      </w:r>
    </w:p>
    <w:p w:rsidR="00543148" w:rsidRPr="0078696C" w:rsidRDefault="00233974" w:rsidP="00543148">
      <w:pPr>
        <w:pStyle w:val="a3"/>
        <w:spacing w:after="0" w:line="360" w:lineRule="auto"/>
        <w:ind w:left="0"/>
        <w:jc w:val="center"/>
        <w:rPr>
          <w:rFonts w:ascii="Times New Roman" w:hAnsi="Times New Roman"/>
          <w:color w:val="000000"/>
          <w:sz w:val="28"/>
          <w:szCs w:val="28"/>
          <w:lang w:val="uk-UA"/>
        </w:rPr>
      </w:pPr>
      <w:r w:rsidRPr="0078696C">
        <w:rPr>
          <w:rFonts w:ascii="Times New Roman" w:hAnsi="Times New Roman"/>
          <w:b/>
          <w:color w:val="000000"/>
          <w:sz w:val="28"/>
          <w:szCs w:val="28"/>
          <w:lang w:val="uk-UA"/>
        </w:rPr>
        <w:br w:type="page"/>
      </w:r>
      <w:r w:rsidR="00543148" w:rsidRPr="0078696C">
        <w:rPr>
          <w:rFonts w:ascii="Times New Roman" w:hAnsi="Times New Roman"/>
          <w:b/>
          <w:color w:val="000000"/>
          <w:sz w:val="28"/>
          <w:szCs w:val="28"/>
          <w:lang w:val="uk-UA"/>
        </w:rPr>
        <w:lastRenderedPageBreak/>
        <w:t>РОЗДІЛ 3</w:t>
      </w:r>
    </w:p>
    <w:p w:rsidR="00543148" w:rsidRPr="0078696C" w:rsidRDefault="00543148" w:rsidP="00543148">
      <w:pPr>
        <w:pStyle w:val="a3"/>
        <w:spacing w:after="0" w:line="360" w:lineRule="auto"/>
        <w:ind w:left="0"/>
        <w:jc w:val="center"/>
        <w:rPr>
          <w:rFonts w:ascii="Times New Roman" w:hAnsi="Times New Roman"/>
          <w:b/>
          <w:color w:val="000000"/>
          <w:sz w:val="28"/>
          <w:szCs w:val="28"/>
          <w:lang w:val="uk-UA"/>
        </w:rPr>
      </w:pPr>
      <w:r w:rsidRPr="0078696C">
        <w:rPr>
          <w:rFonts w:ascii="Times New Roman" w:hAnsi="Times New Roman"/>
          <w:b/>
          <w:color w:val="000000"/>
          <w:sz w:val="28"/>
          <w:szCs w:val="28"/>
          <w:lang w:val="uk-UA"/>
        </w:rPr>
        <w:t xml:space="preserve">ЄВРОПЕЙСЬКИЙ ДОСВІД РЕФОРМУВАННЯ ПЕНСІЙНИХ СИСТЕМ ТА </w:t>
      </w:r>
      <w:r w:rsidR="00257C06" w:rsidRPr="0078696C">
        <w:rPr>
          <w:rFonts w:ascii="Times New Roman" w:hAnsi="Times New Roman"/>
          <w:b/>
          <w:color w:val="000000"/>
          <w:sz w:val="28"/>
          <w:szCs w:val="28"/>
          <w:lang w:val="uk-UA"/>
        </w:rPr>
        <w:t>ПЕРСПЕКТИВИ ЙОГО ЗАПРОВАДЖЕННЯ</w:t>
      </w:r>
      <w:r w:rsidRPr="0078696C">
        <w:rPr>
          <w:rFonts w:ascii="Times New Roman" w:hAnsi="Times New Roman"/>
          <w:b/>
          <w:color w:val="000000"/>
          <w:sz w:val="28"/>
          <w:szCs w:val="28"/>
          <w:lang w:val="uk-UA"/>
        </w:rPr>
        <w:t xml:space="preserve"> В УКРАЇНІ</w:t>
      </w:r>
    </w:p>
    <w:p w:rsidR="00543148" w:rsidRPr="0078696C" w:rsidRDefault="00543148" w:rsidP="00543148">
      <w:pPr>
        <w:spacing w:after="0" w:line="360" w:lineRule="auto"/>
        <w:ind w:firstLine="709"/>
        <w:jc w:val="both"/>
        <w:rPr>
          <w:rFonts w:ascii="Times New Roman" w:eastAsia="Times New Roman" w:hAnsi="Times New Roman"/>
          <w:b/>
          <w:color w:val="000000"/>
          <w:sz w:val="28"/>
          <w:szCs w:val="28"/>
          <w:lang w:eastAsia="ru-RU"/>
        </w:rPr>
      </w:pPr>
    </w:p>
    <w:p w:rsidR="004224C2" w:rsidRPr="0078696C" w:rsidRDefault="00543148" w:rsidP="00C50C1C">
      <w:pPr>
        <w:spacing w:after="0" w:line="360" w:lineRule="auto"/>
        <w:ind w:firstLine="709"/>
        <w:jc w:val="both"/>
        <w:rPr>
          <w:rFonts w:ascii="Times New Roman" w:eastAsia="Times New Roman" w:hAnsi="Times New Roman"/>
          <w:b/>
          <w:color w:val="000000"/>
          <w:sz w:val="28"/>
          <w:szCs w:val="28"/>
          <w:lang w:eastAsia="ru-RU"/>
        </w:rPr>
      </w:pPr>
      <w:r w:rsidRPr="0078696C">
        <w:rPr>
          <w:rFonts w:ascii="Times New Roman" w:eastAsia="Times New Roman" w:hAnsi="Times New Roman"/>
          <w:b/>
          <w:color w:val="000000"/>
          <w:sz w:val="28"/>
          <w:szCs w:val="28"/>
          <w:lang w:eastAsia="ru-RU"/>
        </w:rPr>
        <w:t>3.1 Основні моделі пенсійних систем країн Європейського Союзу</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Поступове інтегрування України до європейських структур зумовлює аналіз відповідних механізмів, моделей, схем тощо, які використовуються в країнах ЄС, та їх впровадження з відповідною адаптацією у вітчизняні реалії.</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Системи пенсійного забезпечення, як і пенсійний вік, в європейських країнах дещо відрізняються один від одного. На перший погляд, дані пенсійні системи здаються стабільними, т</w:t>
      </w:r>
      <w:r w:rsidR="00141E6C" w:rsidRPr="0078696C">
        <w:rPr>
          <w:rFonts w:ascii="Times New Roman" w:eastAsia="Times New Roman" w:hAnsi="Times New Roman"/>
          <w:color w:val="000000"/>
          <w:sz w:val="28"/>
          <w:szCs w:val="28"/>
          <w:lang w:eastAsia="ru-RU"/>
        </w:rPr>
        <w:t>акими, що тривалий час не змінюю</w:t>
      </w:r>
      <w:r w:rsidRPr="0078696C">
        <w:rPr>
          <w:rFonts w:ascii="Times New Roman" w:eastAsia="Times New Roman" w:hAnsi="Times New Roman"/>
          <w:color w:val="000000"/>
          <w:sz w:val="28"/>
          <w:szCs w:val="28"/>
          <w:lang w:eastAsia="ru-RU"/>
        </w:rPr>
        <w:t>ться, та забезпечують високий рівень пенсій для всіх громадян похилого віку. Але не все так чудово, як нам здається.</w:t>
      </w:r>
    </w:p>
    <w:p w:rsidR="00543148" w:rsidRPr="0078696C" w:rsidRDefault="00543148" w:rsidP="00AE3DB3">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На сьогодні кожен четвертий громадянин Європейського Союзу залежить від їхнього пенсійного доходу. Молоді громадяни, шляхом сплати обов’язкових пенсійних внесків до бюджету, змушені утримувати </w:t>
      </w:r>
      <w:r w:rsidR="00D532FF" w:rsidRPr="0078696C">
        <w:rPr>
          <w:rFonts w:ascii="Times New Roman" w:eastAsia="Times New Roman" w:hAnsi="Times New Roman"/>
          <w:color w:val="000000"/>
          <w:sz w:val="28"/>
          <w:szCs w:val="28"/>
          <w:lang w:eastAsia="ru-RU"/>
        </w:rPr>
        <w:t xml:space="preserve">велику </w:t>
      </w:r>
      <w:r w:rsidR="004967C4" w:rsidRPr="0078696C">
        <w:rPr>
          <w:rFonts w:ascii="Times New Roman" w:eastAsia="Times New Roman" w:hAnsi="Times New Roman"/>
          <w:color w:val="000000"/>
          <w:sz w:val="28"/>
          <w:szCs w:val="28"/>
          <w:lang w:eastAsia="ru-RU"/>
        </w:rPr>
        <w:t>кількість</w:t>
      </w:r>
      <w:r w:rsidR="007A70F3">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пенсіонерів. Пенсії – це одна з найбільших статей державних видатків у країнах Європи, у зв'язку із зниженням народжуваності та збільшенням тривалості життя. Пенсійні системи потребують постійного оновлення, відходу від старих розподільчих схем, переходу на індивідуальне пенсійне планування задля уникнення бідності або великих втрат у доходах після виходу на пенсію.</w:t>
      </w:r>
    </w:p>
    <w:p w:rsidR="00EA0710" w:rsidRPr="0078696C" w:rsidRDefault="00543148" w:rsidP="00EA071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Слід відзначити, що пенсійні системи європейських країн реформуються практично постійно, особливо в даний період, а суми виплачуваних пенсій залежать від різних показників: рівня економіки в країні, тривалості життя населення та віку виходу на пенсію, які в більшій мірі визначають і рівень пенсій.</w:t>
      </w:r>
    </w:p>
    <w:p w:rsidR="00B711B0" w:rsidRPr="0078696C" w:rsidRDefault="00616BA4" w:rsidP="00B711B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Детальний аналіз існуючих моделей пенсійних систем було проведено професором О.Чернявською, яка виділяє наступні ознаки</w:t>
      </w:r>
      <w:r w:rsidR="00895F8D" w:rsidRPr="0078696C">
        <w:rPr>
          <w:rFonts w:ascii="Times New Roman" w:eastAsia="Times New Roman" w:hAnsi="Times New Roman"/>
          <w:color w:val="000000"/>
          <w:sz w:val="28"/>
          <w:szCs w:val="28"/>
          <w:lang w:eastAsia="ru-RU"/>
        </w:rPr>
        <w:t xml:space="preserve"> для проведення класифікації</w:t>
      </w:r>
      <w:r w:rsidRPr="0078696C">
        <w:rPr>
          <w:rFonts w:ascii="Times New Roman" w:eastAsia="Times New Roman" w:hAnsi="Times New Roman"/>
          <w:color w:val="000000"/>
          <w:sz w:val="28"/>
          <w:szCs w:val="28"/>
          <w:lang w:eastAsia="ru-RU"/>
        </w:rPr>
        <w:t xml:space="preserve">: за ресурсами, централізацією, структурою, специфікою </w:t>
      </w:r>
      <w:r w:rsidR="00D72D7D" w:rsidRPr="0078696C">
        <w:rPr>
          <w:rFonts w:ascii="Times New Roman" w:eastAsia="Times New Roman" w:hAnsi="Times New Roman"/>
          <w:color w:val="000000"/>
          <w:sz w:val="28"/>
          <w:szCs w:val="28"/>
          <w:lang w:eastAsia="ru-RU"/>
        </w:rPr>
        <w:lastRenderedPageBreak/>
        <w:t xml:space="preserve">постсоціалістичних </w:t>
      </w:r>
      <w:r w:rsidRPr="0078696C">
        <w:rPr>
          <w:rFonts w:ascii="Times New Roman" w:eastAsia="Times New Roman" w:hAnsi="Times New Roman"/>
          <w:color w:val="000000"/>
          <w:sz w:val="28"/>
          <w:szCs w:val="28"/>
          <w:lang w:eastAsia="ru-RU"/>
        </w:rPr>
        <w:t xml:space="preserve">країн, стратегією, рівнем розвитку економіки, моделлю Світового банку, типом реформи тощо </w:t>
      </w:r>
      <w:r w:rsidRPr="0078696C">
        <w:rPr>
          <w:rStyle w:val="a8"/>
          <w:rFonts w:ascii="Times New Roman" w:eastAsia="Times New Roman" w:hAnsi="Times New Roman"/>
          <w:color w:val="000000"/>
          <w:sz w:val="28"/>
          <w:szCs w:val="28"/>
          <w:lang w:eastAsia="ru-RU"/>
        </w:rPr>
        <w:footnoteReference w:id="264"/>
      </w:r>
      <w:r w:rsidRPr="0078696C">
        <w:rPr>
          <w:rFonts w:ascii="Times New Roman" w:eastAsia="Times New Roman" w:hAnsi="Times New Roman"/>
          <w:color w:val="000000"/>
          <w:sz w:val="28"/>
          <w:szCs w:val="28"/>
          <w:lang w:eastAsia="ru-RU"/>
        </w:rPr>
        <w:t>.</w:t>
      </w:r>
    </w:p>
    <w:p w:rsidR="00B711B0" w:rsidRPr="0078696C" w:rsidRDefault="00B711B0" w:rsidP="00D72D7D">
      <w:pPr>
        <w:spacing w:after="0" w:line="360" w:lineRule="auto"/>
        <w:ind w:firstLine="709"/>
        <w:jc w:val="center"/>
        <w:rPr>
          <w:rFonts w:ascii="Times New Roman" w:eastAsia="Times New Roman" w:hAnsi="Times New Roman"/>
          <w:b/>
          <w:color w:val="000000"/>
          <w:sz w:val="28"/>
          <w:szCs w:val="28"/>
          <w:lang w:eastAsia="ru-RU"/>
        </w:rPr>
      </w:pPr>
      <w:r w:rsidRPr="0078696C">
        <w:rPr>
          <w:rFonts w:ascii="Times New Roman" w:eastAsia="Times New Roman" w:hAnsi="Times New Roman"/>
          <w:b/>
          <w:color w:val="000000"/>
          <w:sz w:val="28"/>
          <w:szCs w:val="28"/>
          <w:lang w:eastAsia="ru-RU"/>
        </w:rPr>
        <w:t>Таблиця 3.1 Критерії класифікації пенсійних систем</w:t>
      </w:r>
    </w:p>
    <w:tbl>
      <w:tblPr>
        <w:tblW w:w="10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3540"/>
        <w:gridCol w:w="5919"/>
      </w:tblGrid>
      <w:tr w:rsidR="00B711B0" w:rsidRPr="0078696C" w:rsidTr="002D5D55">
        <w:tc>
          <w:tcPr>
            <w:tcW w:w="675" w:type="dxa"/>
            <w:shd w:val="clear" w:color="auto" w:fill="auto"/>
          </w:tcPr>
          <w:p w:rsidR="00B711B0" w:rsidRPr="0078696C" w:rsidRDefault="00B711B0" w:rsidP="002D5D55">
            <w:pPr>
              <w:spacing w:after="0" w:line="240" w:lineRule="auto"/>
              <w:jc w:val="both"/>
              <w:rPr>
                <w:rFonts w:ascii="Times New Roman" w:eastAsia="Times New Roman" w:hAnsi="Times New Roman"/>
                <w:color w:val="000000"/>
                <w:sz w:val="24"/>
                <w:szCs w:val="24"/>
                <w:lang w:eastAsia="ru-RU"/>
              </w:rPr>
            </w:pPr>
          </w:p>
        </w:tc>
        <w:tc>
          <w:tcPr>
            <w:tcW w:w="3540" w:type="dxa"/>
            <w:shd w:val="clear" w:color="auto" w:fill="auto"/>
          </w:tcPr>
          <w:p w:rsidR="00B711B0" w:rsidRPr="0078696C" w:rsidRDefault="0064017D" w:rsidP="000300F4">
            <w:pPr>
              <w:spacing w:after="0" w:line="240" w:lineRule="auto"/>
              <w:jc w:val="both"/>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Критерій класифікації</w:t>
            </w:r>
          </w:p>
        </w:tc>
        <w:tc>
          <w:tcPr>
            <w:tcW w:w="5919" w:type="dxa"/>
            <w:shd w:val="clear" w:color="auto" w:fill="auto"/>
          </w:tcPr>
          <w:p w:rsidR="00B711B0" w:rsidRPr="0078696C" w:rsidRDefault="0064017D" w:rsidP="000300F4">
            <w:pPr>
              <w:spacing w:after="0" w:line="240" w:lineRule="auto"/>
              <w:jc w:val="both"/>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Види</w:t>
            </w:r>
          </w:p>
        </w:tc>
      </w:tr>
      <w:tr w:rsidR="00B711B0" w:rsidRPr="0078696C" w:rsidTr="002D5D55">
        <w:trPr>
          <w:trHeight w:val="240"/>
        </w:trPr>
        <w:tc>
          <w:tcPr>
            <w:tcW w:w="675" w:type="dxa"/>
            <w:vMerge w:val="restart"/>
            <w:shd w:val="clear" w:color="auto" w:fill="auto"/>
          </w:tcPr>
          <w:p w:rsidR="00B711B0" w:rsidRPr="0078696C" w:rsidRDefault="00B711B0" w:rsidP="002D5D55">
            <w:pPr>
              <w:pStyle w:val="a3"/>
              <w:numPr>
                <w:ilvl w:val="0"/>
                <w:numId w:val="42"/>
              </w:numPr>
              <w:tabs>
                <w:tab w:val="left" w:pos="0"/>
              </w:tabs>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ресурсами</w:t>
            </w:r>
            <w:r w:rsidR="00400997" w:rsidRPr="0078696C">
              <w:rPr>
                <w:rFonts w:ascii="Times New Roman" w:eastAsia="Times New Roman" w:hAnsi="Times New Roman"/>
                <w:color w:val="000000"/>
                <w:sz w:val="24"/>
                <w:szCs w:val="24"/>
                <w:lang w:eastAsia="ru-RU"/>
              </w:rPr>
              <w:t xml:space="preserve"> (методами фінансування)</w:t>
            </w:r>
          </w:p>
        </w:tc>
        <w:tc>
          <w:tcPr>
            <w:tcW w:w="5919" w:type="dxa"/>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Солідарні</w:t>
            </w:r>
          </w:p>
        </w:tc>
      </w:tr>
      <w:tr w:rsidR="00B711B0" w:rsidRPr="0078696C" w:rsidTr="002D5D55">
        <w:trPr>
          <w:trHeight w:val="240"/>
        </w:trPr>
        <w:tc>
          <w:tcPr>
            <w:tcW w:w="675" w:type="dxa"/>
            <w:vMerge/>
            <w:shd w:val="clear" w:color="auto" w:fill="auto"/>
          </w:tcPr>
          <w:p w:rsidR="00B711B0" w:rsidRPr="0078696C" w:rsidRDefault="00B711B0"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Накопичувальні</w:t>
            </w:r>
          </w:p>
        </w:tc>
      </w:tr>
      <w:tr w:rsidR="00400997" w:rsidRPr="0078696C" w:rsidTr="002D5D55">
        <w:trPr>
          <w:trHeight w:val="442"/>
        </w:trPr>
        <w:tc>
          <w:tcPr>
            <w:tcW w:w="675" w:type="dxa"/>
            <w:vMerge w:val="restart"/>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400997" w:rsidRPr="0078696C" w:rsidRDefault="00400997" w:rsidP="00400997">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джерелами фінансування і</w:t>
            </w:r>
          </w:p>
          <w:p w:rsidR="00400997" w:rsidRPr="0078696C" w:rsidRDefault="00400997" w:rsidP="00400997">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принципами нарахування пенсій</w:t>
            </w: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Страхові</w:t>
            </w:r>
          </w:p>
        </w:tc>
      </w:tr>
      <w:tr w:rsidR="00400997" w:rsidRPr="0078696C" w:rsidTr="002D5D55">
        <w:trPr>
          <w:trHeight w:val="432"/>
        </w:trPr>
        <w:tc>
          <w:tcPr>
            <w:tcW w:w="675" w:type="dxa"/>
            <w:vMerge/>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400997" w:rsidRPr="0078696C" w:rsidRDefault="00400997" w:rsidP="00400997">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Цільові</w:t>
            </w:r>
          </w:p>
        </w:tc>
      </w:tr>
      <w:tr w:rsidR="00400997" w:rsidRPr="0078696C" w:rsidTr="002D5D55">
        <w:trPr>
          <w:trHeight w:val="90"/>
        </w:trPr>
        <w:tc>
          <w:tcPr>
            <w:tcW w:w="675" w:type="dxa"/>
            <w:vMerge w:val="restart"/>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формою управління</w:t>
            </w: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Державні</w:t>
            </w:r>
          </w:p>
        </w:tc>
      </w:tr>
      <w:tr w:rsidR="00400997" w:rsidRPr="0078696C" w:rsidTr="002D5D55">
        <w:trPr>
          <w:trHeight w:val="90"/>
        </w:trPr>
        <w:tc>
          <w:tcPr>
            <w:tcW w:w="675" w:type="dxa"/>
            <w:vMerge/>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Приватні</w:t>
            </w:r>
          </w:p>
        </w:tc>
      </w:tr>
      <w:tr w:rsidR="00400997" w:rsidRPr="0078696C" w:rsidTr="002D5D55">
        <w:trPr>
          <w:trHeight w:val="90"/>
        </w:trPr>
        <w:tc>
          <w:tcPr>
            <w:tcW w:w="675" w:type="dxa"/>
            <w:vMerge/>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Змішані</w:t>
            </w:r>
          </w:p>
        </w:tc>
      </w:tr>
      <w:tr w:rsidR="00400997" w:rsidRPr="0078696C" w:rsidTr="002D5D55">
        <w:trPr>
          <w:trHeight w:val="90"/>
        </w:trPr>
        <w:tc>
          <w:tcPr>
            <w:tcW w:w="675" w:type="dxa"/>
            <w:vMerge w:val="restart"/>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формою власності на активи</w:t>
            </w:r>
          </w:p>
        </w:tc>
        <w:tc>
          <w:tcPr>
            <w:tcW w:w="5919" w:type="dxa"/>
            <w:shd w:val="clear" w:color="auto" w:fill="auto"/>
          </w:tcPr>
          <w:p w:rsidR="00400997" w:rsidRPr="0078696C" w:rsidRDefault="00400997" w:rsidP="00400997">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Власник – держава</w:t>
            </w:r>
          </w:p>
        </w:tc>
      </w:tr>
      <w:tr w:rsidR="00400997" w:rsidRPr="0078696C" w:rsidTr="002D5D55">
        <w:trPr>
          <w:trHeight w:val="90"/>
        </w:trPr>
        <w:tc>
          <w:tcPr>
            <w:tcW w:w="675" w:type="dxa"/>
            <w:vMerge/>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Власник – пенсійний провайдер</w:t>
            </w:r>
          </w:p>
        </w:tc>
      </w:tr>
      <w:tr w:rsidR="00400997" w:rsidRPr="0078696C" w:rsidTr="002D5D55">
        <w:trPr>
          <w:trHeight w:val="90"/>
        </w:trPr>
        <w:tc>
          <w:tcPr>
            <w:tcW w:w="675" w:type="dxa"/>
            <w:vMerge/>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Власник – приватні особи</w:t>
            </w:r>
          </w:p>
        </w:tc>
      </w:tr>
      <w:tr w:rsidR="00EE25B9" w:rsidRPr="0078696C" w:rsidTr="002D5D55">
        <w:trPr>
          <w:trHeight w:val="309"/>
        </w:trPr>
        <w:tc>
          <w:tcPr>
            <w:tcW w:w="675" w:type="dxa"/>
            <w:vMerge w:val="restart"/>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способом визначення виплат</w:t>
            </w:r>
          </w:p>
        </w:tc>
        <w:tc>
          <w:tcPr>
            <w:tcW w:w="5919" w:type="dxa"/>
            <w:shd w:val="clear" w:color="auto" w:fill="auto"/>
          </w:tcPr>
          <w:p w:rsidR="00EE25B9" w:rsidRPr="0078696C" w:rsidRDefault="00EE25B9" w:rsidP="00266E7C">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Системи зі встановленими виплатами</w:t>
            </w:r>
          </w:p>
        </w:tc>
      </w:tr>
      <w:tr w:rsidR="00EE25B9" w:rsidRPr="0078696C" w:rsidTr="002D5D55">
        <w:trPr>
          <w:trHeight w:val="348"/>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266E7C">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Системи зі встановленими внесками</w:t>
            </w:r>
          </w:p>
        </w:tc>
      </w:tr>
      <w:tr w:rsidR="00EE25B9" w:rsidRPr="0078696C" w:rsidTr="002D5D55">
        <w:trPr>
          <w:trHeight w:val="315"/>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266E7C">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Системи з умовно встановленими внесками</w:t>
            </w:r>
          </w:p>
        </w:tc>
      </w:tr>
      <w:tr w:rsidR="00EE25B9" w:rsidRPr="0078696C" w:rsidTr="002D5D55">
        <w:trPr>
          <w:trHeight w:val="222"/>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266E7C">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Бальні системи</w:t>
            </w:r>
          </w:p>
        </w:tc>
      </w:tr>
      <w:tr w:rsidR="00B711B0" w:rsidRPr="0078696C" w:rsidTr="002D5D55">
        <w:trPr>
          <w:trHeight w:val="480"/>
        </w:trPr>
        <w:tc>
          <w:tcPr>
            <w:tcW w:w="675" w:type="dxa"/>
            <w:vMerge w:val="restart"/>
            <w:shd w:val="clear" w:color="auto" w:fill="auto"/>
          </w:tcPr>
          <w:p w:rsidR="00B711B0" w:rsidRPr="0078696C" w:rsidRDefault="00B711B0"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рівнем централізації фінансових ресурсів</w:t>
            </w:r>
          </w:p>
        </w:tc>
        <w:tc>
          <w:tcPr>
            <w:tcW w:w="5919" w:type="dxa"/>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Централізовані</w:t>
            </w:r>
          </w:p>
        </w:tc>
      </w:tr>
      <w:tr w:rsidR="00B711B0" w:rsidRPr="0078696C" w:rsidTr="002D5D55">
        <w:trPr>
          <w:trHeight w:val="480"/>
        </w:trPr>
        <w:tc>
          <w:tcPr>
            <w:tcW w:w="675" w:type="dxa"/>
            <w:vMerge/>
            <w:shd w:val="clear" w:color="auto" w:fill="auto"/>
          </w:tcPr>
          <w:p w:rsidR="00B711B0" w:rsidRPr="0078696C" w:rsidRDefault="00B711B0"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B711B0" w:rsidRPr="0078696C" w:rsidRDefault="00B711B0"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Децентралізовані</w:t>
            </w:r>
          </w:p>
        </w:tc>
      </w:tr>
      <w:tr w:rsidR="00EE25B9" w:rsidRPr="0078696C" w:rsidTr="002D5D55">
        <w:trPr>
          <w:trHeight w:val="288"/>
        </w:trPr>
        <w:tc>
          <w:tcPr>
            <w:tcW w:w="675" w:type="dxa"/>
            <w:vMerge w:val="restart"/>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формою організації</w:t>
            </w: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Обов’язкові</w:t>
            </w:r>
          </w:p>
        </w:tc>
      </w:tr>
      <w:tr w:rsidR="00EE25B9" w:rsidRPr="0078696C" w:rsidTr="002D5D55">
        <w:trPr>
          <w:trHeight w:val="300"/>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Квазіобов’язкові</w:t>
            </w:r>
          </w:p>
        </w:tc>
      </w:tr>
      <w:tr w:rsidR="00EE25B9" w:rsidRPr="0078696C" w:rsidTr="002D5D55">
        <w:trPr>
          <w:trHeight w:val="237"/>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Добровільні</w:t>
            </w:r>
          </w:p>
        </w:tc>
      </w:tr>
      <w:tr w:rsidR="00D72D7D" w:rsidRPr="0078696C" w:rsidTr="002D5D55">
        <w:trPr>
          <w:trHeight w:val="240"/>
        </w:trPr>
        <w:tc>
          <w:tcPr>
            <w:tcW w:w="675" w:type="dxa"/>
            <w:vMerge w:val="restart"/>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структурою</w:t>
            </w: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Державне пенсійне забезпечення</w:t>
            </w:r>
          </w:p>
        </w:tc>
      </w:tr>
      <w:tr w:rsidR="00D72D7D" w:rsidRPr="0078696C" w:rsidTr="002D5D55">
        <w:trPr>
          <w:trHeight w:val="240"/>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Недержавне пенсійне забезпечення</w:t>
            </w:r>
          </w:p>
        </w:tc>
      </w:tr>
      <w:tr w:rsidR="00EE25B9" w:rsidRPr="0078696C" w:rsidTr="002D5D55">
        <w:trPr>
          <w:trHeight w:val="294"/>
        </w:trPr>
        <w:tc>
          <w:tcPr>
            <w:tcW w:w="675" w:type="dxa"/>
            <w:vMerge w:val="restart"/>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EE25B9" w:rsidRPr="0078696C" w:rsidRDefault="00DD6BAE"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рівнем</w:t>
            </w:r>
            <w:r w:rsidR="00EE25B9" w:rsidRPr="0078696C">
              <w:rPr>
                <w:rFonts w:ascii="Times New Roman" w:eastAsia="Times New Roman" w:hAnsi="Times New Roman"/>
                <w:color w:val="000000"/>
                <w:sz w:val="24"/>
                <w:szCs w:val="24"/>
                <w:lang w:eastAsia="ru-RU"/>
              </w:rPr>
              <w:t xml:space="preserve"> охоплення населення</w:t>
            </w: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обов’язковим пенсійним</w:t>
            </w: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забезпеченням</w:t>
            </w: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Системи, що охоплюють тільки працюючих за наймом</w:t>
            </w:r>
          </w:p>
        </w:tc>
      </w:tr>
      <w:tr w:rsidR="00EE25B9" w:rsidRPr="0078696C" w:rsidTr="002D5D55">
        <w:trPr>
          <w:trHeight w:val="855"/>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Системи, що охоплюють, крім найманих працівників,</w:t>
            </w: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окремі категорії самозайнятих робітників</w:t>
            </w:r>
          </w:p>
        </w:tc>
      </w:tr>
      <w:tr w:rsidR="00EE25B9" w:rsidRPr="0078696C" w:rsidTr="002D5D55">
        <w:trPr>
          <w:trHeight w:val="240"/>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Системи, що поширюються на все зайняте населення</w:t>
            </w:r>
          </w:p>
        </w:tc>
      </w:tr>
      <w:tr w:rsidR="00D72D7D" w:rsidRPr="0078696C" w:rsidTr="002D5D55">
        <w:trPr>
          <w:trHeight w:val="291"/>
        </w:trPr>
        <w:tc>
          <w:tcPr>
            <w:tcW w:w="675" w:type="dxa"/>
            <w:vMerge w:val="restart"/>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специфікою постсоціалістичних країн</w:t>
            </w: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Чилійська</w:t>
            </w:r>
          </w:p>
        </w:tc>
      </w:tr>
      <w:tr w:rsidR="00D72D7D" w:rsidRPr="0078696C" w:rsidTr="002D5D55">
        <w:trPr>
          <w:trHeight w:val="291"/>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Угорська</w:t>
            </w:r>
          </w:p>
        </w:tc>
      </w:tr>
      <w:tr w:rsidR="00D72D7D" w:rsidRPr="0078696C" w:rsidTr="002D5D55">
        <w:trPr>
          <w:trHeight w:val="291"/>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Латвійська</w:t>
            </w:r>
          </w:p>
        </w:tc>
      </w:tr>
      <w:tr w:rsidR="00D72D7D" w:rsidRPr="0078696C" w:rsidTr="002D5D55">
        <w:trPr>
          <w:trHeight w:val="291"/>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Польська</w:t>
            </w:r>
          </w:p>
        </w:tc>
      </w:tr>
      <w:tr w:rsidR="00D72D7D" w:rsidRPr="0078696C" w:rsidTr="002D5D55">
        <w:trPr>
          <w:trHeight w:val="291"/>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Російська</w:t>
            </w:r>
          </w:p>
        </w:tc>
      </w:tr>
      <w:tr w:rsidR="00D72D7D" w:rsidRPr="0078696C" w:rsidTr="002D5D55">
        <w:trPr>
          <w:trHeight w:val="160"/>
        </w:trPr>
        <w:tc>
          <w:tcPr>
            <w:tcW w:w="675" w:type="dxa"/>
            <w:vMerge w:val="restart"/>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стратегією</w:t>
            </w: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Розподільчі (солідарні)</w:t>
            </w:r>
          </w:p>
        </w:tc>
      </w:tr>
      <w:tr w:rsidR="00D72D7D" w:rsidRPr="0078696C" w:rsidTr="002D5D55">
        <w:trPr>
          <w:trHeight w:val="160"/>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Накопичувальні</w:t>
            </w:r>
          </w:p>
        </w:tc>
      </w:tr>
      <w:tr w:rsidR="00D72D7D" w:rsidRPr="0078696C" w:rsidTr="002D5D55">
        <w:trPr>
          <w:trHeight w:val="160"/>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Змішані</w:t>
            </w:r>
          </w:p>
        </w:tc>
      </w:tr>
      <w:tr w:rsidR="00400997" w:rsidRPr="0078696C" w:rsidTr="002D5D55">
        <w:trPr>
          <w:trHeight w:val="135"/>
        </w:trPr>
        <w:tc>
          <w:tcPr>
            <w:tcW w:w="675" w:type="dxa"/>
            <w:vMerge w:val="restart"/>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кількістю рівнів</w:t>
            </w: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Однорівневі</w:t>
            </w:r>
          </w:p>
        </w:tc>
      </w:tr>
      <w:tr w:rsidR="00400997" w:rsidRPr="0078696C" w:rsidTr="002D5D55">
        <w:trPr>
          <w:trHeight w:val="135"/>
        </w:trPr>
        <w:tc>
          <w:tcPr>
            <w:tcW w:w="675" w:type="dxa"/>
            <w:vMerge/>
            <w:shd w:val="clear" w:color="auto" w:fill="auto"/>
          </w:tcPr>
          <w:p w:rsidR="00400997" w:rsidRPr="0078696C" w:rsidRDefault="00400997"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400997" w:rsidRPr="0078696C" w:rsidRDefault="0040099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Багаторівневі</w:t>
            </w:r>
          </w:p>
        </w:tc>
      </w:tr>
      <w:tr w:rsidR="00D72D7D" w:rsidRPr="0078696C" w:rsidTr="002D5D55">
        <w:trPr>
          <w:trHeight w:val="480"/>
        </w:trPr>
        <w:tc>
          <w:tcPr>
            <w:tcW w:w="675" w:type="dxa"/>
            <w:vMerge w:val="restart"/>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рівнем розвитку економіки</w:t>
            </w:r>
          </w:p>
        </w:tc>
        <w:tc>
          <w:tcPr>
            <w:tcW w:w="5919" w:type="dxa"/>
            <w:shd w:val="clear" w:color="auto" w:fill="auto"/>
          </w:tcPr>
          <w:p w:rsidR="00D72D7D" w:rsidRPr="0078696C" w:rsidRDefault="00F1293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Країни із розвинутою економікою</w:t>
            </w:r>
          </w:p>
        </w:tc>
      </w:tr>
      <w:tr w:rsidR="00D72D7D" w:rsidRPr="0078696C" w:rsidTr="002D5D55">
        <w:trPr>
          <w:trHeight w:val="480"/>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F1293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Країни, які розвиваються</w:t>
            </w:r>
          </w:p>
        </w:tc>
      </w:tr>
      <w:tr w:rsidR="00D72D7D" w:rsidRPr="0078696C" w:rsidTr="002D5D55">
        <w:trPr>
          <w:trHeight w:val="192"/>
        </w:trPr>
        <w:tc>
          <w:tcPr>
            <w:tcW w:w="675" w:type="dxa"/>
            <w:vMerge w:val="restart"/>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моделлю світового банку</w:t>
            </w:r>
          </w:p>
        </w:tc>
        <w:tc>
          <w:tcPr>
            <w:tcW w:w="5919" w:type="dxa"/>
            <w:shd w:val="clear" w:color="auto" w:fill="auto"/>
          </w:tcPr>
          <w:p w:rsidR="00D72D7D" w:rsidRPr="0078696C" w:rsidRDefault="00B62AFB"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Базовий рівень</w:t>
            </w:r>
          </w:p>
        </w:tc>
      </w:tr>
      <w:tr w:rsidR="00D72D7D" w:rsidRPr="0078696C" w:rsidTr="002D5D55">
        <w:trPr>
          <w:trHeight w:val="192"/>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B62AFB"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Обов’язкова державна солідарна пенсійна система визначених виплат</w:t>
            </w:r>
          </w:p>
        </w:tc>
      </w:tr>
      <w:tr w:rsidR="00D72D7D" w:rsidRPr="0078696C" w:rsidTr="002D5D55">
        <w:trPr>
          <w:trHeight w:val="192"/>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B62AFB"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Обов’язкова накопичувальна система з визначеними внесками</w:t>
            </w:r>
          </w:p>
        </w:tc>
      </w:tr>
      <w:tr w:rsidR="00D72D7D" w:rsidRPr="0078696C" w:rsidTr="002D5D55">
        <w:trPr>
          <w:trHeight w:val="192"/>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B62AFB"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Добровільна участь громадян у накопичувальній системі</w:t>
            </w:r>
          </w:p>
        </w:tc>
      </w:tr>
      <w:tr w:rsidR="00D72D7D" w:rsidRPr="0078696C" w:rsidTr="002D5D55">
        <w:trPr>
          <w:trHeight w:val="192"/>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B62AFB"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Фінансова та нефінансова підтримка людей похилого віку</w:t>
            </w:r>
          </w:p>
        </w:tc>
      </w:tr>
      <w:tr w:rsidR="00D72D7D" w:rsidRPr="0078696C" w:rsidTr="002D5D55">
        <w:trPr>
          <w:trHeight w:val="240"/>
        </w:trPr>
        <w:tc>
          <w:tcPr>
            <w:tcW w:w="675" w:type="dxa"/>
            <w:vMerge w:val="restart"/>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типом реформи</w:t>
            </w:r>
          </w:p>
        </w:tc>
        <w:tc>
          <w:tcPr>
            <w:tcW w:w="5919" w:type="dxa"/>
            <w:shd w:val="clear" w:color="auto" w:fill="auto"/>
          </w:tcPr>
          <w:p w:rsidR="00D72D7D" w:rsidRPr="0078696C" w:rsidRDefault="00F1293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Параметричні</w:t>
            </w:r>
          </w:p>
        </w:tc>
      </w:tr>
      <w:tr w:rsidR="00D72D7D" w:rsidRPr="0078696C" w:rsidTr="002D5D55">
        <w:trPr>
          <w:trHeight w:val="240"/>
        </w:trPr>
        <w:tc>
          <w:tcPr>
            <w:tcW w:w="675" w:type="dxa"/>
            <w:vMerge/>
            <w:shd w:val="clear" w:color="auto" w:fill="auto"/>
          </w:tcPr>
          <w:p w:rsidR="00D72D7D" w:rsidRPr="0078696C" w:rsidRDefault="00D72D7D"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D72D7D" w:rsidRPr="0078696C" w:rsidRDefault="00D72D7D"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72D7D" w:rsidRPr="0078696C" w:rsidRDefault="00F12937"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Непараметричні</w:t>
            </w:r>
          </w:p>
        </w:tc>
      </w:tr>
      <w:tr w:rsidR="00EE25B9" w:rsidRPr="0078696C" w:rsidTr="002D5D55">
        <w:trPr>
          <w:trHeight w:val="288"/>
        </w:trPr>
        <w:tc>
          <w:tcPr>
            <w:tcW w:w="675" w:type="dxa"/>
            <w:vMerge w:val="restart"/>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EE25B9" w:rsidRPr="0078696C" w:rsidRDefault="00DD6BAE"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спосо</w:t>
            </w:r>
            <w:r w:rsidR="00EE25B9" w:rsidRPr="0078696C">
              <w:rPr>
                <w:rFonts w:ascii="Times New Roman" w:eastAsia="Times New Roman" w:hAnsi="Times New Roman"/>
                <w:color w:val="000000"/>
                <w:sz w:val="24"/>
                <w:szCs w:val="24"/>
                <w:lang w:eastAsia="ru-RU"/>
              </w:rPr>
              <w:t>б</w:t>
            </w:r>
            <w:r w:rsidRPr="0078696C">
              <w:rPr>
                <w:rFonts w:ascii="Times New Roman" w:eastAsia="Times New Roman" w:hAnsi="Times New Roman"/>
                <w:color w:val="000000"/>
                <w:sz w:val="24"/>
                <w:szCs w:val="24"/>
                <w:lang w:eastAsia="ru-RU"/>
              </w:rPr>
              <w:t>ом</w:t>
            </w:r>
            <w:r w:rsidR="00EE25B9" w:rsidRPr="0078696C">
              <w:rPr>
                <w:rFonts w:ascii="Times New Roman" w:eastAsia="Times New Roman" w:hAnsi="Times New Roman"/>
                <w:color w:val="000000"/>
                <w:sz w:val="24"/>
                <w:szCs w:val="24"/>
                <w:lang w:eastAsia="ru-RU"/>
              </w:rPr>
              <w:t xml:space="preserve"> індексації пенсій</w:t>
            </w: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На основі динаміки споживчих цін</w:t>
            </w:r>
          </w:p>
        </w:tc>
      </w:tr>
      <w:tr w:rsidR="00EE25B9" w:rsidRPr="0078696C" w:rsidTr="002D5D55">
        <w:trPr>
          <w:trHeight w:val="270"/>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На основі динаміки заробітної плати</w:t>
            </w:r>
          </w:p>
        </w:tc>
      </w:tr>
      <w:tr w:rsidR="00EE25B9" w:rsidRPr="0078696C" w:rsidTr="002D5D55">
        <w:trPr>
          <w:trHeight w:val="267"/>
        </w:trPr>
        <w:tc>
          <w:tcPr>
            <w:tcW w:w="675" w:type="dxa"/>
            <w:vMerge/>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Змішана методологія</w:t>
            </w:r>
          </w:p>
        </w:tc>
      </w:tr>
      <w:tr w:rsidR="00EE25B9" w:rsidRPr="0078696C" w:rsidTr="002D5D55">
        <w:trPr>
          <w:trHeight w:val="576"/>
        </w:trPr>
        <w:tc>
          <w:tcPr>
            <w:tcW w:w="675" w:type="dxa"/>
            <w:vMerge w:val="restart"/>
            <w:shd w:val="clear" w:color="auto" w:fill="auto"/>
          </w:tcPr>
          <w:p w:rsidR="00EE25B9" w:rsidRPr="0078696C" w:rsidRDefault="00EE25B9" w:rsidP="002D5D55">
            <w:pPr>
              <w:pStyle w:val="a3"/>
              <w:numPr>
                <w:ilvl w:val="0"/>
                <w:numId w:val="42"/>
              </w:numPr>
              <w:spacing w:after="0" w:line="240" w:lineRule="auto"/>
              <w:ind w:left="0" w:firstLine="0"/>
              <w:jc w:val="both"/>
              <w:rPr>
                <w:rFonts w:ascii="Times New Roman" w:eastAsia="Times New Roman" w:hAnsi="Times New Roman"/>
                <w:color w:val="000000"/>
                <w:sz w:val="24"/>
                <w:szCs w:val="24"/>
                <w:lang w:val="uk-UA" w:eastAsia="ru-RU"/>
              </w:rPr>
            </w:pPr>
          </w:p>
        </w:tc>
        <w:tc>
          <w:tcPr>
            <w:tcW w:w="3540" w:type="dxa"/>
            <w:vMerge w:val="restart"/>
            <w:shd w:val="clear" w:color="auto" w:fill="auto"/>
          </w:tcPr>
          <w:p w:rsidR="00EE25B9" w:rsidRPr="0078696C" w:rsidRDefault="00DD6BAE"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За способом визначення цільових </w:t>
            </w:r>
            <w:r w:rsidR="00EE25B9" w:rsidRPr="0078696C">
              <w:rPr>
                <w:rFonts w:ascii="Times New Roman" w:eastAsia="Times New Roman" w:hAnsi="Times New Roman"/>
                <w:color w:val="000000"/>
                <w:sz w:val="24"/>
                <w:szCs w:val="24"/>
                <w:lang w:eastAsia="ru-RU"/>
              </w:rPr>
              <w:t>пенсій</w:t>
            </w: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Розмір пенсій залежить лише від рівня пенсії, яку</w:t>
            </w: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пенсіонер отримує</w:t>
            </w:r>
          </w:p>
        </w:tc>
      </w:tr>
      <w:tr w:rsidR="00EE25B9" w:rsidRPr="0078696C" w:rsidTr="002D5D55">
        <w:trPr>
          <w:trHeight w:val="615"/>
        </w:trPr>
        <w:tc>
          <w:tcPr>
            <w:tcW w:w="675"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3540" w:type="dxa"/>
            <w:vMerge/>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Розмір пенсій залежить від ширшого спектра доходів</w:t>
            </w: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пенсіонера</w:t>
            </w:r>
          </w:p>
        </w:tc>
      </w:tr>
      <w:tr w:rsidR="00EE25B9" w:rsidRPr="0078696C" w:rsidTr="002D5D55">
        <w:trPr>
          <w:trHeight w:val="474"/>
        </w:trPr>
        <w:tc>
          <w:tcPr>
            <w:tcW w:w="675" w:type="dxa"/>
            <w:vMerge/>
            <w:shd w:val="clear" w:color="auto" w:fill="auto"/>
          </w:tcPr>
          <w:p w:rsidR="00EE25B9" w:rsidRPr="0078696C" w:rsidRDefault="00EE25B9" w:rsidP="000300F4">
            <w:pPr>
              <w:spacing w:after="0" w:line="240" w:lineRule="auto"/>
              <w:jc w:val="both"/>
              <w:rPr>
                <w:rFonts w:ascii="Times New Roman" w:eastAsia="Times New Roman" w:hAnsi="Times New Roman"/>
                <w:color w:val="000000"/>
                <w:sz w:val="24"/>
                <w:szCs w:val="24"/>
                <w:lang w:eastAsia="ru-RU"/>
              </w:rPr>
            </w:pPr>
          </w:p>
        </w:tc>
        <w:tc>
          <w:tcPr>
            <w:tcW w:w="3540" w:type="dxa"/>
            <w:vMerge/>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Розмір пенсії залежить як від доходів, так і від майна,</w:t>
            </w:r>
          </w:p>
          <w:p w:rsidR="00EE25B9" w:rsidRPr="0078696C" w:rsidRDefault="00EE25B9"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яким володіє пенсіонер</w:t>
            </w:r>
          </w:p>
        </w:tc>
      </w:tr>
      <w:tr w:rsidR="00DD6BAE" w:rsidRPr="0078696C" w:rsidTr="00DD6BAE">
        <w:trPr>
          <w:trHeight w:val="240"/>
        </w:trPr>
        <w:tc>
          <w:tcPr>
            <w:tcW w:w="675" w:type="dxa"/>
            <w:vMerge w:val="restart"/>
            <w:shd w:val="clear" w:color="auto" w:fill="auto"/>
          </w:tcPr>
          <w:p w:rsidR="00DD6BAE" w:rsidRPr="0078696C" w:rsidRDefault="00DD6BAE" w:rsidP="000300F4">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18.</w:t>
            </w:r>
          </w:p>
        </w:tc>
        <w:tc>
          <w:tcPr>
            <w:tcW w:w="3540" w:type="dxa"/>
            <w:vMerge w:val="restart"/>
            <w:shd w:val="clear" w:color="auto" w:fill="auto"/>
          </w:tcPr>
          <w:p w:rsidR="00DD6BAE" w:rsidRPr="0078696C" w:rsidRDefault="00DD6BAE"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 колом осіб, умовами виникнення права на пенсію, принципами і способами фінансування</w:t>
            </w:r>
          </w:p>
        </w:tc>
        <w:tc>
          <w:tcPr>
            <w:tcW w:w="5919" w:type="dxa"/>
            <w:shd w:val="clear" w:color="auto" w:fill="auto"/>
          </w:tcPr>
          <w:p w:rsidR="00DD6BAE" w:rsidRPr="0078696C" w:rsidRDefault="00DD6BAE"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Універсальні</w:t>
            </w:r>
          </w:p>
        </w:tc>
      </w:tr>
      <w:tr w:rsidR="00DD6BAE" w:rsidRPr="0078696C" w:rsidTr="002D5D55">
        <w:trPr>
          <w:trHeight w:val="240"/>
        </w:trPr>
        <w:tc>
          <w:tcPr>
            <w:tcW w:w="675" w:type="dxa"/>
            <w:vMerge/>
            <w:shd w:val="clear" w:color="auto" w:fill="auto"/>
          </w:tcPr>
          <w:p w:rsidR="00DD6BAE" w:rsidRPr="0078696C" w:rsidRDefault="00DD6BAE" w:rsidP="000300F4">
            <w:pPr>
              <w:spacing w:after="0" w:line="240" w:lineRule="auto"/>
              <w:jc w:val="both"/>
              <w:rPr>
                <w:rFonts w:ascii="Times New Roman" w:eastAsia="Times New Roman" w:hAnsi="Times New Roman"/>
                <w:color w:val="000000"/>
                <w:sz w:val="24"/>
                <w:szCs w:val="24"/>
                <w:lang w:eastAsia="ru-RU"/>
              </w:rPr>
            </w:pPr>
          </w:p>
        </w:tc>
        <w:tc>
          <w:tcPr>
            <w:tcW w:w="3540" w:type="dxa"/>
            <w:vMerge/>
            <w:shd w:val="clear" w:color="auto" w:fill="auto"/>
          </w:tcPr>
          <w:p w:rsidR="00DD6BAE" w:rsidRPr="0078696C" w:rsidRDefault="00DD6BAE" w:rsidP="00855771">
            <w:pPr>
              <w:spacing w:after="0" w:line="240" w:lineRule="auto"/>
              <w:jc w:val="both"/>
              <w:rPr>
                <w:rFonts w:ascii="Times New Roman" w:eastAsia="Times New Roman" w:hAnsi="Times New Roman"/>
                <w:color w:val="000000"/>
                <w:sz w:val="24"/>
                <w:szCs w:val="24"/>
                <w:lang w:eastAsia="ru-RU"/>
              </w:rPr>
            </w:pPr>
          </w:p>
        </w:tc>
        <w:tc>
          <w:tcPr>
            <w:tcW w:w="5919" w:type="dxa"/>
            <w:shd w:val="clear" w:color="auto" w:fill="auto"/>
          </w:tcPr>
          <w:p w:rsidR="00DD6BAE" w:rsidRPr="0078696C" w:rsidRDefault="00DD6BAE" w:rsidP="00855771">
            <w:pPr>
              <w:spacing w:after="0" w:line="240" w:lineRule="auto"/>
              <w:jc w:val="both"/>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Страхові</w:t>
            </w:r>
          </w:p>
        </w:tc>
      </w:tr>
    </w:tbl>
    <w:p w:rsidR="00DD7036" w:rsidRPr="0078696C" w:rsidRDefault="00531F02" w:rsidP="00D54F85">
      <w:pPr>
        <w:spacing w:after="0" w:line="36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Джерело</w:t>
      </w:r>
      <w:r w:rsidR="00F12937" w:rsidRPr="0078696C">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val="ru-RU" w:eastAsia="ru-RU"/>
        </w:rPr>
        <w:t>складено на основ</w:t>
      </w:r>
      <w:r>
        <w:rPr>
          <w:rFonts w:ascii="Times New Roman" w:eastAsia="Times New Roman" w:hAnsi="Times New Roman"/>
          <w:color w:val="000000"/>
          <w:sz w:val="28"/>
          <w:szCs w:val="28"/>
          <w:lang w:eastAsia="ru-RU"/>
        </w:rPr>
        <w:t xml:space="preserve">і </w:t>
      </w:r>
      <w:r w:rsidR="00B62AFB" w:rsidRPr="0078696C">
        <w:rPr>
          <w:rFonts w:ascii="Times New Roman" w:eastAsia="Times New Roman" w:hAnsi="Times New Roman"/>
          <w:color w:val="000000"/>
          <w:sz w:val="28"/>
          <w:szCs w:val="28"/>
          <w:lang w:eastAsia="ru-RU"/>
        </w:rPr>
        <w:t>[</w:t>
      </w:r>
      <w:r w:rsidR="00D54F85">
        <w:rPr>
          <w:rFonts w:ascii="Times New Roman" w:eastAsia="Times New Roman" w:hAnsi="Times New Roman"/>
          <w:color w:val="000000"/>
          <w:sz w:val="28"/>
          <w:szCs w:val="28"/>
          <w:lang w:eastAsia="ru-RU"/>
        </w:rPr>
        <w:t>3; 17; 233</w:t>
      </w:r>
      <w:r w:rsidR="00B62AFB" w:rsidRPr="0078696C">
        <w:rPr>
          <w:rFonts w:ascii="Times New Roman" w:eastAsia="Times New Roman" w:hAnsi="Times New Roman"/>
          <w:color w:val="000000"/>
          <w:sz w:val="28"/>
          <w:szCs w:val="28"/>
          <w:lang w:eastAsia="ru-RU"/>
        </w:rPr>
        <w:t>]</w:t>
      </w:r>
    </w:p>
    <w:p w:rsidR="007D4C55" w:rsidRPr="0078696C" w:rsidRDefault="00895F8D" w:rsidP="007D4C55">
      <w:pPr>
        <w:spacing w:after="0" w:line="360" w:lineRule="auto"/>
        <w:ind w:firstLine="709"/>
        <w:jc w:val="both"/>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 xml:space="preserve">При цьому, визначальним є </w:t>
      </w:r>
      <w:r w:rsidR="007D4C55" w:rsidRPr="0078696C">
        <w:rPr>
          <w:rFonts w:ascii="Times New Roman" w:eastAsia="Times New Roman" w:hAnsi="Times New Roman"/>
          <w:color w:val="000000"/>
          <w:sz w:val="28"/>
          <w:szCs w:val="28"/>
          <w:lang w:eastAsia="ru-RU"/>
        </w:rPr>
        <w:t xml:space="preserve">саме </w:t>
      </w:r>
      <w:r w:rsidRPr="0078696C">
        <w:rPr>
          <w:rFonts w:ascii="Times New Roman" w:eastAsia="Times New Roman" w:hAnsi="Times New Roman"/>
          <w:color w:val="000000"/>
          <w:sz w:val="28"/>
          <w:szCs w:val="28"/>
          <w:lang w:eastAsia="ru-RU"/>
        </w:rPr>
        <w:t>вибір пенсійної стратегії</w:t>
      </w:r>
      <w:r w:rsidR="007D4C55" w:rsidRPr="0078696C">
        <w:rPr>
          <w:rFonts w:ascii="Times New Roman" w:eastAsia="Times New Roman" w:hAnsi="Times New Roman"/>
          <w:color w:val="000000"/>
          <w:sz w:val="28"/>
          <w:szCs w:val="28"/>
          <w:lang w:eastAsia="ru-RU"/>
        </w:rPr>
        <w:t xml:space="preserve">. </w:t>
      </w:r>
      <w:r w:rsidR="00543148" w:rsidRPr="0078696C">
        <w:rPr>
          <w:rFonts w:ascii="Times New Roman" w:hAnsi="Times New Roman"/>
          <w:color w:val="000000"/>
          <w:sz w:val="28"/>
          <w:szCs w:val="28"/>
        </w:rPr>
        <w:t xml:space="preserve">Поділ на такі стратегії напряму пов'язаний зі способами фінансування витрат на виплату пенсій. На сьогодні у світі існує два основних способи фінансування пенсійних систем: 1) за рахунок покриття поточних витрат на виплату пенсій (він іменується за рубежем як «рау – as </w:t>
      </w:r>
      <w:r w:rsidR="00543148" w:rsidRPr="0078696C">
        <w:rPr>
          <w:rFonts w:ascii="Times New Roman" w:eastAsia="Times New Roman" w:hAnsi="Times New Roman"/>
          <w:color w:val="000000"/>
          <w:sz w:val="28"/>
          <w:szCs w:val="28"/>
          <w:lang w:eastAsia="ru-RU"/>
        </w:rPr>
        <w:t>–</w:t>
      </w:r>
      <w:r w:rsidR="00543148" w:rsidRPr="0078696C">
        <w:rPr>
          <w:rFonts w:ascii="Times New Roman" w:hAnsi="Times New Roman"/>
          <w:color w:val="000000"/>
          <w:sz w:val="28"/>
          <w:szCs w:val="28"/>
        </w:rPr>
        <w:t xml:space="preserve"> go system», або «система поточних платежів»); 2) шляхом створення накопичувального резервного фонду </w:t>
      </w:r>
      <w:r w:rsidR="00543148" w:rsidRPr="0078696C">
        <w:rPr>
          <w:rStyle w:val="a8"/>
          <w:rFonts w:ascii="Times New Roman" w:hAnsi="Times New Roman"/>
          <w:color w:val="000000"/>
          <w:sz w:val="28"/>
          <w:szCs w:val="28"/>
        </w:rPr>
        <w:footnoteReference w:id="265"/>
      </w:r>
      <w:r w:rsidR="00543148" w:rsidRPr="0078696C">
        <w:rPr>
          <w:rFonts w:ascii="Times New Roman" w:hAnsi="Times New Roman"/>
          <w:color w:val="000000"/>
          <w:sz w:val="28"/>
          <w:szCs w:val="28"/>
        </w:rPr>
        <w:t>.</w:t>
      </w:r>
    </w:p>
    <w:p w:rsidR="003B27E7" w:rsidRPr="0078696C" w:rsidRDefault="003B27E7" w:rsidP="007D4C55">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При цьому, існування виключно солідарних чи накопичувальних стратегій не властиве сучасним країнам ЄС: в тій чи іншій мірі, для них характерне поєднання розподільчого та накопичувального принципів. </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hAnsi="Times New Roman"/>
          <w:i/>
          <w:color w:val="000000"/>
          <w:sz w:val="28"/>
          <w:szCs w:val="28"/>
        </w:rPr>
        <w:t>«Система поточних платежів»</w:t>
      </w:r>
      <w:r w:rsidR="007A70F3">
        <w:rPr>
          <w:rFonts w:ascii="Times New Roman" w:hAnsi="Times New Roman"/>
          <w:i/>
          <w:color w:val="000000"/>
          <w:sz w:val="28"/>
          <w:szCs w:val="28"/>
        </w:rPr>
        <w:t xml:space="preserve"> </w:t>
      </w:r>
      <w:r w:rsidRPr="0078696C">
        <w:rPr>
          <w:rFonts w:ascii="Times New Roman" w:eastAsia="Times New Roman" w:hAnsi="Times New Roman"/>
          <w:color w:val="000000"/>
          <w:sz w:val="28"/>
          <w:szCs w:val="28"/>
          <w:lang w:eastAsia="uk-UA"/>
        </w:rPr>
        <w:t>по своїй суті є</w:t>
      </w:r>
      <w:r w:rsidR="007A70F3">
        <w:rPr>
          <w:rFonts w:ascii="Times New Roman" w:eastAsia="Times New Roman" w:hAnsi="Times New Roman"/>
          <w:color w:val="000000"/>
          <w:sz w:val="28"/>
          <w:szCs w:val="28"/>
          <w:lang w:eastAsia="uk-UA"/>
        </w:rPr>
        <w:t xml:space="preserve"> </w:t>
      </w:r>
      <w:r w:rsidRPr="0078696C">
        <w:rPr>
          <w:rFonts w:ascii="Times New Roman" w:hAnsi="Times New Roman"/>
          <w:color w:val="000000"/>
          <w:sz w:val="28"/>
          <w:szCs w:val="28"/>
        </w:rPr>
        <w:t xml:space="preserve">розподільчою системою, яка, як правило, є державною формою пенсійного забезпечення. Пенсійні виплати фінансуються за рахунок поточних доходів, які складаються з внесків робітників та роботодавців. Внески робітників акумулюються на спеціальному </w:t>
      </w:r>
      <w:r w:rsidRPr="0078696C">
        <w:rPr>
          <w:rFonts w:ascii="Times New Roman" w:hAnsi="Times New Roman"/>
          <w:color w:val="000000"/>
          <w:sz w:val="28"/>
          <w:szCs w:val="28"/>
        </w:rPr>
        <w:lastRenderedPageBreak/>
        <w:t xml:space="preserve">виділеному рахунку та після цього розподіляються у вигляді виплат на користь пенсіонерів </w:t>
      </w:r>
      <w:r w:rsidRPr="0078696C">
        <w:rPr>
          <w:rStyle w:val="a8"/>
          <w:rFonts w:ascii="Times New Roman" w:hAnsi="Times New Roman"/>
          <w:color w:val="000000"/>
          <w:sz w:val="28"/>
          <w:szCs w:val="28"/>
        </w:rPr>
        <w:footnoteReference w:id="266"/>
      </w:r>
      <w:r w:rsidRPr="0078696C">
        <w:rPr>
          <w:rFonts w:ascii="Times New Roman" w:hAnsi="Times New Roman"/>
          <w:color w:val="000000"/>
          <w:sz w:val="28"/>
          <w:szCs w:val="28"/>
        </w:rPr>
        <w:t xml:space="preserve">. Саме цей спосіб </w:t>
      </w:r>
      <w:r w:rsidR="00D26B22" w:rsidRPr="0078696C">
        <w:rPr>
          <w:rFonts w:ascii="Times New Roman" w:hAnsi="Times New Roman"/>
          <w:color w:val="000000"/>
          <w:sz w:val="28"/>
          <w:szCs w:val="28"/>
        </w:rPr>
        <w:t>розподілу</w:t>
      </w:r>
      <w:r w:rsidRPr="0078696C">
        <w:rPr>
          <w:rFonts w:ascii="Times New Roman" w:hAnsi="Times New Roman"/>
          <w:color w:val="000000"/>
          <w:sz w:val="28"/>
          <w:szCs w:val="28"/>
        </w:rPr>
        <w:t xml:space="preserve"> пенсійних витрат </w:t>
      </w:r>
      <w:r w:rsidR="00D26B22" w:rsidRPr="0078696C">
        <w:rPr>
          <w:rFonts w:ascii="Times New Roman" w:hAnsi="Times New Roman"/>
          <w:color w:val="000000"/>
          <w:sz w:val="28"/>
          <w:szCs w:val="28"/>
        </w:rPr>
        <w:t>є найбільш поширеним у світі</w:t>
      </w:r>
      <w:r w:rsidRPr="0078696C">
        <w:rPr>
          <w:rFonts w:ascii="Times New Roman" w:hAnsi="Times New Roman"/>
          <w:color w:val="000000"/>
          <w:sz w:val="28"/>
          <w:szCs w:val="28"/>
        </w:rPr>
        <w:t>.</w:t>
      </w:r>
      <w:r w:rsidR="007A70F3">
        <w:rPr>
          <w:rFonts w:ascii="Times New Roman" w:hAnsi="Times New Roman"/>
          <w:color w:val="000000"/>
          <w:sz w:val="28"/>
          <w:szCs w:val="28"/>
        </w:rPr>
        <w:t xml:space="preserve"> </w:t>
      </w:r>
      <w:r w:rsidR="00D26B22" w:rsidRPr="0078696C">
        <w:rPr>
          <w:rFonts w:ascii="Times New Roman" w:hAnsi="Times New Roman"/>
          <w:color w:val="000000"/>
          <w:sz w:val="28"/>
          <w:szCs w:val="28"/>
        </w:rPr>
        <w:t>Як основа у ньому виступає</w:t>
      </w:r>
      <w:r w:rsidRPr="0078696C">
        <w:rPr>
          <w:rFonts w:ascii="Times New Roman" w:hAnsi="Times New Roman"/>
          <w:color w:val="000000"/>
          <w:sz w:val="28"/>
          <w:szCs w:val="28"/>
        </w:rPr>
        <w:t xml:space="preserve"> принцип «солідарності поколінь», у відповідності з яким </w:t>
      </w:r>
      <w:r w:rsidR="00D26B22" w:rsidRPr="0078696C">
        <w:rPr>
          <w:rFonts w:ascii="Times New Roman" w:hAnsi="Times New Roman"/>
          <w:color w:val="000000"/>
          <w:sz w:val="28"/>
          <w:szCs w:val="28"/>
        </w:rPr>
        <w:t>працездатна</w:t>
      </w:r>
      <w:r w:rsidRPr="0078696C">
        <w:rPr>
          <w:rFonts w:ascii="Times New Roman" w:hAnsi="Times New Roman"/>
          <w:color w:val="000000"/>
          <w:sz w:val="28"/>
          <w:szCs w:val="28"/>
        </w:rPr>
        <w:t xml:space="preserve"> частина населення забезпечує </w:t>
      </w:r>
      <w:r w:rsidR="00D26B22" w:rsidRPr="0078696C">
        <w:rPr>
          <w:rFonts w:ascii="Times New Roman" w:hAnsi="Times New Roman"/>
          <w:color w:val="000000"/>
          <w:sz w:val="28"/>
          <w:szCs w:val="28"/>
        </w:rPr>
        <w:t>виплату пенсій</w:t>
      </w:r>
      <w:r w:rsidRPr="0078696C">
        <w:rPr>
          <w:rFonts w:ascii="Times New Roman" w:hAnsi="Times New Roman"/>
          <w:color w:val="000000"/>
          <w:sz w:val="28"/>
          <w:szCs w:val="28"/>
        </w:rPr>
        <w:t xml:space="preserve"> попередн</w:t>
      </w:r>
      <w:r w:rsidR="00D26B22" w:rsidRPr="0078696C">
        <w:rPr>
          <w:rFonts w:ascii="Times New Roman" w:hAnsi="Times New Roman"/>
          <w:color w:val="000000"/>
          <w:sz w:val="28"/>
          <w:szCs w:val="28"/>
        </w:rPr>
        <w:t>ім поколінням</w:t>
      </w:r>
      <w:r w:rsidRPr="0078696C">
        <w:rPr>
          <w:rFonts w:ascii="Times New Roman" w:hAnsi="Times New Roman"/>
          <w:color w:val="000000"/>
          <w:sz w:val="28"/>
          <w:szCs w:val="28"/>
        </w:rPr>
        <w:t xml:space="preserve">. Її суть полягає в тому, що всі працюючі сплачують обов’язкові </w:t>
      </w:r>
      <w:r w:rsidR="00766AC7" w:rsidRPr="0078696C">
        <w:rPr>
          <w:rFonts w:ascii="Times New Roman" w:hAnsi="Times New Roman"/>
          <w:color w:val="000000"/>
          <w:sz w:val="28"/>
          <w:szCs w:val="28"/>
        </w:rPr>
        <w:t>платежі (соціальні внески)</w:t>
      </w:r>
      <w:r w:rsidRPr="0078696C">
        <w:rPr>
          <w:rFonts w:ascii="Times New Roman" w:hAnsi="Times New Roman"/>
          <w:color w:val="000000"/>
          <w:sz w:val="28"/>
          <w:szCs w:val="28"/>
        </w:rPr>
        <w:t xml:space="preserve"> в єдиний </w:t>
      </w:r>
      <w:r w:rsidR="00766AC7" w:rsidRPr="0078696C">
        <w:rPr>
          <w:rFonts w:ascii="Times New Roman" w:hAnsi="Times New Roman"/>
          <w:color w:val="000000"/>
          <w:sz w:val="28"/>
          <w:szCs w:val="28"/>
        </w:rPr>
        <w:t xml:space="preserve">цільовий </w:t>
      </w:r>
      <w:r w:rsidRPr="0078696C">
        <w:rPr>
          <w:rFonts w:ascii="Times New Roman" w:hAnsi="Times New Roman"/>
          <w:color w:val="000000"/>
          <w:sz w:val="28"/>
          <w:szCs w:val="28"/>
        </w:rPr>
        <w:t xml:space="preserve">пенсійний фонд, де гроші </w:t>
      </w:r>
      <w:r w:rsidR="00766AC7" w:rsidRPr="0078696C">
        <w:rPr>
          <w:rFonts w:ascii="Times New Roman" w:hAnsi="Times New Roman"/>
          <w:color w:val="000000"/>
          <w:sz w:val="28"/>
          <w:szCs w:val="28"/>
        </w:rPr>
        <w:t>акумулюються й</w:t>
      </w:r>
      <w:r w:rsidR="007A70F3">
        <w:rPr>
          <w:rFonts w:ascii="Times New Roman" w:hAnsi="Times New Roman"/>
          <w:color w:val="000000"/>
          <w:sz w:val="28"/>
          <w:szCs w:val="28"/>
        </w:rPr>
        <w:t xml:space="preserve"> </w:t>
      </w:r>
      <w:r w:rsidR="00766AC7" w:rsidRPr="0078696C">
        <w:rPr>
          <w:rFonts w:ascii="Times New Roman" w:hAnsi="Times New Roman"/>
          <w:color w:val="000000"/>
          <w:sz w:val="28"/>
          <w:szCs w:val="28"/>
        </w:rPr>
        <w:t>одразу (протягом поточного періоду)</w:t>
      </w:r>
      <w:r w:rsidRPr="0078696C">
        <w:rPr>
          <w:rFonts w:ascii="Times New Roman" w:hAnsi="Times New Roman"/>
          <w:color w:val="000000"/>
          <w:sz w:val="28"/>
          <w:szCs w:val="28"/>
        </w:rPr>
        <w:t xml:space="preserve"> виплачуються </w:t>
      </w:r>
      <w:r w:rsidR="00766AC7" w:rsidRPr="0078696C">
        <w:rPr>
          <w:rFonts w:ascii="Times New Roman" w:hAnsi="Times New Roman"/>
          <w:color w:val="000000"/>
          <w:sz w:val="28"/>
          <w:szCs w:val="28"/>
        </w:rPr>
        <w:t>у вигляді пенсій тим, хто вже досягнув пенсійного віку.</w:t>
      </w:r>
    </w:p>
    <w:p w:rsidR="00A81312" w:rsidRPr="0078696C" w:rsidRDefault="00543148" w:rsidP="000E3BF9">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Свій початок така система бере з кінця ХІХ століття. Її основи були закладені ще у 1889 році в Німеччині канцлером Отто фон Бісмарком в Законі «Про пенсійне страхування та від інвалідності». Згідно вказаного Закону, система пенсійного забезпечення за віком отримувала кошти через податок на працівників, а також за рахунок коштів федерального уряду, та мала надавати виплати працівникам старше 65 років (тоді як середня тривалість життя в Пруссії дорівнювала 45 рокам). Спочатку система пенсійного забезпечення поширювалась не на всіх громадян, а тільки на працівників з промисловості, сільського господарства, ремісників та державних службовців </w:t>
      </w:r>
      <w:r w:rsidRPr="0078696C">
        <w:rPr>
          <w:rStyle w:val="a8"/>
          <w:rFonts w:ascii="Times New Roman" w:hAnsi="Times New Roman"/>
          <w:color w:val="000000"/>
          <w:sz w:val="28"/>
          <w:szCs w:val="28"/>
        </w:rPr>
        <w:footnoteReference w:id="267"/>
      </w:r>
      <w:r w:rsidRPr="0078696C">
        <w:rPr>
          <w:rFonts w:ascii="Times New Roman" w:hAnsi="Times New Roman"/>
          <w:color w:val="000000"/>
          <w:sz w:val="28"/>
          <w:szCs w:val="28"/>
        </w:rPr>
        <w:t>.</w:t>
      </w:r>
    </w:p>
    <w:p w:rsidR="000E3BF9" w:rsidRPr="0078696C" w:rsidRDefault="000E3BF9" w:rsidP="000E3BF9">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В першій половині ХХ століття пенсійне забезпечення з’являється у більшості західноєвропейських країн: Великій Британії – 1908 р., Франції – 1910 р., Люксембурзі – 1911 р., Швеції – 1913 р., Італії та Іспанії – 1919 р., Данії – 1921 р., </w:t>
      </w:r>
      <w:r w:rsidR="009352AE" w:rsidRPr="0078696C">
        <w:rPr>
          <w:rFonts w:ascii="Times New Roman" w:hAnsi="Times New Roman"/>
          <w:color w:val="000000"/>
          <w:sz w:val="28"/>
          <w:szCs w:val="28"/>
        </w:rPr>
        <w:t xml:space="preserve">Бельгії – 1924 р., Австрії – 1927 р., Норвегії – 1936 р., Швейцарії – Ісландії – 1946 р., Ірландії – 1960 р. </w:t>
      </w:r>
      <w:r w:rsidR="009352AE" w:rsidRPr="0078696C">
        <w:rPr>
          <w:rStyle w:val="a8"/>
          <w:rFonts w:ascii="Times New Roman" w:hAnsi="Times New Roman"/>
          <w:color w:val="000000"/>
          <w:sz w:val="28"/>
          <w:szCs w:val="28"/>
        </w:rPr>
        <w:footnoteReference w:id="268"/>
      </w:r>
    </w:p>
    <w:p w:rsidR="00543148" w:rsidRPr="0078696C" w:rsidRDefault="00543148" w:rsidP="00543148">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Через 70 років пенсійна система Бісмарка була скопійована радянським керівництвом та знайшла своє відображення у Законі СРСР «Про державні </w:t>
      </w:r>
      <w:r w:rsidRPr="0078696C">
        <w:rPr>
          <w:rFonts w:ascii="Times New Roman" w:hAnsi="Times New Roman"/>
          <w:color w:val="000000"/>
          <w:sz w:val="28"/>
          <w:szCs w:val="28"/>
        </w:rPr>
        <w:lastRenderedPageBreak/>
        <w:t xml:space="preserve">пенсії» від 14 липня 1956 року </w:t>
      </w:r>
      <w:r w:rsidRPr="0078696C">
        <w:rPr>
          <w:rStyle w:val="a8"/>
          <w:rFonts w:ascii="Times New Roman" w:hAnsi="Times New Roman"/>
          <w:color w:val="000000"/>
          <w:sz w:val="28"/>
          <w:szCs w:val="28"/>
        </w:rPr>
        <w:footnoteReference w:id="269"/>
      </w:r>
      <w:r w:rsidRPr="0078696C">
        <w:rPr>
          <w:rFonts w:ascii="Times New Roman" w:hAnsi="Times New Roman"/>
          <w:color w:val="000000"/>
          <w:sz w:val="28"/>
          <w:szCs w:val="28"/>
        </w:rPr>
        <w:t>. Цим законом вперше було введено пенсію для робітників та службовців, а в 1964-му – для колгоспників.</w:t>
      </w:r>
    </w:p>
    <w:p w:rsidR="00543148" w:rsidRPr="0078696C" w:rsidRDefault="00543148" w:rsidP="00543148">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Така система непогано функціонує, доки кількість працюючих є великою, а пенсіонерів – незначною, адже саме тягар утримання пенсіонерів лягає на працюючих громадян. Однак, солідарні пен</w:t>
      </w:r>
      <w:r w:rsidR="00A03726" w:rsidRPr="0078696C">
        <w:rPr>
          <w:rFonts w:ascii="Times New Roman" w:hAnsi="Times New Roman"/>
          <w:color w:val="000000"/>
          <w:sz w:val="28"/>
          <w:szCs w:val="28"/>
        </w:rPr>
        <w:t xml:space="preserve">сійні системи, починаючи з </w:t>
      </w:r>
      <w:r w:rsidRPr="0078696C">
        <w:rPr>
          <w:rFonts w:ascii="Times New Roman" w:hAnsi="Times New Roman"/>
          <w:color w:val="000000"/>
          <w:sz w:val="28"/>
          <w:szCs w:val="28"/>
        </w:rPr>
        <w:t xml:space="preserve">1980-1990 років зазнали значних труднощів, в зв’язку з кардинальною зміною демографічної ситуації </w:t>
      </w:r>
      <w:r w:rsidR="0009280F" w:rsidRPr="0078696C">
        <w:rPr>
          <w:rFonts w:ascii="Times New Roman" w:hAnsi="Times New Roman"/>
          <w:color w:val="000000"/>
          <w:sz w:val="28"/>
          <w:szCs w:val="28"/>
        </w:rPr>
        <w:t>в світі: переходом до сім’ї з 1-</w:t>
      </w:r>
      <w:r w:rsidRPr="0078696C">
        <w:rPr>
          <w:rFonts w:ascii="Times New Roman" w:hAnsi="Times New Roman"/>
          <w:color w:val="000000"/>
          <w:sz w:val="28"/>
          <w:szCs w:val="28"/>
        </w:rPr>
        <w:t>2 дітьми, зростанням кількості пенсіонерів, зм</w:t>
      </w:r>
      <w:r w:rsidR="0009280F" w:rsidRPr="0078696C">
        <w:rPr>
          <w:rFonts w:ascii="Times New Roman" w:hAnsi="Times New Roman"/>
          <w:color w:val="000000"/>
          <w:sz w:val="28"/>
          <w:szCs w:val="28"/>
        </w:rPr>
        <w:t>еншенням чисельності працюючих.</w:t>
      </w:r>
    </w:p>
    <w:p w:rsidR="00543148" w:rsidRPr="0078696C" w:rsidRDefault="00543148" w:rsidP="00543148">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В зв’язку з цим, кінець XX століття відзначився масовим реформуванням світових пенсійних систем. Основний принцип реформ полягав у переході від солідарних пенсійних систем до накопичувальних, коли громадяни несуть персональну відповідальність за своє майбутнє пенсійне забезпечення.</w:t>
      </w:r>
    </w:p>
    <w:p w:rsidR="00E476B7" w:rsidRPr="0078696C" w:rsidRDefault="00543148" w:rsidP="00DA75F3">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Головна причина необхідності пенсійних реформ – старіння населення, яке є результатом зниження народжуваності та збільшенням середньої тривалості життя. За даними демографічних прогнозів, демографічна ситуація буде дедалі погіршуватись і через декілька десятиліть досягне свого піку. Якщо сьогодні в більшості розвинутих країн на одного пенсіонера припадає 4-5 осіб працездатного віку, то до 2025 року це співвідношення складатиме в країнах Європи 1:2,5, у США – 1:3,5</w:t>
      </w:r>
      <w:r w:rsidRPr="0078696C">
        <w:rPr>
          <w:rStyle w:val="a8"/>
          <w:rFonts w:ascii="Times New Roman" w:hAnsi="Times New Roman"/>
          <w:color w:val="000000"/>
          <w:sz w:val="28"/>
          <w:szCs w:val="28"/>
        </w:rPr>
        <w:footnoteReference w:id="270"/>
      </w:r>
      <w:r w:rsidRPr="0078696C">
        <w:rPr>
          <w:rFonts w:ascii="Times New Roman" w:hAnsi="Times New Roman"/>
          <w:color w:val="000000"/>
          <w:sz w:val="28"/>
          <w:szCs w:val="28"/>
        </w:rPr>
        <w:t xml:space="preserve">. Збільшення тривалості життя </w:t>
      </w:r>
      <w:r w:rsidR="00A81312" w:rsidRPr="0078696C">
        <w:rPr>
          <w:rFonts w:ascii="Times New Roman" w:hAnsi="Times New Roman"/>
          <w:color w:val="000000"/>
          <w:sz w:val="28"/>
          <w:szCs w:val="28"/>
        </w:rPr>
        <w:t xml:space="preserve">після виходу на пенсію </w:t>
      </w:r>
      <w:r w:rsidRPr="0078696C">
        <w:rPr>
          <w:rFonts w:ascii="Times New Roman" w:hAnsi="Times New Roman"/>
          <w:color w:val="000000"/>
          <w:sz w:val="28"/>
          <w:szCs w:val="28"/>
        </w:rPr>
        <w:t xml:space="preserve">та зменшення рівня народжуваності призводить до зростання коефіцієнту залежності, що, в свою чергу, обумовлює зниження рівня заміщення пенсією втраченого заробітку. Для забезпечення балансу між внесками і виплатами до пенсійної системи необхідно </w:t>
      </w:r>
      <w:r w:rsidR="00A81312" w:rsidRPr="0078696C">
        <w:rPr>
          <w:rFonts w:ascii="Times New Roman" w:hAnsi="Times New Roman"/>
          <w:color w:val="000000"/>
          <w:sz w:val="28"/>
          <w:szCs w:val="28"/>
        </w:rPr>
        <w:t xml:space="preserve">або </w:t>
      </w:r>
      <w:r w:rsidRPr="0078696C">
        <w:rPr>
          <w:rFonts w:ascii="Times New Roman" w:hAnsi="Times New Roman"/>
          <w:color w:val="000000"/>
          <w:sz w:val="28"/>
          <w:szCs w:val="28"/>
        </w:rPr>
        <w:t>збільшувати ставки пенсійних внесків, або ж переходити до на</w:t>
      </w:r>
      <w:r w:rsidR="00DA75F3" w:rsidRPr="0078696C">
        <w:rPr>
          <w:rFonts w:ascii="Times New Roman" w:hAnsi="Times New Roman"/>
          <w:color w:val="000000"/>
          <w:sz w:val="28"/>
          <w:szCs w:val="28"/>
        </w:rPr>
        <w:t>копичувальної пенсійної системи.</w:t>
      </w:r>
    </w:p>
    <w:p w:rsidR="007D4C55" w:rsidRPr="0078696C" w:rsidRDefault="00543148" w:rsidP="007D4C55">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 xml:space="preserve">Накопичувальна пенсійна система </w:t>
      </w:r>
      <w:r w:rsidRPr="0078696C">
        <w:rPr>
          <w:rFonts w:ascii="Times New Roman" w:hAnsi="Times New Roman"/>
          <w:color w:val="000000"/>
          <w:sz w:val="28"/>
          <w:szCs w:val="28"/>
        </w:rPr>
        <w:t xml:space="preserve">припускає функціонування державних, корпоративних і приватних накопичувальних пенсійних програм, за допомогою яких формується майбутня пенсія. Принципова особливість накопичувальної пенсії полягає в тому, що вона є особистою власністю пенсіонера. В </w:t>
      </w:r>
      <w:r w:rsidRPr="0078696C">
        <w:rPr>
          <w:rFonts w:ascii="Times New Roman" w:hAnsi="Times New Roman"/>
          <w:color w:val="000000"/>
          <w:sz w:val="28"/>
          <w:szCs w:val="28"/>
        </w:rPr>
        <w:lastRenderedPageBreak/>
        <w:t>накопичувальних пенсійних системах внески робітників акумулюються в пенсійних фондах та інвестуються з метою отримання додаткового прибутку. Пільги в накопичувальних системах, як правило, відсутні, а пенсійні виплати повинні бути профінансовані роботодавцем, робітником або державою.</w:t>
      </w:r>
    </w:p>
    <w:p w:rsidR="00420A0B" w:rsidRPr="0078696C" w:rsidRDefault="00420A0B" w:rsidP="00420A0B">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Світовий досвід організації національних пенсійних систем показує, що додаткові недержавні пенсії займають істотну частку в загальному рівні пенсійного забезпечення. Недержавні пенсійні фонди в усіх країнах світу визнані важливими соціальними інститутами щодо поліпшення матеріального становища непрацездатних членів суспільства і мають високий рівень довіри громадян до пенсійної накопичувальної системи</w:t>
      </w:r>
      <w:r w:rsidR="00DA75F3" w:rsidRPr="0078696C">
        <w:rPr>
          <w:rStyle w:val="a8"/>
          <w:rFonts w:ascii="Times New Roman" w:hAnsi="Times New Roman"/>
          <w:color w:val="000000"/>
          <w:sz w:val="28"/>
          <w:szCs w:val="28"/>
        </w:rPr>
        <w:footnoteReference w:id="271"/>
      </w:r>
      <w:r w:rsidRPr="0078696C">
        <w:rPr>
          <w:rFonts w:ascii="Times New Roman" w:hAnsi="Times New Roman"/>
          <w:color w:val="000000"/>
          <w:sz w:val="28"/>
          <w:szCs w:val="28"/>
        </w:rPr>
        <w:t>.</w:t>
      </w:r>
    </w:p>
    <w:p w:rsidR="00420A0B" w:rsidRPr="0078696C" w:rsidRDefault="00543148" w:rsidP="00420A0B">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Змішана пенсійна система</w:t>
      </w:r>
      <w:r w:rsidRPr="0078696C">
        <w:rPr>
          <w:rFonts w:ascii="Times New Roman" w:hAnsi="Times New Roman"/>
          <w:color w:val="000000"/>
          <w:sz w:val="28"/>
          <w:szCs w:val="28"/>
        </w:rPr>
        <w:t xml:space="preserve"> припускає комплексне використання в пенсійній моделі елементів солідарної і накопичувальної складових. Нині солідарна і накопичувальна системи в чистому вигляді трапляються рідко. Змішана стратегія – найчастіше застосовується різними країнами світу.</w:t>
      </w:r>
    </w:p>
    <w:p w:rsidR="0057706E" w:rsidRPr="0078696C" w:rsidRDefault="009D5127" w:rsidP="0057706E">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В</w:t>
      </w:r>
      <w:r w:rsidR="00543148" w:rsidRPr="0078696C">
        <w:rPr>
          <w:rFonts w:ascii="Times New Roman" w:hAnsi="Times New Roman"/>
          <w:color w:val="000000"/>
          <w:sz w:val="28"/>
          <w:szCs w:val="28"/>
        </w:rPr>
        <w:t xml:space="preserve"> більшості європейських країн на сьогодні переважають змішані пенсійні системи, </w:t>
      </w:r>
      <w:r w:rsidR="0057706E" w:rsidRPr="0078696C">
        <w:rPr>
          <w:rFonts w:ascii="Times New Roman" w:hAnsi="Times New Roman"/>
          <w:color w:val="000000"/>
          <w:sz w:val="28"/>
          <w:szCs w:val="28"/>
        </w:rPr>
        <w:t>що, серед інших чинників, зумовлене неможливістю миттєвого впровадження накопичувальних пенсійних систем, так як для накопичення коштів населенням</w:t>
      </w:r>
      <w:r w:rsidR="007A70F3">
        <w:rPr>
          <w:rFonts w:ascii="Times New Roman" w:hAnsi="Times New Roman"/>
          <w:color w:val="000000"/>
          <w:sz w:val="28"/>
          <w:szCs w:val="28"/>
        </w:rPr>
        <w:t xml:space="preserve"> </w:t>
      </w:r>
      <w:r w:rsidR="0057706E" w:rsidRPr="0078696C">
        <w:rPr>
          <w:rFonts w:ascii="Times New Roman" w:hAnsi="Times New Roman"/>
          <w:color w:val="000000"/>
          <w:sz w:val="28"/>
          <w:szCs w:val="28"/>
        </w:rPr>
        <w:t xml:space="preserve">потрібен тривалий період. Сучасні пенсійні системи, як правило, є трирівневими і ґрунтуються на моделі, запропонованій Світовим банком в 1990 р. </w:t>
      </w:r>
      <w:r w:rsidR="0057706E" w:rsidRPr="0078696C">
        <w:rPr>
          <w:rStyle w:val="a8"/>
          <w:rFonts w:ascii="Times New Roman" w:hAnsi="Times New Roman"/>
          <w:color w:val="000000"/>
          <w:sz w:val="28"/>
          <w:szCs w:val="28"/>
        </w:rPr>
        <w:footnoteReference w:id="272"/>
      </w:r>
    </w:p>
    <w:p w:rsidR="00543148" w:rsidRPr="0078696C" w:rsidRDefault="0057706E" w:rsidP="0057706E">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Така модель включає в себе</w:t>
      </w:r>
      <w:r w:rsidR="00543148" w:rsidRPr="0078696C">
        <w:rPr>
          <w:rFonts w:ascii="Times New Roman" w:hAnsi="Times New Roman"/>
          <w:color w:val="000000"/>
          <w:sz w:val="28"/>
          <w:szCs w:val="28"/>
        </w:rPr>
        <w:t xml:space="preserve"> тр</w:t>
      </w:r>
      <w:r w:rsidRPr="0078696C">
        <w:rPr>
          <w:rFonts w:ascii="Times New Roman" w:hAnsi="Times New Roman"/>
          <w:color w:val="000000"/>
          <w:sz w:val="28"/>
          <w:szCs w:val="28"/>
        </w:rPr>
        <w:t>и</w:t>
      </w:r>
      <w:r w:rsidR="00543148" w:rsidRPr="0078696C">
        <w:rPr>
          <w:rFonts w:ascii="Times New Roman" w:hAnsi="Times New Roman"/>
          <w:color w:val="000000"/>
          <w:sz w:val="28"/>
          <w:szCs w:val="28"/>
        </w:rPr>
        <w:t xml:space="preserve"> основн</w:t>
      </w:r>
      <w:r w:rsidRPr="0078696C">
        <w:rPr>
          <w:rFonts w:ascii="Times New Roman" w:hAnsi="Times New Roman"/>
          <w:color w:val="000000"/>
          <w:sz w:val="28"/>
          <w:szCs w:val="28"/>
        </w:rPr>
        <w:t>і</w:t>
      </w:r>
      <w:r w:rsidR="00543148" w:rsidRPr="0078696C">
        <w:rPr>
          <w:rFonts w:ascii="Times New Roman" w:hAnsi="Times New Roman"/>
          <w:color w:val="000000"/>
          <w:sz w:val="28"/>
          <w:szCs w:val="28"/>
        </w:rPr>
        <w:t xml:space="preserve"> складов</w:t>
      </w:r>
      <w:r w:rsidRPr="0078696C">
        <w:rPr>
          <w:rFonts w:ascii="Times New Roman" w:hAnsi="Times New Roman"/>
          <w:color w:val="000000"/>
          <w:sz w:val="28"/>
          <w:szCs w:val="28"/>
        </w:rPr>
        <w:t>і</w:t>
      </w:r>
      <w:r w:rsidR="00543148" w:rsidRPr="0078696C">
        <w:rPr>
          <w:rFonts w:ascii="Times New Roman" w:hAnsi="Times New Roman"/>
          <w:color w:val="000000"/>
          <w:sz w:val="28"/>
          <w:szCs w:val="28"/>
        </w:rPr>
        <w:t xml:space="preserve">: </w:t>
      </w:r>
    </w:p>
    <w:p w:rsidR="005E12FD" w:rsidRPr="0078696C" w:rsidRDefault="005E12FD" w:rsidP="005E12FD">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Перший рівень</w:t>
      </w:r>
      <w:r w:rsidRPr="0078696C">
        <w:rPr>
          <w:rFonts w:ascii="Times New Roman" w:hAnsi="Times New Roman"/>
          <w:color w:val="000000"/>
          <w:sz w:val="28"/>
          <w:szCs w:val="28"/>
        </w:rPr>
        <w:t xml:space="preserve"> – державне пенсійне забезпечення, яке побудоване на принципах розподільчої ПС</w:t>
      </w:r>
      <w:r w:rsidR="00144104" w:rsidRPr="0078696C">
        <w:rPr>
          <w:rFonts w:ascii="Times New Roman" w:hAnsi="Times New Roman"/>
          <w:color w:val="000000"/>
          <w:sz w:val="28"/>
          <w:szCs w:val="28"/>
        </w:rPr>
        <w:t>, коли працездатне населення виділяє певну частину коштів зі своєї заробітної плати у виглядів податків та зборів на утримання пенсіонерів</w:t>
      </w:r>
      <w:r w:rsidRPr="0078696C">
        <w:rPr>
          <w:rFonts w:ascii="Times New Roman" w:hAnsi="Times New Roman"/>
          <w:color w:val="000000"/>
          <w:sz w:val="28"/>
          <w:szCs w:val="28"/>
        </w:rPr>
        <w:t xml:space="preserve">. При цьому гарантується базова пенсія, розмір якої не залежить від вкладу учасника в систему. Служить механізмом захисту від бідності. </w:t>
      </w:r>
      <w:r w:rsidRPr="0078696C">
        <w:rPr>
          <w:rFonts w:ascii="Times New Roman" w:hAnsi="Times New Roman"/>
          <w:color w:val="000000"/>
          <w:sz w:val="28"/>
          <w:szCs w:val="28"/>
        </w:rPr>
        <w:lastRenderedPageBreak/>
        <w:t>Фінансується за рахунок бюджетних відрахувань або за рахунок відрахувань працюючого населення</w:t>
      </w:r>
      <w:r w:rsidR="00144104" w:rsidRPr="0078696C">
        <w:rPr>
          <w:rStyle w:val="a8"/>
          <w:rFonts w:ascii="Times New Roman" w:hAnsi="Times New Roman"/>
          <w:color w:val="000000"/>
          <w:sz w:val="28"/>
          <w:szCs w:val="28"/>
        </w:rPr>
        <w:footnoteReference w:id="273"/>
      </w:r>
      <w:r w:rsidR="00144104" w:rsidRPr="0078696C">
        <w:rPr>
          <w:rFonts w:ascii="Times New Roman" w:hAnsi="Times New Roman"/>
          <w:color w:val="000000"/>
          <w:sz w:val="28"/>
          <w:szCs w:val="28"/>
        </w:rPr>
        <w:t>.</w:t>
      </w:r>
    </w:p>
    <w:p w:rsidR="005E12FD" w:rsidRPr="0078696C" w:rsidRDefault="00144104" w:rsidP="00144104">
      <w:pPr>
        <w:spacing w:after="0" w:line="360" w:lineRule="auto"/>
        <w:ind w:firstLine="709"/>
        <w:jc w:val="both"/>
        <w:rPr>
          <w:rFonts w:ascii="Times New Roman" w:hAnsi="Times New Roman"/>
          <w:color w:val="000000"/>
          <w:sz w:val="28"/>
          <w:szCs w:val="28"/>
        </w:rPr>
      </w:pPr>
      <w:r w:rsidRPr="0078696C">
        <w:rPr>
          <w:rFonts w:ascii="Times New Roman" w:hAnsi="Times New Roman"/>
          <w:i/>
          <w:color w:val="000000"/>
          <w:sz w:val="28"/>
          <w:szCs w:val="28"/>
        </w:rPr>
        <w:t>Другий рівень</w:t>
      </w:r>
      <w:r w:rsidRPr="0078696C">
        <w:rPr>
          <w:rFonts w:ascii="Times New Roman" w:hAnsi="Times New Roman"/>
          <w:color w:val="000000"/>
          <w:sz w:val="28"/>
          <w:szCs w:val="28"/>
        </w:rPr>
        <w:t xml:space="preserve"> – обов'язкове пенсійне страхування, яке побудоване на принципах розподільчої та накопичувальної ПС. При встановленні розміру пенсії враховується внесок учасника в систему. Служить механізмом забезпечення гідної старості і є надбавкою до базового розміру пенсії. Фінансується за рахунок відрахувань працюючого населення. При цьому відрахування можуть йти як в розподільну систему на поточні виплати пенсіонерам, так і на індивідуальні рахунки застрахованих осіб в залежності від конкретного режиму регулювання. У разі якщо кошти йдуть в розподільну систему, на рахунках застрахованих осіб відображаються умовні зобов'язання в майбутньому; якщо відрахування надходять на індивідуальні рахунки застрахованих осіб, </w:t>
      </w:r>
      <w:r w:rsidR="00E10943" w:rsidRPr="0078696C">
        <w:rPr>
          <w:rFonts w:ascii="Times New Roman" w:hAnsi="Times New Roman"/>
          <w:color w:val="000000"/>
          <w:sz w:val="28"/>
          <w:szCs w:val="28"/>
        </w:rPr>
        <w:t>тобто</w:t>
      </w:r>
      <w:r w:rsidRPr="0078696C">
        <w:rPr>
          <w:rFonts w:ascii="Times New Roman" w:hAnsi="Times New Roman"/>
          <w:color w:val="000000"/>
          <w:sz w:val="28"/>
          <w:szCs w:val="28"/>
        </w:rPr>
        <w:t xml:space="preserve"> в накопичувальну систему, вони є власністю застрахованої особи і інвестуються з метою отримання доходу фінансовими інститутами </w:t>
      </w:r>
      <w:r w:rsidRPr="0078696C">
        <w:rPr>
          <w:rStyle w:val="a8"/>
          <w:rFonts w:ascii="Times New Roman" w:hAnsi="Times New Roman"/>
          <w:color w:val="000000"/>
          <w:sz w:val="28"/>
          <w:szCs w:val="28"/>
        </w:rPr>
        <w:footnoteReference w:id="274"/>
      </w:r>
      <w:r w:rsidRPr="0078696C">
        <w:rPr>
          <w:rFonts w:ascii="Times New Roman" w:hAnsi="Times New Roman"/>
          <w:color w:val="000000"/>
          <w:sz w:val="28"/>
          <w:szCs w:val="28"/>
        </w:rPr>
        <w:t>.</w:t>
      </w:r>
    </w:p>
    <w:p w:rsidR="00144104" w:rsidRPr="0078696C" w:rsidRDefault="00144104" w:rsidP="00144104">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Третій рівень – приватне, або додаткове, пенсійне забезпечення, яке побудоване на принципах накопичувальної ПС. Розмір додаткової пенсії залежить виключно від суми накопичених застрахованою особою коштів на індивідуальному рахунку, в більшості країн є приватною ініціативою і служить інструментом забезпечення гідного рівня життя на пенсії. На даному рівні кошти інвестуються фінансовими інститутами </w:t>
      </w:r>
      <w:r w:rsidRPr="0078696C">
        <w:rPr>
          <w:rStyle w:val="a8"/>
          <w:rFonts w:ascii="Times New Roman" w:hAnsi="Times New Roman"/>
          <w:color w:val="000000"/>
          <w:sz w:val="28"/>
          <w:szCs w:val="28"/>
        </w:rPr>
        <w:footnoteReference w:id="275"/>
      </w:r>
      <w:r w:rsidRPr="0078696C">
        <w:rPr>
          <w:rFonts w:ascii="Times New Roman" w:hAnsi="Times New Roman"/>
          <w:color w:val="000000"/>
          <w:sz w:val="28"/>
          <w:szCs w:val="28"/>
        </w:rPr>
        <w:t>.</w:t>
      </w:r>
    </w:p>
    <w:p w:rsidR="00E41274" w:rsidRPr="0078696C" w:rsidRDefault="00A5504A" w:rsidP="00144104">
      <w:pPr>
        <w:spacing w:after="0" w:line="360" w:lineRule="auto"/>
        <w:ind w:firstLine="709"/>
        <w:jc w:val="both"/>
        <w:rPr>
          <w:rFonts w:ascii="Times New Roman" w:hAnsi="Times New Roman"/>
          <w:color w:val="000000"/>
          <w:sz w:val="28"/>
          <w:szCs w:val="28"/>
        </w:rPr>
      </w:pPr>
      <w:r>
        <w:rPr>
          <w:rFonts w:ascii="Times New Roman" w:hAnsi="Times New Roman"/>
          <w:noProof/>
          <w:color w:val="000000"/>
          <w:sz w:val="28"/>
          <w:szCs w:val="28"/>
          <w:lang w:eastAsia="uk-UA"/>
        </w:rPr>
        <w:lastRenderedPageBreak/>
        <w:pict>
          <v:roundrect id="Скругленный прямоугольник 26" o:spid="_x0000_s1026" style="position:absolute;left:0;text-align:left;margin-left:280.9pt;margin-top:59.45pt;width:147pt;height:59.25pt;z-index:2516643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" fillcolor="#4f81bd [3204]" strokecolor="#243f60 [1604]" strokeweight="2pt">
            <v:textbox>
              <w:txbxContent>
                <w:p w:rsidR="00777771" w:rsidRPr="00D54F85" w:rsidRDefault="00777771" w:rsidP="00E83BD8">
                  <w:pPr>
                    <w:jc w:val="center"/>
                    <w:rPr>
                      <w:color w:val="000000" w:themeColor="text1"/>
                    </w:rPr>
                  </w:pPr>
                  <w:r w:rsidRPr="00D54F85">
                    <w:rPr>
                      <w:color w:val="000000" w:themeColor="text1"/>
                    </w:rPr>
                    <w:t>Приватні накопичення</w:t>
                  </w:r>
                </w:p>
              </w:txbxContent>
            </v:textbox>
          </v:roundrect>
        </w:pict>
      </w:r>
      <w:r>
        <w:rPr>
          <w:rFonts w:ascii="Times New Roman" w:hAnsi="Times New Roman"/>
          <w:noProof/>
          <w:color w:val="000000"/>
          <w:sz w:val="28"/>
          <w:szCs w:val="28"/>
          <w:lang w:eastAsia="uk-UA"/>
        </w:rPr>
        <w:pict>
          <v:roundrect id="Скругленный прямоугольник 27" o:spid="_x0000_s1027" style="position:absolute;left:0;text-align:left;margin-left:343.15pt;margin-top:214.7pt;width:153.75pt;height:57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" fillcolor="#4f81bd" strokecolor="#385d8a" strokeweight="2pt">
            <v:textbox>
              <w:txbxContent>
                <w:p w:rsidR="00777771" w:rsidRDefault="00777771" w:rsidP="00E83BD8">
                  <w:pPr>
                    <w:jc w:val="center"/>
                  </w:pPr>
                  <w:r w:rsidRPr="00E83BD8">
                    <w:rPr>
                      <w:sz w:val="20"/>
                    </w:rPr>
                    <w:t>Страхові внески громадян та/або роботодавців</w:t>
                  </w:r>
                  <w:r>
                    <w:rPr>
                      <w:sz w:val="20"/>
                    </w:rPr>
                    <w:t xml:space="preserve">, а також </w:t>
                  </w:r>
                  <w:r w:rsidRPr="00E83BD8">
                    <w:rPr>
                      <w:sz w:val="20"/>
                    </w:rPr>
                    <w:t>кошти державно</w:t>
                  </w:r>
                  <w:r>
                    <w:t>го  бюджету</w:t>
                  </w:r>
                </w:p>
                <w:p w:rsidR="00777771" w:rsidRDefault="00777771" w:rsidP="00E83BD8">
                  <w:pPr>
                    <w:jc w:val="center"/>
                  </w:pPr>
                </w:p>
              </w:txbxContent>
            </v:textbox>
          </v:roundrect>
        </w:pict>
      </w:r>
      <w:r>
        <w:rPr>
          <w:rFonts w:ascii="Times New Roman" w:hAnsi="Times New Roman"/>
          <w:noProof/>
          <w:color w:val="000000"/>
          <w:sz w:val="28"/>
          <w:szCs w:val="28"/>
          <w:lang w:eastAsia="uk-UA"/>
        </w:rPr>
        <w:pict>
          <v:roundrect id="Скругленный прямоугольник 28" o:spid="_x0000_s1028" style="position:absolute;left:0;text-align:left;margin-left:305.65pt;margin-top:132.95pt;width:147pt;height:59.25pt;z-index:2516705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" fillcolor="#4f81bd" strokecolor="#385d8a" strokeweight="2pt">
            <v:textbox>
              <w:txbxContent>
                <w:p w:rsidR="00777771" w:rsidRDefault="00777771" w:rsidP="00E83BD8">
                  <w:pPr>
                    <w:jc w:val="center"/>
                  </w:pPr>
                  <w:r>
                    <w:t>Страхові внески громадян та/або роботодавців</w:t>
                  </w:r>
                </w:p>
              </w:txbxContent>
            </v:textbox>
          </v:roundrect>
        </w:pict>
      </w:r>
      <w:r>
        <w:rPr>
          <w:rFonts w:ascii="Times New Roman" w:hAnsi="Times New Roman"/>
          <w:noProof/>
          <w:color w:val="000000"/>
          <w:sz w:val="28"/>
          <w:szCs w:val="28"/>
          <w:lang w:eastAsia="uk-UA"/>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4" o:spid="_x0000_s1031" type="#_x0000_t66" style="position:absolute;left:0;text-align:left;margin-left:222.4pt;margin-top:76.7pt;width:47.25pt;height:42pt;z-index:2516531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" adj="9600" fillcolor="#4f81bd" strokecolor="#385d8a" strokeweight="2pt"/>
        </w:pict>
      </w:r>
      <w:r>
        <w:rPr>
          <w:rFonts w:ascii="Times New Roman" w:hAnsi="Times New Roman"/>
          <w:noProof/>
          <w:color w:val="000000"/>
          <w:sz w:val="28"/>
          <w:szCs w:val="28"/>
          <w:lang w:eastAsia="uk-UA"/>
        </w:rPr>
        <w:pict>
          <v:shape id="Стрелка влево 25" o:spid="_x0000_s1030" type="#_x0000_t66" style="position:absolute;left:0;text-align:left;margin-left:249.4pt;margin-top:146.45pt;width:47.25pt;height:42pt;z-index:25165721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" adj="9600" fillcolor="#4f81bd" strokecolor="#385d8a" strokeweight="2pt"/>
        </w:pict>
      </w:r>
      <w:r>
        <w:rPr>
          <w:rFonts w:ascii="Times New Roman" w:hAnsi="Times New Roman"/>
          <w:noProof/>
          <w:color w:val="000000"/>
          <w:sz w:val="28"/>
          <w:szCs w:val="28"/>
          <w:lang w:eastAsia="uk-UA"/>
        </w:rPr>
        <w:pict>
          <v:shape id="Стрелка влево 23" o:spid="_x0000_s1029" type="#_x0000_t66" style="position:absolute;left:0;text-align:left;margin-left:284.65pt;margin-top:221.45pt;width:47.25pt;height:42pt;z-index:25164902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" adj="9600" fillcolor="#4f81bd [3204]" strokecolor="#243f60 [1604]" strokeweight="2pt"/>
        </w:pict>
      </w:r>
      <w:r w:rsidR="00B12AAC" w:rsidRPr="0078696C">
        <w:rPr>
          <w:rFonts w:ascii="Times New Roman" w:hAnsi="Times New Roman"/>
          <w:noProof/>
          <w:color w:val="000000"/>
          <w:sz w:val="28"/>
          <w:szCs w:val="28"/>
          <w:lang w:eastAsia="uk-UA"/>
        </w:rPr>
        <w:drawing>
          <wp:inline distT="0" distB="0" distL="0" distR="0">
            <wp:extent cx="3267075" cy="3543300"/>
            <wp:effectExtent l="19050" t="171450" r="28575" b="17145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E41274" w:rsidRPr="0078696C" w:rsidRDefault="00E41274" w:rsidP="00144104">
      <w:pPr>
        <w:spacing w:after="0" w:line="360" w:lineRule="auto"/>
        <w:ind w:firstLine="709"/>
        <w:jc w:val="both"/>
        <w:rPr>
          <w:rFonts w:ascii="Times New Roman" w:hAnsi="Times New Roman"/>
          <w:color w:val="000000"/>
          <w:sz w:val="28"/>
          <w:szCs w:val="28"/>
        </w:rPr>
      </w:pPr>
    </w:p>
    <w:p w:rsidR="00E41274" w:rsidRPr="0078696C" w:rsidRDefault="00B12AAC" w:rsidP="003F1DD0">
      <w:pPr>
        <w:spacing w:after="0" w:line="360" w:lineRule="auto"/>
        <w:ind w:firstLine="709"/>
        <w:jc w:val="center"/>
        <w:rPr>
          <w:rFonts w:ascii="Times New Roman" w:hAnsi="Times New Roman"/>
          <w:b/>
          <w:color w:val="000000"/>
          <w:sz w:val="28"/>
          <w:szCs w:val="28"/>
        </w:rPr>
      </w:pPr>
      <w:r w:rsidRPr="0078696C">
        <w:rPr>
          <w:rFonts w:ascii="Times New Roman" w:hAnsi="Times New Roman"/>
          <w:b/>
          <w:color w:val="000000"/>
          <w:sz w:val="28"/>
          <w:szCs w:val="28"/>
        </w:rPr>
        <w:t>Рисунок 3.1 Структура трирівневої пенсійної системи</w:t>
      </w:r>
    </w:p>
    <w:p w:rsidR="00E41274" w:rsidRPr="003F1DD0" w:rsidRDefault="00B12AAC" w:rsidP="003F1DD0">
      <w:pPr>
        <w:spacing w:after="0" w:line="360" w:lineRule="auto"/>
        <w:ind w:firstLine="709"/>
        <w:jc w:val="center"/>
        <w:rPr>
          <w:rFonts w:ascii="Times New Roman" w:hAnsi="Times New Roman"/>
          <w:color w:val="000000"/>
          <w:sz w:val="28"/>
          <w:szCs w:val="28"/>
          <w:lang w:val="ru-RU"/>
        </w:rPr>
      </w:pPr>
      <w:r w:rsidRPr="0078696C">
        <w:rPr>
          <w:rFonts w:ascii="Times New Roman" w:hAnsi="Times New Roman"/>
          <w:color w:val="000000"/>
          <w:sz w:val="28"/>
          <w:szCs w:val="28"/>
        </w:rPr>
        <w:t xml:space="preserve">Джерело: </w:t>
      </w:r>
      <w:r w:rsidR="003F1DD0">
        <w:rPr>
          <w:rFonts w:ascii="Times New Roman" w:hAnsi="Times New Roman"/>
          <w:color w:val="000000"/>
          <w:sz w:val="28"/>
          <w:szCs w:val="28"/>
        </w:rPr>
        <w:t xml:space="preserve">складено автором на основі </w:t>
      </w:r>
      <w:r w:rsidR="003F1DD0" w:rsidRPr="003F1DD0">
        <w:rPr>
          <w:rFonts w:ascii="Times New Roman" w:hAnsi="Times New Roman"/>
          <w:color w:val="000000"/>
          <w:sz w:val="28"/>
          <w:szCs w:val="28"/>
          <w:lang w:val="ru-RU"/>
        </w:rPr>
        <w:t>[</w:t>
      </w:r>
      <w:r w:rsidR="00BB06E1">
        <w:rPr>
          <w:rFonts w:ascii="Times New Roman" w:hAnsi="Times New Roman"/>
          <w:color w:val="000000"/>
          <w:sz w:val="28"/>
          <w:szCs w:val="28"/>
          <w:lang w:val="ru-RU"/>
        </w:rPr>
        <w:t>285</w:t>
      </w:r>
      <w:r w:rsidR="003F1DD0" w:rsidRPr="003F1DD0">
        <w:rPr>
          <w:rFonts w:ascii="Times New Roman" w:hAnsi="Times New Roman"/>
          <w:color w:val="000000"/>
          <w:sz w:val="28"/>
          <w:szCs w:val="28"/>
          <w:lang w:val="ru-RU"/>
        </w:rPr>
        <w:t>]</w:t>
      </w:r>
    </w:p>
    <w:p w:rsidR="003F1DD0" w:rsidRPr="00344DAE" w:rsidRDefault="003F1DD0" w:rsidP="005E12FD">
      <w:pPr>
        <w:spacing w:after="0" w:line="360" w:lineRule="auto"/>
        <w:ind w:firstLine="709"/>
        <w:jc w:val="both"/>
        <w:rPr>
          <w:rFonts w:ascii="Times New Roman" w:eastAsia="Times New Roman" w:hAnsi="Times New Roman"/>
          <w:color w:val="000000"/>
          <w:sz w:val="28"/>
          <w:szCs w:val="28"/>
          <w:lang w:val="ru-RU" w:eastAsia="ru-RU"/>
        </w:rPr>
      </w:pPr>
    </w:p>
    <w:p w:rsidR="00A74CF3" w:rsidRPr="0078696C" w:rsidRDefault="00A74CF3" w:rsidP="005E12FD">
      <w:pPr>
        <w:spacing w:after="0" w:line="360" w:lineRule="auto"/>
        <w:ind w:firstLine="709"/>
        <w:jc w:val="both"/>
        <w:rPr>
          <w:rFonts w:ascii="Times New Roman" w:hAnsi="Times New Roman"/>
          <w:color w:val="000000"/>
          <w:sz w:val="28"/>
          <w:szCs w:val="28"/>
        </w:rPr>
      </w:pPr>
      <w:r w:rsidRPr="0078696C">
        <w:rPr>
          <w:rFonts w:ascii="Times New Roman" w:eastAsia="Times New Roman" w:hAnsi="Times New Roman"/>
          <w:color w:val="000000"/>
          <w:sz w:val="28"/>
          <w:szCs w:val="28"/>
          <w:lang w:eastAsia="ru-RU"/>
        </w:rPr>
        <w:t xml:space="preserve">В європейських країнах домінуючим критерієм поділу моделей пенсійного забезпечення є рівень розвитку економіки. Так, наприклад, за цією ознакою професор В. Роїк виділяє дві моделі організації пенсійних систем: англо-саксонську (ліберально-демократичну, модель У. Бевериджа) та континентальну (класичну модель, модель О. Бісмарка) </w:t>
      </w:r>
      <w:r w:rsidRPr="0078696C">
        <w:rPr>
          <w:rStyle w:val="a8"/>
          <w:rFonts w:ascii="Times New Roman" w:eastAsia="Times New Roman" w:hAnsi="Times New Roman"/>
          <w:color w:val="000000"/>
          <w:sz w:val="28"/>
          <w:szCs w:val="28"/>
          <w:lang w:eastAsia="ru-RU"/>
        </w:rPr>
        <w:footnoteReference w:id="276"/>
      </w:r>
      <w:r w:rsidRPr="0078696C">
        <w:rPr>
          <w:rFonts w:ascii="Times New Roman" w:eastAsia="Times New Roman" w:hAnsi="Times New Roman"/>
          <w:color w:val="000000"/>
          <w:sz w:val="28"/>
          <w:szCs w:val="28"/>
          <w:lang w:eastAsia="ru-RU"/>
        </w:rPr>
        <w:t>.</w:t>
      </w:r>
      <w:r w:rsidR="007A70F3">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Науковці </w:t>
      </w:r>
      <w:r w:rsidR="00C157AA" w:rsidRPr="0078696C">
        <w:rPr>
          <w:rFonts w:ascii="Times New Roman" w:eastAsia="Times New Roman" w:hAnsi="Times New Roman"/>
          <w:color w:val="000000"/>
          <w:sz w:val="28"/>
          <w:szCs w:val="28"/>
          <w:lang w:eastAsia="ru-RU"/>
        </w:rPr>
        <w:br/>
      </w:r>
      <w:r w:rsidRPr="0078696C">
        <w:rPr>
          <w:rFonts w:ascii="Times New Roman" w:eastAsia="Times New Roman" w:hAnsi="Times New Roman"/>
          <w:color w:val="000000"/>
          <w:sz w:val="28"/>
          <w:szCs w:val="28"/>
          <w:lang w:eastAsia="ru-RU"/>
        </w:rPr>
        <w:t xml:space="preserve">І. Левченко та В. Глущенко до даної класифікації додають ще </w:t>
      </w:r>
      <w:r w:rsidR="00C157AA" w:rsidRPr="0078696C">
        <w:rPr>
          <w:rFonts w:ascii="Times New Roman" w:eastAsia="Times New Roman" w:hAnsi="Times New Roman"/>
          <w:color w:val="000000"/>
          <w:sz w:val="28"/>
          <w:szCs w:val="28"/>
          <w:lang w:eastAsia="ru-RU"/>
        </w:rPr>
        <w:t xml:space="preserve">соціально-орієнтовану модель пенсійного забезпечення </w:t>
      </w:r>
      <w:r w:rsidR="00C157AA" w:rsidRPr="0078696C">
        <w:rPr>
          <w:rStyle w:val="a8"/>
          <w:rFonts w:ascii="Times New Roman" w:eastAsia="Times New Roman" w:hAnsi="Times New Roman"/>
          <w:color w:val="000000"/>
          <w:sz w:val="28"/>
          <w:szCs w:val="28"/>
          <w:lang w:eastAsia="ru-RU"/>
        </w:rPr>
        <w:footnoteReference w:id="277"/>
      </w:r>
      <w:r w:rsidR="00C157AA" w:rsidRPr="0078696C">
        <w:rPr>
          <w:rFonts w:ascii="Times New Roman" w:eastAsia="Times New Roman" w:hAnsi="Times New Roman"/>
          <w:color w:val="000000"/>
          <w:sz w:val="28"/>
          <w:szCs w:val="28"/>
          <w:lang w:eastAsia="ru-RU"/>
        </w:rPr>
        <w:t>, яку по-іншому ще називають скандинавською</w:t>
      </w:r>
      <w:r w:rsidR="00B844BD" w:rsidRPr="0078696C">
        <w:rPr>
          <w:rFonts w:ascii="Times New Roman" w:eastAsia="Times New Roman" w:hAnsi="Times New Roman"/>
          <w:color w:val="000000"/>
          <w:sz w:val="28"/>
          <w:szCs w:val="28"/>
          <w:lang w:eastAsia="ru-RU"/>
        </w:rPr>
        <w:t>,</w:t>
      </w:r>
      <w:r w:rsidR="00C157AA" w:rsidRPr="0078696C">
        <w:rPr>
          <w:rFonts w:ascii="Times New Roman" w:eastAsia="Times New Roman" w:hAnsi="Times New Roman"/>
          <w:color w:val="000000"/>
          <w:sz w:val="28"/>
          <w:szCs w:val="28"/>
          <w:lang w:eastAsia="ru-RU"/>
        </w:rPr>
        <w:t xml:space="preserve"> або приватно-корпоративною.</w:t>
      </w:r>
    </w:p>
    <w:p w:rsidR="0043696F" w:rsidRPr="0078696C" w:rsidRDefault="00C157AA" w:rsidP="009D512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На наш погляд, такий розподіл спричинений відмінностями у</w:t>
      </w:r>
      <w:r w:rsidR="00A9338E" w:rsidRPr="0078696C">
        <w:rPr>
          <w:rFonts w:ascii="Times New Roman" w:eastAsia="Times New Roman" w:hAnsi="Times New Roman"/>
          <w:color w:val="000000"/>
          <w:sz w:val="28"/>
          <w:szCs w:val="28"/>
          <w:lang w:eastAsia="ru-RU"/>
        </w:rPr>
        <w:t>принцип</w:t>
      </w:r>
      <w:r w:rsidRPr="0078696C">
        <w:rPr>
          <w:rFonts w:ascii="Times New Roman" w:eastAsia="Times New Roman" w:hAnsi="Times New Roman"/>
          <w:color w:val="000000"/>
          <w:sz w:val="28"/>
          <w:szCs w:val="28"/>
          <w:lang w:eastAsia="ru-RU"/>
        </w:rPr>
        <w:t>ах</w:t>
      </w:r>
      <w:r w:rsidR="00A9338E" w:rsidRPr="0078696C">
        <w:rPr>
          <w:rFonts w:ascii="Times New Roman" w:eastAsia="Times New Roman" w:hAnsi="Times New Roman"/>
          <w:color w:val="000000"/>
          <w:sz w:val="28"/>
          <w:szCs w:val="28"/>
          <w:lang w:eastAsia="ru-RU"/>
        </w:rPr>
        <w:t xml:space="preserve"> фінансування, розподілу відповідальності між державою, роботодавцями та </w:t>
      </w:r>
      <w:r w:rsidR="00A9338E" w:rsidRPr="0078696C">
        <w:rPr>
          <w:rFonts w:ascii="Times New Roman" w:eastAsia="Times New Roman" w:hAnsi="Times New Roman"/>
          <w:color w:val="000000"/>
          <w:sz w:val="28"/>
          <w:szCs w:val="28"/>
          <w:lang w:eastAsia="ru-RU"/>
        </w:rPr>
        <w:lastRenderedPageBreak/>
        <w:t>працівниками, співвідношення</w:t>
      </w:r>
      <w:r w:rsidRPr="0078696C">
        <w:rPr>
          <w:rFonts w:ascii="Times New Roman" w:eastAsia="Times New Roman" w:hAnsi="Times New Roman"/>
          <w:color w:val="000000"/>
          <w:sz w:val="28"/>
          <w:szCs w:val="28"/>
          <w:lang w:eastAsia="ru-RU"/>
        </w:rPr>
        <w:t>м тих чи інших схем</w:t>
      </w:r>
      <w:r w:rsidR="007A70F3">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пенсійного забезпечення у загальній структурі</w:t>
      </w:r>
      <w:r w:rsidR="001F0567" w:rsidRPr="0078696C">
        <w:rPr>
          <w:rFonts w:ascii="Times New Roman" w:eastAsia="Times New Roman" w:hAnsi="Times New Roman"/>
          <w:color w:val="000000"/>
          <w:sz w:val="28"/>
          <w:szCs w:val="28"/>
          <w:lang w:eastAsia="ru-RU"/>
        </w:rPr>
        <w:t xml:space="preserve"> пенсійних виплат</w:t>
      </w:r>
      <w:r w:rsidRPr="0078696C">
        <w:rPr>
          <w:rFonts w:ascii="Times New Roman" w:eastAsia="Times New Roman" w:hAnsi="Times New Roman"/>
          <w:color w:val="000000"/>
          <w:sz w:val="28"/>
          <w:szCs w:val="28"/>
          <w:lang w:eastAsia="ru-RU"/>
        </w:rPr>
        <w:t>.</w:t>
      </w:r>
    </w:p>
    <w:p w:rsidR="0043696F" w:rsidRPr="0078696C" w:rsidRDefault="003F1DD0" w:rsidP="00C157AA">
      <w:pPr>
        <w:spacing w:after="0" w:line="240" w:lineRule="auto"/>
        <w:ind w:firstLine="709"/>
        <w:jc w:val="center"/>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eastAsia="ru-RU"/>
        </w:rPr>
        <w:t>Таблиця 3.</w:t>
      </w:r>
      <w:r w:rsidRPr="0006151A">
        <w:rPr>
          <w:rFonts w:ascii="Times New Roman" w:eastAsia="Times New Roman" w:hAnsi="Times New Roman"/>
          <w:b/>
          <w:color w:val="000000"/>
          <w:sz w:val="28"/>
          <w:szCs w:val="28"/>
          <w:lang w:val="ru-RU" w:eastAsia="ru-RU"/>
        </w:rPr>
        <w:t>2</w:t>
      </w:r>
      <w:r w:rsidR="00C157AA" w:rsidRPr="0078696C">
        <w:rPr>
          <w:rFonts w:ascii="Times New Roman" w:eastAsia="Times New Roman" w:hAnsi="Times New Roman"/>
          <w:b/>
          <w:color w:val="000000"/>
          <w:sz w:val="28"/>
          <w:szCs w:val="28"/>
          <w:lang w:eastAsia="ru-RU"/>
        </w:rPr>
        <w:t>Основні м</w:t>
      </w:r>
      <w:r w:rsidR="0043696F" w:rsidRPr="0078696C">
        <w:rPr>
          <w:rFonts w:ascii="Times New Roman" w:eastAsia="Times New Roman" w:hAnsi="Times New Roman"/>
          <w:b/>
          <w:color w:val="000000"/>
          <w:sz w:val="28"/>
          <w:szCs w:val="28"/>
          <w:lang w:eastAsia="ru-RU"/>
        </w:rPr>
        <w:t>оделі європейських пенсійних систем</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30"/>
        <w:gridCol w:w="2691"/>
        <w:gridCol w:w="3017"/>
        <w:gridCol w:w="2409"/>
      </w:tblGrid>
      <w:tr w:rsidR="00DA52C4" w:rsidRPr="0078696C" w:rsidTr="00DA52C4">
        <w:tc>
          <w:tcPr>
            <w:tcW w:w="1630" w:type="dxa"/>
          </w:tcPr>
          <w:p w:rsidR="00DA52C4" w:rsidRPr="0078696C" w:rsidRDefault="00DA52C4" w:rsidP="00F00873">
            <w:pPr>
              <w:spacing w:after="0" w:line="240" w:lineRule="auto"/>
              <w:jc w:val="center"/>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Тип моделі</w:t>
            </w:r>
          </w:p>
        </w:tc>
        <w:tc>
          <w:tcPr>
            <w:tcW w:w="2691" w:type="dxa"/>
          </w:tcPr>
          <w:p w:rsidR="00DA52C4" w:rsidRPr="0078696C" w:rsidRDefault="00DA52C4" w:rsidP="00F00873">
            <w:pPr>
              <w:spacing w:after="0" w:line="240" w:lineRule="auto"/>
              <w:jc w:val="center"/>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Модель О. Бісмарка</w:t>
            </w:r>
          </w:p>
        </w:tc>
        <w:tc>
          <w:tcPr>
            <w:tcW w:w="3017" w:type="dxa"/>
          </w:tcPr>
          <w:p w:rsidR="00DA52C4" w:rsidRPr="0078696C" w:rsidRDefault="00180F27" w:rsidP="00F00873">
            <w:pPr>
              <w:spacing w:after="0" w:line="240" w:lineRule="auto"/>
              <w:jc w:val="center"/>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Модель У</w:t>
            </w:r>
            <w:r w:rsidR="00DA52C4" w:rsidRPr="0078696C">
              <w:rPr>
                <w:rFonts w:ascii="Times New Roman" w:eastAsia="Times New Roman" w:hAnsi="Times New Roman"/>
                <w:b/>
                <w:color w:val="000000"/>
                <w:sz w:val="24"/>
                <w:szCs w:val="24"/>
                <w:lang w:eastAsia="ru-RU"/>
              </w:rPr>
              <w:t>. Бевериджа</w:t>
            </w:r>
          </w:p>
        </w:tc>
        <w:tc>
          <w:tcPr>
            <w:tcW w:w="2409" w:type="dxa"/>
          </w:tcPr>
          <w:p w:rsidR="00DA52C4" w:rsidRPr="0078696C" w:rsidRDefault="00DA52C4" w:rsidP="00F00873">
            <w:pPr>
              <w:spacing w:after="0" w:line="240" w:lineRule="auto"/>
              <w:jc w:val="center"/>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Скандинавська модель</w:t>
            </w:r>
          </w:p>
        </w:tc>
      </w:tr>
      <w:tr w:rsidR="00DA52C4" w:rsidRPr="0078696C" w:rsidTr="00DA52C4">
        <w:tc>
          <w:tcPr>
            <w:tcW w:w="1630"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Країни</w:t>
            </w:r>
          </w:p>
        </w:tc>
        <w:tc>
          <w:tcPr>
            <w:tcW w:w="2691" w:type="dxa"/>
          </w:tcPr>
          <w:p w:rsidR="00DA52C4" w:rsidRPr="0078696C" w:rsidRDefault="00DA52C4" w:rsidP="00CC7B88">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Німеччина, Франція, Австрія, Бельгія, Швейцарія, Греція </w:t>
            </w:r>
          </w:p>
        </w:tc>
        <w:tc>
          <w:tcPr>
            <w:tcW w:w="3017"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Велика Британія, Ірландія, Нідерланди</w:t>
            </w:r>
          </w:p>
        </w:tc>
        <w:tc>
          <w:tcPr>
            <w:tcW w:w="2409"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Швеція, Фінляндія, Норвегія, Данія</w:t>
            </w:r>
          </w:p>
        </w:tc>
      </w:tr>
      <w:tr w:rsidR="00DA52C4" w:rsidRPr="0078696C" w:rsidTr="00DA52C4">
        <w:tc>
          <w:tcPr>
            <w:tcW w:w="1630"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Основні особливості</w:t>
            </w:r>
          </w:p>
        </w:tc>
        <w:tc>
          <w:tcPr>
            <w:tcW w:w="2691"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Базується на солідарній відповідальності роботодавців, працівників і держави.</w:t>
            </w:r>
          </w:p>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Фінансування відбувається за рахунок внесків працюючих громадян, які пропорційно розподіляються між пенсіонерами (базовий режим); передбачає існування багатьох додаткових накопичувальних механізмів</w:t>
            </w:r>
          </w:p>
        </w:tc>
        <w:tc>
          <w:tcPr>
            <w:tcW w:w="3017"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Фінансування системи здійснюється за рахунок введення спеціального податку. При цьому, розподіл фінансування, в залежності від рівня пенсії, розподіляється між державою, роботодавцем і працівником: базова пенсія гарантується державою та відповідає прожитковому мінімуму, страхова частина - формується роботодавцем за частковою участю працівника в межах професійної системи страхування; добровільне страхування – за рахунок власних накопичень працівника</w:t>
            </w:r>
          </w:p>
        </w:tc>
        <w:tc>
          <w:tcPr>
            <w:tcW w:w="2409"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Фінансування здійснюється, здебільшого, за рахунок оподаткування, однак, певну роль відіграють і страхові внески підприємців та працівників</w:t>
            </w:r>
          </w:p>
        </w:tc>
      </w:tr>
      <w:tr w:rsidR="00DA52C4" w:rsidRPr="0078696C" w:rsidTr="00DA52C4">
        <w:tc>
          <w:tcPr>
            <w:tcW w:w="1630"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Переваги</w:t>
            </w:r>
          </w:p>
        </w:tc>
        <w:tc>
          <w:tcPr>
            <w:tcW w:w="2691"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Високий коефіцієнт заміщення</w:t>
            </w:r>
          </w:p>
        </w:tc>
        <w:tc>
          <w:tcPr>
            <w:tcW w:w="3017"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Наявність гарантованої державою базової пенсії </w:t>
            </w:r>
          </w:p>
        </w:tc>
        <w:tc>
          <w:tcPr>
            <w:tcW w:w="2409"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Високий рівень соціальної захищеності</w:t>
            </w:r>
          </w:p>
        </w:tc>
      </w:tr>
      <w:tr w:rsidR="00DA52C4" w:rsidRPr="0078696C" w:rsidTr="00DA52C4">
        <w:tc>
          <w:tcPr>
            <w:tcW w:w="1630"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Недоліки</w:t>
            </w:r>
          </w:p>
        </w:tc>
        <w:tc>
          <w:tcPr>
            <w:tcW w:w="2691"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Залежність від демографічних факторів і стану ринку праці</w:t>
            </w:r>
          </w:p>
        </w:tc>
        <w:tc>
          <w:tcPr>
            <w:tcW w:w="3017"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Низький коефіцієнт заміщення</w:t>
            </w:r>
          </w:p>
        </w:tc>
        <w:tc>
          <w:tcPr>
            <w:tcW w:w="2409" w:type="dxa"/>
          </w:tcPr>
          <w:p w:rsidR="00DA52C4" w:rsidRPr="0078696C" w:rsidRDefault="00DA52C4" w:rsidP="00F00873">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Функціонування такої системи можливе виключно в країнах з високим рівнем економіки</w:t>
            </w:r>
          </w:p>
        </w:tc>
      </w:tr>
    </w:tbl>
    <w:p w:rsidR="00FC5534" w:rsidRDefault="00126D5D" w:rsidP="00FC5534">
      <w:pPr>
        <w:spacing w:after="0" w:line="360" w:lineRule="auto"/>
        <w:jc w:val="center"/>
        <w:rPr>
          <w:rFonts w:ascii="Times New Roman" w:eastAsia="Times New Roman" w:hAnsi="Times New Roman"/>
          <w:color w:val="000000"/>
          <w:sz w:val="28"/>
          <w:szCs w:val="28"/>
          <w:lang w:val="ru-RU" w:eastAsia="ru-RU"/>
        </w:rPr>
      </w:pPr>
      <w:r w:rsidRPr="0078696C">
        <w:rPr>
          <w:rFonts w:ascii="Times New Roman" w:eastAsia="Times New Roman" w:hAnsi="Times New Roman"/>
          <w:color w:val="000000"/>
          <w:sz w:val="28"/>
          <w:szCs w:val="28"/>
          <w:lang w:eastAsia="ru-RU"/>
        </w:rPr>
        <w:t>Джерело:</w:t>
      </w:r>
      <w:r w:rsidR="0006151A">
        <w:rPr>
          <w:rFonts w:ascii="Times New Roman" w:eastAsia="Times New Roman" w:hAnsi="Times New Roman"/>
          <w:color w:val="000000"/>
          <w:sz w:val="28"/>
          <w:szCs w:val="28"/>
          <w:lang w:eastAsia="ru-RU"/>
        </w:rPr>
        <w:t>складено автором на основі</w:t>
      </w:r>
      <w:r w:rsidR="0006151A" w:rsidRPr="0044653B">
        <w:rPr>
          <w:rFonts w:ascii="Times New Roman" w:eastAsia="Times New Roman" w:hAnsi="Times New Roman"/>
          <w:color w:val="000000"/>
          <w:sz w:val="28"/>
          <w:szCs w:val="28"/>
          <w:lang w:val="ru-RU" w:eastAsia="ru-RU"/>
        </w:rPr>
        <w:t>[</w:t>
      </w:r>
      <w:r w:rsidR="00FC5534">
        <w:rPr>
          <w:rFonts w:ascii="Times New Roman" w:eastAsia="Times New Roman" w:hAnsi="Times New Roman"/>
          <w:color w:val="000000"/>
          <w:sz w:val="28"/>
          <w:szCs w:val="28"/>
          <w:lang w:val="ru-RU" w:eastAsia="ru-RU"/>
        </w:rPr>
        <w:t>3; 27; 46; 85</w:t>
      </w:r>
      <w:r w:rsidR="0006151A" w:rsidRPr="0044653B">
        <w:rPr>
          <w:rFonts w:ascii="Times New Roman" w:eastAsia="Times New Roman" w:hAnsi="Times New Roman"/>
          <w:color w:val="000000"/>
          <w:sz w:val="28"/>
          <w:szCs w:val="28"/>
          <w:lang w:val="ru-RU"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 основу </w:t>
      </w:r>
      <w:r w:rsidRPr="0078696C">
        <w:rPr>
          <w:rFonts w:ascii="Times New Roman" w:eastAsia="Times New Roman" w:hAnsi="Times New Roman"/>
          <w:i/>
          <w:color w:val="000000"/>
          <w:sz w:val="28"/>
          <w:szCs w:val="28"/>
          <w:lang w:eastAsia="ru-RU"/>
        </w:rPr>
        <w:t>моделі О. Бісмарка</w:t>
      </w:r>
      <w:r w:rsidRPr="0078696C">
        <w:rPr>
          <w:rFonts w:ascii="Times New Roman" w:eastAsia="Times New Roman" w:hAnsi="Times New Roman"/>
          <w:color w:val="000000"/>
          <w:sz w:val="28"/>
          <w:szCs w:val="28"/>
          <w:lang w:eastAsia="ru-RU"/>
        </w:rPr>
        <w:t xml:space="preserve"> закладено механізм, центральною ланкою якого є інститут обов’язкового соціального страхування</w:t>
      </w:r>
      <w:r w:rsidR="00DE0381"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Ця модель, тільки дещо реформована, і на сьогодні залишається актуальною для багатьох розвинених країн Європи. Її використовують такі країни, як Австрія, Бельгія, Франція, Італія, ФРН, Греція та ін.</w:t>
      </w:r>
    </w:p>
    <w:p w:rsidR="00543148" w:rsidRPr="0078696C" w:rsidRDefault="00543148" w:rsidP="00DE038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Система соціального забезпечення в ній упорядковується за професійними групами, гарантуючи пенсію працюючим громадянам, у </w:t>
      </w:r>
      <w:r w:rsidRPr="0078696C">
        <w:rPr>
          <w:rFonts w:ascii="Times New Roman" w:eastAsia="Times New Roman" w:hAnsi="Times New Roman"/>
          <w:color w:val="000000"/>
          <w:sz w:val="28"/>
          <w:szCs w:val="28"/>
          <w:lang w:eastAsia="ru-RU"/>
        </w:rPr>
        <w:lastRenderedPageBreak/>
        <w:t xml:space="preserve">залежності від </w:t>
      </w:r>
      <w:r w:rsidR="00180F27" w:rsidRPr="0078696C">
        <w:rPr>
          <w:rFonts w:ascii="Times New Roman" w:eastAsia="Times New Roman" w:hAnsi="Times New Roman"/>
          <w:color w:val="000000"/>
          <w:sz w:val="28"/>
          <w:szCs w:val="28"/>
          <w:lang w:eastAsia="ru-RU"/>
        </w:rPr>
        <w:t>с</w:t>
      </w:r>
      <w:r w:rsidRPr="0078696C">
        <w:rPr>
          <w:rFonts w:ascii="Times New Roman" w:eastAsia="Times New Roman" w:hAnsi="Times New Roman"/>
          <w:color w:val="000000"/>
          <w:sz w:val="28"/>
          <w:szCs w:val="28"/>
          <w:lang w:eastAsia="ru-RU"/>
        </w:rPr>
        <w:t>плачуваних ними внесків.</w:t>
      </w:r>
      <w:r w:rsidR="007A70F3">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Ця модель ґрун</w:t>
      </w:r>
      <w:r w:rsidR="00716061" w:rsidRPr="0078696C">
        <w:rPr>
          <w:rFonts w:ascii="Times New Roman" w:eastAsia="Times New Roman" w:hAnsi="Times New Roman"/>
          <w:color w:val="000000"/>
          <w:sz w:val="28"/>
          <w:szCs w:val="28"/>
          <w:lang w:eastAsia="ru-RU"/>
        </w:rPr>
        <w:t>тується, як правило, на базовому рівні</w:t>
      </w:r>
      <w:r w:rsidRPr="0078696C">
        <w:rPr>
          <w:rFonts w:ascii="Times New Roman" w:eastAsia="Times New Roman" w:hAnsi="Times New Roman"/>
          <w:color w:val="000000"/>
          <w:sz w:val="28"/>
          <w:szCs w:val="28"/>
          <w:lang w:eastAsia="ru-RU"/>
        </w:rPr>
        <w:t>, що фінансується за рахунок внесків працюючих громадян, які пропорційно розподіляються між тими, хто мають право на пенсію. В межах цієї моделі існують режими додаткового пенсійного забезпечення, побудовані за накопичувальним принципом, але вони не дуже розвинені.</w:t>
      </w:r>
    </w:p>
    <w:p w:rsidR="00724CAC" w:rsidRPr="0078696C" w:rsidRDefault="00724CAC" w:rsidP="00724CA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Перевага цієї системи полягає в незалежності розмірів пенсій від результатів функціонування фінансових ринків і діяльності керівництва пенсійних фондів. Фінансовані у такий спосіб пенсії забезпечують більш надійний захист і більш високу норму заміщення. Однак, недоліком розподільчої системи є пряма залежність від демографічних факторів і стану ринку праці </w:t>
      </w:r>
      <w:r w:rsidR="00B61A7C"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рівня зайнятості, заробітної плати, безробіття, співвідношення чисельності платників внесків та пенсіонерів</w:t>
      </w:r>
      <w:r w:rsidRPr="0078696C">
        <w:rPr>
          <w:rStyle w:val="a8"/>
          <w:rFonts w:ascii="Times New Roman" w:eastAsia="Times New Roman" w:hAnsi="Times New Roman"/>
          <w:color w:val="000000"/>
          <w:sz w:val="28"/>
          <w:szCs w:val="28"/>
          <w:lang w:eastAsia="ru-RU"/>
        </w:rPr>
        <w:footnoteReference w:id="278"/>
      </w:r>
      <w:r w:rsidR="00257C06"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 середньому пенсія становить близько 70% від середнього розміру заробітної плати. Для середнього класу цих країн характерні високі накопичення пенсійних активів до настання пенсійного віку</w:t>
      </w:r>
      <w:r w:rsidRPr="0078696C">
        <w:rPr>
          <w:rStyle w:val="a8"/>
          <w:rFonts w:ascii="Times New Roman" w:eastAsia="Times New Roman" w:hAnsi="Times New Roman"/>
          <w:color w:val="000000"/>
          <w:sz w:val="28"/>
          <w:szCs w:val="28"/>
          <w:lang w:eastAsia="ru-RU"/>
        </w:rPr>
        <w:footnoteReference w:id="279"/>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Ця модель ґрунтується на принципах пенсійного страхування та професійній солідарності, що передбачає створення страхових фондів, якими на паритетних засадах управляють власники підприємств, організацій та установ та наймані робітники. Зазначена модель реалізується для малозабезпечених членів суспільства, що не можуть отримувати страхові пенсійні виплати за відсутністю страхового стажу, а пенсійне забезпечення реалізується через принцип соціальної допомоги, який спричинює модифікацію цієї моделі та збільшення частки бюджетного фінансування пенсійного забезпечення </w:t>
      </w:r>
      <w:r w:rsidRPr="0078696C">
        <w:rPr>
          <w:rStyle w:val="a8"/>
          <w:rFonts w:ascii="Times New Roman" w:eastAsia="Times New Roman" w:hAnsi="Times New Roman"/>
          <w:color w:val="000000"/>
          <w:sz w:val="28"/>
          <w:szCs w:val="28"/>
          <w:lang w:eastAsia="ru-RU"/>
        </w:rPr>
        <w:footnoteReference w:id="280"/>
      </w:r>
      <w:r w:rsidRPr="0078696C">
        <w:rPr>
          <w:rFonts w:ascii="Times New Roman" w:eastAsia="Times New Roman" w:hAnsi="Times New Roman"/>
          <w:color w:val="000000"/>
          <w:sz w:val="28"/>
          <w:szCs w:val="28"/>
          <w:lang w:eastAsia="ru-RU"/>
        </w:rPr>
        <w:t>.</w:t>
      </w:r>
    </w:p>
    <w:p w:rsidR="001F0567"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t>Німеччина,</w:t>
      </w:r>
      <w:r w:rsidRPr="0078696C">
        <w:rPr>
          <w:rFonts w:ascii="Times New Roman" w:eastAsia="Times New Roman" w:hAnsi="Times New Roman"/>
          <w:color w:val="000000"/>
          <w:sz w:val="28"/>
          <w:szCs w:val="28"/>
          <w:lang w:eastAsia="ru-RU"/>
        </w:rPr>
        <w:t xml:space="preserve"> як «колиска» солідарної пенсійної системи, і на сьогодні значною мірою зберігає саме цю систему, однак у значно модифікованій формі, з добре розвиненою трирівневою моделлю. Перший рівень – обов'язкове державне пенсійне страхування, другий рівень – виробничі пенсії, що </w:t>
      </w:r>
      <w:r w:rsidRPr="0078696C">
        <w:rPr>
          <w:rFonts w:ascii="Times New Roman" w:eastAsia="Times New Roman" w:hAnsi="Times New Roman"/>
          <w:color w:val="000000"/>
          <w:sz w:val="28"/>
          <w:szCs w:val="28"/>
          <w:lang w:eastAsia="ru-RU"/>
        </w:rPr>
        <w:lastRenderedPageBreak/>
        <w:t xml:space="preserve">виплачуються підприємствами, і третій – приватне матеріальне забезпечення в старості </w:t>
      </w:r>
      <w:r w:rsidRPr="0078696C">
        <w:rPr>
          <w:rStyle w:val="a8"/>
          <w:rFonts w:ascii="Times New Roman" w:eastAsia="Times New Roman" w:hAnsi="Times New Roman"/>
          <w:color w:val="000000"/>
          <w:sz w:val="28"/>
          <w:szCs w:val="28"/>
          <w:lang w:eastAsia="ru-RU"/>
        </w:rPr>
        <w:footnoteReference w:id="281"/>
      </w:r>
      <w:r w:rsidRPr="0078696C">
        <w:rPr>
          <w:rFonts w:ascii="Times New Roman" w:eastAsia="Times New Roman" w:hAnsi="Times New Roman"/>
          <w:color w:val="000000"/>
          <w:sz w:val="28"/>
          <w:szCs w:val="28"/>
          <w:lang w:eastAsia="ru-RU"/>
        </w:rPr>
        <w:t xml:space="preserve">. </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Перший рівень функціонує як на федеральному, так і на місцевому (земельному) рівнях. У ньому задіяні наймані працівники з окремих професійних груп і самозайняте населення. Розміри страхових внесків у всіх 22 федеральних землях ФРН однакові і не накопичуються. Бюджет федерального закладу пенсійного страхування формується за рахунок відрахувань праці</w:t>
      </w:r>
      <w:r w:rsidR="00132764" w:rsidRPr="0078696C">
        <w:rPr>
          <w:rFonts w:ascii="Times New Roman" w:eastAsia="Times New Roman" w:hAnsi="Times New Roman"/>
          <w:color w:val="000000"/>
          <w:sz w:val="28"/>
          <w:szCs w:val="28"/>
          <w:lang w:eastAsia="ru-RU"/>
        </w:rPr>
        <w:t>вника і роботодавця в сумі 19,4</w:t>
      </w:r>
      <w:r w:rsidRPr="0078696C">
        <w:rPr>
          <w:rFonts w:ascii="Times New Roman" w:eastAsia="Times New Roman" w:hAnsi="Times New Roman"/>
          <w:color w:val="000000"/>
          <w:sz w:val="28"/>
          <w:szCs w:val="28"/>
          <w:lang w:eastAsia="ru-RU"/>
        </w:rPr>
        <w:t>% від за</w:t>
      </w:r>
      <w:r w:rsidR="0080074F" w:rsidRPr="0078696C">
        <w:rPr>
          <w:rFonts w:ascii="Times New Roman" w:eastAsia="Times New Roman" w:hAnsi="Times New Roman"/>
          <w:color w:val="000000"/>
          <w:sz w:val="28"/>
          <w:szCs w:val="28"/>
          <w:lang w:eastAsia="ru-RU"/>
        </w:rPr>
        <w:t xml:space="preserve">рплати і фонду заробітної плати </w:t>
      </w:r>
      <w:r w:rsidR="0080074F" w:rsidRPr="0078696C">
        <w:rPr>
          <w:rStyle w:val="a8"/>
          <w:rFonts w:ascii="Times New Roman" w:eastAsia="Times New Roman" w:hAnsi="Times New Roman"/>
          <w:color w:val="000000"/>
          <w:sz w:val="28"/>
          <w:szCs w:val="28"/>
          <w:lang w:eastAsia="ru-RU"/>
        </w:rPr>
        <w:footnoteReference w:id="282"/>
      </w:r>
      <w:r w:rsidR="0080074F" w:rsidRPr="0078696C">
        <w:rPr>
          <w:rFonts w:ascii="Times New Roman" w:eastAsia="Times New Roman" w:hAnsi="Times New Roman"/>
          <w:color w:val="000000"/>
          <w:sz w:val="28"/>
          <w:szCs w:val="28"/>
          <w:lang w:eastAsia="ru-RU"/>
        </w:rPr>
        <w:t>.</w:t>
      </w:r>
    </w:p>
    <w:p w:rsidR="00543148" w:rsidRPr="0078696C" w:rsidRDefault="00543148" w:rsidP="008D0805">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Другий рівень представлений корпоративним – виробничим страхуванням. Виробничу пенсію одержує приблизно 50 відсотків всіх пенсіонерів, включаючи державних службовців</w:t>
      </w:r>
      <w:r w:rsidR="00972DA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Третій рівень – приватне забезпечення старості, здійснюється самим працівником шляхом формування своєї майбутньої пенсії. Потенційні пенсіонери заключають з недержавними пенсійними фондами договори орієнтовані на отримання додаткової пенсії в старості за рахунок накопичених сум. Приватна система пенсійного страхування включає страхові компанії, кредитні організації і банки. В свою чергу працівники – учасники програм приватного страхування мають можливість прийняти участь в програмах, що направлені на інвестування пенсійних накопичень</w:t>
      </w:r>
      <w:r w:rsidR="00972DA8" w:rsidRPr="0078696C">
        <w:rPr>
          <w:rStyle w:val="a8"/>
          <w:rFonts w:ascii="Times New Roman" w:eastAsia="Times New Roman" w:hAnsi="Times New Roman"/>
          <w:color w:val="000000"/>
          <w:sz w:val="28"/>
          <w:szCs w:val="28"/>
          <w:lang w:eastAsia="ru-RU"/>
        </w:rPr>
        <w:footnoteReference w:id="283"/>
      </w:r>
      <w:r w:rsidRPr="0078696C">
        <w:rPr>
          <w:rFonts w:ascii="Times New Roman" w:eastAsia="Times New Roman" w:hAnsi="Times New Roman"/>
          <w:color w:val="000000"/>
          <w:sz w:val="28"/>
          <w:szCs w:val="28"/>
          <w:lang w:eastAsia="ru-RU"/>
        </w:rPr>
        <w:t>.</w:t>
      </w:r>
    </w:p>
    <w:p w:rsidR="002B6011" w:rsidRPr="0078696C" w:rsidRDefault="00543148" w:rsidP="00A13D2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Пенсійний вік для жінок та чоловіків </w:t>
      </w:r>
      <w:r w:rsidR="008D0805" w:rsidRPr="0078696C">
        <w:rPr>
          <w:rFonts w:ascii="Times New Roman" w:eastAsia="Times New Roman" w:hAnsi="Times New Roman"/>
          <w:color w:val="000000"/>
          <w:sz w:val="28"/>
          <w:szCs w:val="28"/>
          <w:lang w:eastAsia="ru-RU"/>
        </w:rPr>
        <w:t xml:space="preserve">у ФРН </w:t>
      </w:r>
      <w:r w:rsidRPr="0078696C">
        <w:rPr>
          <w:rFonts w:ascii="Times New Roman" w:eastAsia="Times New Roman" w:hAnsi="Times New Roman"/>
          <w:color w:val="000000"/>
          <w:sz w:val="28"/>
          <w:szCs w:val="28"/>
          <w:lang w:eastAsia="ru-RU"/>
        </w:rPr>
        <w:t xml:space="preserve">становить 65 років </w:t>
      </w:r>
      <w:r w:rsidR="001F0567" w:rsidRPr="0078696C">
        <w:rPr>
          <w:rFonts w:ascii="Times New Roman" w:eastAsia="Times New Roman" w:hAnsi="Times New Roman"/>
          <w:color w:val="000000"/>
          <w:sz w:val="28"/>
          <w:szCs w:val="28"/>
          <w:lang w:eastAsia="ru-RU"/>
        </w:rPr>
        <w:t xml:space="preserve">(при умові сплати страхових внесків не менше 5 років) </w:t>
      </w:r>
      <w:r w:rsidRPr="0078696C">
        <w:rPr>
          <w:rFonts w:ascii="Times New Roman" w:eastAsia="Times New Roman" w:hAnsi="Times New Roman"/>
          <w:color w:val="000000"/>
          <w:sz w:val="28"/>
          <w:szCs w:val="28"/>
          <w:lang w:eastAsia="ru-RU"/>
        </w:rPr>
        <w:t>і був піднятий відповідними законодавчими актами ще в 1996-97 роках. Незважаючи на явну непопулярність цього заходу, населення</w:t>
      </w:r>
      <w:r w:rsidR="00B844BD" w:rsidRPr="0078696C">
        <w:rPr>
          <w:rFonts w:ascii="Times New Roman" w:eastAsia="Times New Roman" w:hAnsi="Times New Roman"/>
          <w:color w:val="000000"/>
          <w:sz w:val="28"/>
          <w:szCs w:val="28"/>
          <w:lang w:eastAsia="ru-RU"/>
        </w:rPr>
        <w:t xml:space="preserve"> зустріли такі зміни з розумінням</w:t>
      </w:r>
      <w:r w:rsidRPr="0078696C">
        <w:rPr>
          <w:rFonts w:ascii="Times New Roman" w:eastAsia="Times New Roman" w:hAnsi="Times New Roman"/>
          <w:color w:val="000000"/>
          <w:sz w:val="28"/>
          <w:szCs w:val="28"/>
          <w:lang w:eastAsia="ru-RU"/>
        </w:rPr>
        <w:t>, тим більше що політики всерйоз обговорювали питання про виплату пенсій за віком лише з 67 і навіть з 70 років</w:t>
      </w:r>
      <w:r w:rsidR="001F0567" w:rsidRPr="0078696C">
        <w:rPr>
          <w:rFonts w:ascii="Times New Roman" w:eastAsia="Times New Roman" w:hAnsi="Times New Roman"/>
          <w:color w:val="000000"/>
          <w:sz w:val="28"/>
          <w:szCs w:val="28"/>
          <w:lang w:eastAsia="ru-RU"/>
        </w:rPr>
        <w:t xml:space="preserve"> (таке підняття пенсійного віку передбачене протягом наступних двох десятиліть)</w:t>
      </w:r>
      <w:r w:rsidRPr="0078696C">
        <w:rPr>
          <w:rFonts w:ascii="Times New Roman" w:eastAsia="Times New Roman" w:hAnsi="Times New Roman"/>
          <w:color w:val="000000"/>
          <w:sz w:val="28"/>
          <w:szCs w:val="28"/>
          <w:lang w:eastAsia="ru-RU"/>
        </w:rPr>
        <w:t>.</w:t>
      </w:r>
      <w:r w:rsidR="001F0567" w:rsidRPr="0078696C">
        <w:rPr>
          <w:rFonts w:ascii="Times New Roman" w:eastAsia="Times New Roman" w:hAnsi="Times New Roman"/>
          <w:color w:val="000000"/>
          <w:sz w:val="28"/>
          <w:szCs w:val="28"/>
          <w:lang w:eastAsia="ru-RU"/>
        </w:rPr>
        <w:t xml:space="preserve"> Для тих, хто народився 1964 року або пізніше, законодавчо встановлен</w:t>
      </w:r>
      <w:r w:rsidR="008D0805" w:rsidRPr="0078696C">
        <w:rPr>
          <w:rFonts w:ascii="Times New Roman" w:eastAsia="Times New Roman" w:hAnsi="Times New Roman"/>
          <w:color w:val="000000"/>
          <w:sz w:val="28"/>
          <w:szCs w:val="28"/>
          <w:lang w:eastAsia="ru-RU"/>
        </w:rPr>
        <w:t>ий вік –</w:t>
      </w:r>
      <w:r w:rsidR="001F0567" w:rsidRPr="0078696C">
        <w:rPr>
          <w:rFonts w:ascii="Times New Roman" w:eastAsia="Times New Roman" w:hAnsi="Times New Roman"/>
          <w:color w:val="000000"/>
          <w:sz w:val="28"/>
          <w:szCs w:val="28"/>
          <w:lang w:eastAsia="ru-RU"/>
        </w:rPr>
        <w:t xml:space="preserve"> 67 років. Достроковий вихід на пенсію </w:t>
      </w:r>
      <w:r w:rsidR="001F0567" w:rsidRPr="0078696C">
        <w:rPr>
          <w:rFonts w:ascii="Times New Roman" w:eastAsia="Times New Roman" w:hAnsi="Times New Roman"/>
          <w:color w:val="000000"/>
          <w:sz w:val="28"/>
          <w:szCs w:val="28"/>
          <w:lang w:eastAsia="ru-RU"/>
        </w:rPr>
        <w:lastRenderedPageBreak/>
        <w:t>можливий в 63 роки зі сплатою пенсійних внесків протягом 35 років та відповідно отриманням майбутньої пенсії зі знижкою 3,6 % щорічно. Для людей з низьким рівнем доходу надається соціальна допомога, яка також застосовується для пенсіонерів</w:t>
      </w:r>
      <w:r w:rsidR="001F0567" w:rsidRPr="0078696C">
        <w:rPr>
          <w:rStyle w:val="a8"/>
          <w:rFonts w:ascii="Times New Roman" w:eastAsia="Times New Roman" w:hAnsi="Times New Roman"/>
          <w:color w:val="000000"/>
          <w:sz w:val="28"/>
          <w:szCs w:val="28"/>
          <w:lang w:eastAsia="ru-RU"/>
        </w:rPr>
        <w:footnoteReference w:id="284"/>
      </w:r>
      <w:r w:rsidR="00D271D2" w:rsidRPr="0078696C">
        <w:rPr>
          <w:rFonts w:ascii="Times New Roman" w:eastAsia="Times New Roman" w:hAnsi="Times New Roman"/>
          <w:color w:val="000000"/>
          <w:sz w:val="28"/>
          <w:szCs w:val="28"/>
          <w:lang w:eastAsia="ru-RU"/>
        </w:rPr>
        <w:t>.</w:t>
      </w:r>
    </w:p>
    <w:p w:rsidR="001D7BB5" w:rsidRPr="0078696C" w:rsidRDefault="001D7BB5" w:rsidP="00A13D2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Однак, підняття пенсійного віку, </w:t>
      </w:r>
      <w:r w:rsidR="00D10C82" w:rsidRPr="0078696C">
        <w:rPr>
          <w:rFonts w:ascii="Times New Roman" w:eastAsia="Times New Roman" w:hAnsi="Times New Roman"/>
          <w:color w:val="000000"/>
          <w:sz w:val="28"/>
          <w:szCs w:val="28"/>
          <w:lang w:eastAsia="ru-RU"/>
        </w:rPr>
        <w:t>підвищення</w:t>
      </w:r>
      <w:r w:rsidRPr="0078696C">
        <w:rPr>
          <w:rFonts w:ascii="Times New Roman" w:eastAsia="Times New Roman" w:hAnsi="Times New Roman"/>
          <w:color w:val="000000"/>
          <w:sz w:val="28"/>
          <w:szCs w:val="28"/>
          <w:lang w:eastAsia="ru-RU"/>
        </w:rPr>
        <w:t xml:space="preserve"> пенсійних ставок</w:t>
      </w:r>
      <w:r w:rsidR="00D10C82" w:rsidRPr="0078696C">
        <w:rPr>
          <w:rFonts w:ascii="Times New Roman" w:eastAsia="Times New Roman" w:hAnsi="Times New Roman"/>
          <w:color w:val="000000"/>
          <w:sz w:val="28"/>
          <w:szCs w:val="28"/>
          <w:lang w:eastAsia="ru-RU"/>
        </w:rPr>
        <w:t xml:space="preserve"> та </w:t>
      </w:r>
      <w:r w:rsidRPr="0078696C">
        <w:rPr>
          <w:rFonts w:ascii="Times New Roman" w:eastAsia="Times New Roman" w:hAnsi="Times New Roman"/>
          <w:color w:val="000000"/>
          <w:sz w:val="28"/>
          <w:szCs w:val="28"/>
          <w:lang w:eastAsia="ru-RU"/>
        </w:rPr>
        <w:t xml:space="preserve">збільшення державних дотацій </w:t>
      </w:r>
      <w:r w:rsidR="00D10C82" w:rsidRPr="0078696C">
        <w:rPr>
          <w:rFonts w:ascii="Times New Roman" w:eastAsia="Times New Roman" w:hAnsi="Times New Roman"/>
          <w:color w:val="000000"/>
          <w:sz w:val="28"/>
          <w:szCs w:val="28"/>
          <w:lang w:eastAsia="ru-RU"/>
        </w:rPr>
        <w:t>не змогло в повній мірі вирішити усіх проблем, з якими зіштовхнулася німецька пенсійна система наприкінці ХХ – початку ХХІ століття.</w:t>
      </w:r>
      <w:r w:rsidR="007A70F3">
        <w:rPr>
          <w:rFonts w:ascii="Times New Roman" w:eastAsia="Times New Roman" w:hAnsi="Times New Roman"/>
          <w:color w:val="000000"/>
          <w:sz w:val="28"/>
          <w:szCs w:val="28"/>
          <w:lang w:eastAsia="ru-RU"/>
        </w:rPr>
        <w:t xml:space="preserve"> </w:t>
      </w:r>
      <w:r w:rsidR="00D10C82" w:rsidRPr="0078696C">
        <w:rPr>
          <w:rFonts w:ascii="Times New Roman" w:eastAsia="Times New Roman" w:hAnsi="Times New Roman"/>
          <w:color w:val="000000"/>
          <w:sz w:val="28"/>
          <w:szCs w:val="28"/>
          <w:lang w:eastAsia="ru-RU"/>
        </w:rPr>
        <w:t xml:space="preserve">З огляду на зазначене, федеральний уряд Німеччини </w:t>
      </w:r>
      <w:r w:rsidR="001543A5" w:rsidRPr="0078696C">
        <w:rPr>
          <w:rFonts w:ascii="Times New Roman" w:eastAsia="Times New Roman" w:hAnsi="Times New Roman"/>
          <w:color w:val="000000"/>
          <w:sz w:val="28"/>
          <w:szCs w:val="28"/>
          <w:lang w:eastAsia="ru-RU"/>
        </w:rPr>
        <w:t xml:space="preserve">змушений був прокласти шлях до нової системи пенсійного забезпечення. Закон «Про сприяння обов’язковому пенсійному страхуванню та про заохочення солідарних капіталоутворюючих накопичень на старість», який був схвалений 11.05.2001 р. Бундесратом та вступив у дію 01.01.2002 року, розпочав принципово новий підхід до німецької системи пенсійного забезпечення. Перехід на нову пенсійну систему отримав назву реформи Рістера – за прізвищем Федерального міністерства праці та соціальних справ Вальтера Рістера, який не вважав дану </w:t>
      </w:r>
      <w:r w:rsidR="002B1C48" w:rsidRPr="0078696C">
        <w:rPr>
          <w:rFonts w:ascii="Times New Roman" w:eastAsia="Times New Roman" w:hAnsi="Times New Roman"/>
          <w:color w:val="000000"/>
          <w:sz w:val="28"/>
          <w:szCs w:val="28"/>
          <w:lang w:eastAsia="ru-RU"/>
        </w:rPr>
        <w:t>програму</w:t>
      </w:r>
      <w:r w:rsidR="001543A5" w:rsidRPr="0078696C">
        <w:rPr>
          <w:rFonts w:ascii="Times New Roman" w:eastAsia="Times New Roman" w:hAnsi="Times New Roman"/>
          <w:color w:val="000000"/>
          <w:sz w:val="28"/>
          <w:szCs w:val="28"/>
          <w:lang w:eastAsia="ru-RU"/>
        </w:rPr>
        <w:t xml:space="preserve"> перекроюванням системи соціального страхування, а тільки її доповненням </w:t>
      </w:r>
      <w:r w:rsidR="001543A5" w:rsidRPr="0078696C">
        <w:rPr>
          <w:rStyle w:val="a8"/>
          <w:rFonts w:ascii="Times New Roman" w:eastAsia="Times New Roman" w:hAnsi="Times New Roman"/>
          <w:color w:val="000000"/>
          <w:sz w:val="28"/>
          <w:szCs w:val="28"/>
          <w:lang w:eastAsia="ru-RU"/>
        </w:rPr>
        <w:footnoteReference w:id="285"/>
      </w:r>
      <w:r w:rsidR="001543A5" w:rsidRPr="0078696C">
        <w:rPr>
          <w:rFonts w:ascii="Times New Roman" w:eastAsia="Times New Roman" w:hAnsi="Times New Roman"/>
          <w:color w:val="000000"/>
          <w:sz w:val="28"/>
          <w:szCs w:val="28"/>
          <w:lang w:eastAsia="ru-RU"/>
        </w:rPr>
        <w:t xml:space="preserve">. </w:t>
      </w:r>
    </w:p>
    <w:p w:rsidR="002B1C48" w:rsidRPr="0078696C" w:rsidRDefault="002B1C48" w:rsidP="00A13D2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Метою даної програми стала мінімізація відносного скорочення розміру пенсій за рахунок збільшення частки додаткового пенсійного забезпечення, в результаті якої фінансування частини пенсії перекладається на громадян і підприємства</w:t>
      </w:r>
      <w:r w:rsidR="008B7D05" w:rsidRPr="0078696C">
        <w:rPr>
          <w:rStyle w:val="a8"/>
          <w:rFonts w:ascii="Times New Roman" w:eastAsia="Times New Roman" w:hAnsi="Times New Roman"/>
          <w:color w:val="000000"/>
          <w:sz w:val="28"/>
          <w:szCs w:val="28"/>
          <w:lang w:eastAsia="ru-RU"/>
        </w:rPr>
        <w:footnoteReference w:id="286"/>
      </w:r>
      <w:r w:rsidRPr="0078696C">
        <w:rPr>
          <w:rFonts w:ascii="Times New Roman" w:eastAsia="Times New Roman" w:hAnsi="Times New Roman"/>
          <w:color w:val="000000"/>
          <w:sz w:val="28"/>
          <w:szCs w:val="28"/>
          <w:lang w:eastAsia="ru-RU"/>
        </w:rPr>
        <w:t xml:space="preserve">. </w:t>
      </w:r>
      <w:r w:rsidR="008B7D05" w:rsidRPr="0078696C">
        <w:rPr>
          <w:rFonts w:ascii="Times New Roman" w:eastAsia="Times New Roman" w:hAnsi="Times New Roman"/>
          <w:color w:val="000000"/>
          <w:sz w:val="28"/>
          <w:szCs w:val="28"/>
          <w:lang w:eastAsia="ru-RU"/>
        </w:rPr>
        <w:t xml:space="preserve">Таким чином, запровадження даної пенсійної системи було спрямоване на стимулювання майбутніх </w:t>
      </w:r>
      <w:r w:rsidRPr="0078696C">
        <w:rPr>
          <w:rFonts w:ascii="Times New Roman" w:eastAsia="Times New Roman" w:hAnsi="Times New Roman"/>
          <w:color w:val="000000"/>
          <w:sz w:val="28"/>
          <w:szCs w:val="28"/>
          <w:lang w:eastAsia="ru-RU"/>
        </w:rPr>
        <w:t>пенсіонер</w:t>
      </w:r>
      <w:r w:rsidR="008B7D05" w:rsidRPr="0078696C">
        <w:rPr>
          <w:rFonts w:ascii="Times New Roman" w:eastAsia="Times New Roman" w:hAnsi="Times New Roman"/>
          <w:color w:val="000000"/>
          <w:sz w:val="28"/>
          <w:szCs w:val="28"/>
          <w:lang w:eastAsia="ru-RU"/>
        </w:rPr>
        <w:t>ів</w:t>
      </w:r>
      <w:r w:rsidR="007A70F3">
        <w:rPr>
          <w:rFonts w:ascii="Times New Roman" w:eastAsia="Times New Roman" w:hAnsi="Times New Roman"/>
          <w:color w:val="000000"/>
          <w:sz w:val="28"/>
          <w:szCs w:val="28"/>
          <w:lang w:eastAsia="ru-RU"/>
        </w:rPr>
        <w:t xml:space="preserve"> </w:t>
      </w:r>
      <w:r w:rsidR="008B7D05" w:rsidRPr="0078696C">
        <w:rPr>
          <w:rFonts w:ascii="Times New Roman" w:eastAsia="Times New Roman" w:hAnsi="Times New Roman"/>
          <w:color w:val="000000"/>
          <w:sz w:val="28"/>
          <w:szCs w:val="28"/>
          <w:lang w:eastAsia="ru-RU"/>
        </w:rPr>
        <w:t>до заощаджень частини зароблених коштів на старість.</w:t>
      </w:r>
    </w:p>
    <w:p w:rsidR="00A13D2B" w:rsidRPr="0078696C" w:rsidRDefault="00543148" w:rsidP="00F368D4">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Окрім цього, у 1992р. та 2004р. в</w:t>
      </w:r>
      <w:r w:rsidR="00A03726" w:rsidRPr="0078696C">
        <w:rPr>
          <w:rFonts w:ascii="Times New Roman" w:eastAsia="Times New Roman" w:hAnsi="Times New Roman"/>
          <w:color w:val="000000"/>
          <w:sz w:val="28"/>
          <w:szCs w:val="28"/>
          <w:lang w:eastAsia="ru-RU"/>
        </w:rPr>
        <w:t xml:space="preserve"> процесі здійснення</w:t>
      </w:r>
      <w:r w:rsidRPr="0078696C">
        <w:rPr>
          <w:rFonts w:ascii="Times New Roman" w:eastAsia="Times New Roman" w:hAnsi="Times New Roman"/>
          <w:color w:val="000000"/>
          <w:sz w:val="28"/>
          <w:szCs w:val="28"/>
          <w:lang w:eastAsia="ru-RU"/>
        </w:rPr>
        <w:t xml:space="preserve"> пенсійних реформ</w:t>
      </w:r>
      <w:r w:rsidR="00A03726"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Німеччина </w:t>
      </w:r>
      <w:r w:rsidR="00A03726" w:rsidRPr="0078696C">
        <w:rPr>
          <w:rFonts w:ascii="Times New Roman" w:eastAsia="Times New Roman" w:hAnsi="Times New Roman"/>
          <w:color w:val="000000"/>
          <w:sz w:val="28"/>
          <w:szCs w:val="28"/>
          <w:lang w:eastAsia="ru-RU"/>
        </w:rPr>
        <w:t>за</w:t>
      </w:r>
      <w:r w:rsidRPr="0078696C">
        <w:rPr>
          <w:rFonts w:ascii="Times New Roman" w:eastAsia="Times New Roman" w:hAnsi="Times New Roman"/>
          <w:color w:val="000000"/>
          <w:sz w:val="28"/>
          <w:szCs w:val="28"/>
          <w:lang w:eastAsia="ru-RU"/>
        </w:rPr>
        <w:t>провадила т</w:t>
      </w:r>
      <w:r w:rsidR="00A03726" w:rsidRPr="0078696C">
        <w:rPr>
          <w:rFonts w:ascii="Times New Roman" w:eastAsia="Times New Roman" w:hAnsi="Times New Roman"/>
          <w:color w:val="000000"/>
          <w:sz w:val="28"/>
          <w:szCs w:val="28"/>
          <w:lang w:eastAsia="ru-RU"/>
        </w:rPr>
        <w:t>ак звану</w:t>
      </w:r>
      <w:r w:rsidRPr="0078696C">
        <w:rPr>
          <w:rFonts w:ascii="Times New Roman" w:eastAsia="Times New Roman" w:hAnsi="Times New Roman"/>
          <w:color w:val="000000"/>
          <w:sz w:val="28"/>
          <w:szCs w:val="28"/>
          <w:lang w:eastAsia="ru-RU"/>
        </w:rPr>
        <w:t xml:space="preserve"> бальну систему, яка заохочує участь майбутніх пенсіонерів у приватних накопичувальних пенсійних схемах</w:t>
      </w:r>
      <w:r w:rsidRPr="0078696C">
        <w:rPr>
          <w:rStyle w:val="a8"/>
          <w:rFonts w:ascii="Times New Roman" w:eastAsia="Times New Roman" w:hAnsi="Times New Roman"/>
          <w:color w:val="000000"/>
          <w:sz w:val="28"/>
          <w:szCs w:val="28"/>
          <w:lang w:eastAsia="ru-RU"/>
        </w:rPr>
        <w:footnoteReference w:id="287"/>
      </w:r>
      <w:r w:rsidRPr="0078696C">
        <w:rPr>
          <w:rFonts w:ascii="Times New Roman" w:eastAsia="Times New Roman" w:hAnsi="Times New Roman"/>
          <w:color w:val="000000"/>
          <w:sz w:val="28"/>
          <w:szCs w:val="28"/>
          <w:lang w:eastAsia="ru-RU"/>
        </w:rPr>
        <w:t>.</w:t>
      </w:r>
    </w:p>
    <w:p w:rsidR="00543148" w:rsidRPr="0078696C" w:rsidRDefault="00543148" w:rsidP="00EA2485">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На сьог</w:t>
      </w:r>
      <w:r w:rsidR="00A03726" w:rsidRPr="0078696C">
        <w:rPr>
          <w:rFonts w:ascii="Times New Roman" w:eastAsia="Times New Roman" w:hAnsi="Times New Roman"/>
          <w:color w:val="000000"/>
          <w:sz w:val="28"/>
          <w:szCs w:val="28"/>
          <w:lang w:eastAsia="ru-RU"/>
        </w:rPr>
        <w:t>одні, пенсійна система Німеччини</w:t>
      </w:r>
      <w:r w:rsidR="00EA2485" w:rsidRPr="0078696C">
        <w:rPr>
          <w:rFonts w:ascii="Times New Roman" w:eastAsia="Times New Roman" w:hAnsi="Times New Roman"/>
          <w:color w:val="000000"/>
          <w:sz w:val="28"/>
          <w:szCs w:val="28"/>
          <w:lang w:eastAsia="ru-RU"/>
        </w:rPr>
        <w:t>й надалі</w:t>
      </w:r>
      <w:r w:rsidR="007A70F3">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реформується</w:t>
      </w:r>
      <w:r w:rsidR="00EA2485" w:rsidRPr="0078696C">
        <w:rPr>
          <w:rFonts w:ascii="Times New Roman" w:eastAsia="Times New Roman" w:hAnsi="Times New Roman"/>
          <w:color w:val="000000"/>
          <w:sz w:val="28"/>
          <w:szCs w:val="28"/>
          <w:lang w:eastAsia="ru-RU"/>
        </w:rPr>
        <w:t xml:space="preserve"> у напрямку, який було прокладено В. Рістером</w:t>
      </w:r>
      <w:r w:rsidRPr="0078696C">
        <w:rPr>
          <w:rFonts w:ascii="Times New Roman" w:eastAsia="Times New Roman" w:hAnsi="Times New Roman"/>
          <w:color w:val="000000"/>
          <w:sz w:val="28"/>
          <w:szCs w:val="28"/>
          <w:lang w:eastAsia="ru-RU"/>
        </w:rPr>
        <w:t>.</w:t>
      </w:r>
      <w:r w:rsidR="007A70F3">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І, за розрахунками</w:t>
      </w:r>
      <w:r w:rsidR="00EA2485" w:rsidRPr="0078696C">
        <w:rPr>
          <w:rFonts w:ascii="Times New Roman" w:eastAsia="Times New Roman" w:hAnsi="Times New Roman"/>
          <w:color w:val="000000"/>
          <w:sz w:val="28"/>
          <w:szCs w:val="28"/>
          <w:lang w:eastAsia="ru-RU"/>
        </w:rPr>
        <w:t>, триватиме до 2030 року.</w:t>
      </w:r>
      <w:r w:rsidR="007A70F3">
        <w:rPr>
          <w:rFonts w:ascii="Times New Roman" w:eastAsia="Times New Roman" w:hAnsi="Times New Roman"/>
          <w:color w:val="000000"/>
          <w:sz w:val="28"/>
          <w:szCs w:val="28"/>
          <w:lang w:eastAsia="ru-RU"/>
        </w:rPr>
        <w:t xml:space="preserve"> </w:t>
      </w:r>
      <w:r w:rsidR="00EA2485" w:rsidRPr="0078696C">
        <w:rPr>
          <w:rFonts w:ascii="Times New Roman" w:eastAsia="Times New Roman" w:hAnsi="Times New Roman"/>
          <w:color w:val="000000"/>
          <w:sz w:val="28"/>
          <w:szCs w:val="28"/>
          <w:lang w:eastAsia="ru-RU"/>
        </w:rPr>
        <w:t>Згідно реформи,</w:t>
      </w:r>
      <w:r w:rsidRPr="0078696C">
        <w:rPr>
          <w:rFonts w:ascii="Times New Roman" w:eastAsia="Times New Roman" w:hAnsi="Times New Roman"/>
          <w:color w:val="000000"/>
          <w:sz w:val="28"/>
          <w:szCs w:val="28"/>
          <w:lang w:eastAsia="ru-RU"/>
        </w:rPr>
        <w:t xml:space="preserve"> максимальний розмір внеску </w:t>
      </w:r>
      <w:r w:rsidR="00EA2485" w:rsidRPr="0078696C">
        <w:rPr>
          <w:rFonts w:ascii="Times New Roman" w:eastAsia="Times New Roman" w:hAnsi="Times New Roman"/>
          <w:color w:val="000000"/>
          <w:sz w:val="28"/>
          <w:szCs w:val="28"/>
          <w:lang w:eastAsia="ru-RU"/>
        </w:rPr>
        <w:t>на пенсійне страхування</w:t>
      </w:r>
      <w:r w:rsidRPr="0078696C">
        <w:rPr>
          <w:rFonts w:ascii="Times New Roman" w:eastAsia="Times New Roman" w:hAnsi="Times New Roman"/>
          <w:color w:val="000000"/>
          <w:sz w:val="28"/>
          <w:szCs w:val="28"/>
          <w:lang w:eastAsia="ru-RU"/>
        </w:rPr>
        <w:t xml:space="preserve"> до 2020 року </w:t>
      </w:r>
      <w:r w:rsidR="00EA2485" w:rsidRPr="0078696C">
        <w:rPr>
          <w:rFonts w:ascii="Times New Roman" w:eastAsia="Times New Roman" w:hAnsi="Times New Roman"/>
          <w:color w:val="000000"/>
          <w:sz w:val="28"/>
          <w:szCs w:val="28"/>
          <w:lang w:eastAsia="ru-RU"/>
        </w:rPr>
        <w:t>не повинен перевищува</w:t>
      </w:r>
      <w:r w:rsidRPr="0078696C">
        <w:rPr>
          <w:rFonts w:ascii="Times New Roman" w:eastAsia="Times New Roman" w:hAnsi="Times New Roman"/>
          <w:color w:val="000000"/>
          <w:sz w:val="28"/>
          <w:szCs w:val="28"/>
          <w:lang w:eastAsia="ru-RU"/>
        </w:rPr>
        <w:t xml:space="preserve">ти 20% брутто-зарплати, </w:t>
      </w:r>
      <w:r w:rsidR="00EA2485" w:rsidRPr="0078696C">
        <w:rPr>
          <w:rFonts w:ascii="Times New Roman" w:eastAsia="Times New Roman" w:hAnsi="Times New Roman"/>
          <w:color w:val="000000"/>
          <w:sz w:val="28"/>
          <w:szCs w:val="28"/>
          <w:lang w:eastAsia="ru-RU"/>
        </w:rPr>
        <w:t xml:space="preserve">а </w:t>
      </w:r>
      <w:r w:rsidRPr="0078696C">
        <w:rPr>
          <w:rFonts w:ascii="Times New Roman" w:eastAsia="Times New Roman" w:hAnsi="Times New Roman"/>
          <w:color w:val="000000"/>
          <w:sz w:val="28"/>
          <w:szCs w:val="28"/>
          <w:lang w:eastAsia="ru-RU"/>
        </w:rPr>
        <w:t>до 2030 – 22%. Щоб не допустити перевищення цього максимуму, розмір пенсії буде скорочений в середньому з 70% до 67% від рівня заробітної плати в країні (спочатку планувалося, як і в законі 1997 р. зниження до 64</w:t>
      </w:r>
      <w:r w:rsidR="00A03726" w:rsidRPr="0078696C">
        <w:rPr>
          <w:rFonts w:ascii="Times New Roman" w:eastAsia="Times New Roman" w:hAnsi="Times New Roman"/>
          <w:color w:val="000000"/>
          <w:sz w:val="28"/>
          <w:szCs w:val="28"/>
          <w:lang w:eastAsia="ru-RU"/>
        </w:rPr>
        <w:t>%)</w:t>
      </w:r>
      <w:r w:rsidRPr="0078696C">
        <w:rPr>
          <w:rStyle w:val="a8"/>
          <w:rFonts w:ascii="Times New Roman" w:eastAsia="Times New Roman" w:hAnsi="Times New Roman"/>
          <w:color w:val="000000"/>
          <w:sz w:val="28"/>
          <w:szCs w:val="28"/>
          <w:lang w:eastAsia="ru-RU"/>
        </w:rPr>
        <w:footnoteReference w:id="288"/>
      </w:r>
      <w:r w:rsidRPr="0078696C">
        <w:rPr>
          <w:rFonts w:ascii="Times New Roman" w:eastAsia="Times New Roman" w:hAnsi="Times New Roman"/>
          <w:color w:val="000000"/>
          <w:sz w:val="28"/>
          <w:szCs w:val="28"/>
          <w:lang w:eastAsia="ru-RU"/>
        </w:rPr>
        <w:t>.</w:t>
      </w:r>
    </w:p>
    <w:p w:rsidR="00543148" w:rsidRPr="0078696C" w:rsidRDefault="00E3297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 огляду на зазначене</w:t>
      </w:r>
      <w:r w:rsidR="00543148" w:rsidRPr="0078696C">
        <w:rPr>
          <w:rFonts w:ascii="Times New Roman" w:eastAsia="Times New Roman" w:hAnsi="Times New Roman"/>
          <w:color w:val="000000"/>
          <w:sz w:val="28"/>
          <w:szCs w:val="28"/>
          <w:lang w:eastAsia="ru-RU"/>
        </w:rPr>
        <w:t>, обов'язкове пенсійне страхування у Німеччині, діє за принципом солідарного перерозподілу. Фінансування обов'язкового пенсійного страхування робітників і службовців проводиться за рахунок внесків, що порівну сплачуються роботодавцями і застрахованими; за рахунок державних дотацій, а також із засобів Федерального відомства праці у вигляді виплати пенсійних внесків за безробітних.</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Відповідно, базовий принцип, що лежить в основі визначення пенсій, схожий з основним підходом до формування соціальної політики країни в цілому. Він не лише дозволяє підтримувати середній рівень, досягнутий працівником впродовж його трудової діяльності, але і стимулює працівника до підвищення продуктивності праці і збільшення власних доходів.</w:t>
      </w:r>
    </w:p>
    <w:p w:rsidR="00543148" w:rsidRPr="0078696C" w:rsidRDefault="00B7583D"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t>Модель У. Бевери</w:t>
      </w:r>
      <w:r w:rsidR="00543148" w:rsidRPr="0078696C">
        <w:rPr>
          <w:rFonts w:ascii="Times New Roman" w:eastAsia="Times New Roman" w:hAnsi="Times New Roman"/>
          <w:i/>
          <w:color w:val="000000"/>
          <w:sz w:val="28"/>
          <w:szCs w:val="28"/>
          <w:lang w:eastAsia="ru-RU"/>
        </w:rPr>
        <w:t>джа</w:t>
      </w:r>
      <w:r w:rsidR="00543148" w:rsidRPr="0078696C">
        <w:rPr>
          <w:rFonts w:ascii="Times New Roman" w:eastAsia="Times New Roman" w:hAnsi="Times New Roman"/>
          <w:color w:val="000000"/>
          <w:sz w:val="28"/>
          <w:szCs w:val="28"/>
          <w:lang w:eastAsia="ru-RU"/>
        </w:rPr>
        <w:t xml:space="preserve"> була розроблена та впроваджена в Англії у 1942 році як система соціального захисту. Її основою є інститут державного пенсійного забезпе</w:t>
      </w:r>
      <w:r w:rsidRPr="0078696C">
        <w:rPr>
          <w:rFonts w:ascii="Times New Roman" w:eastAsia="Times New Roman" w:hAnsi="Times New Roman"/>
          <w:color w:val="000000"/>
          <w:sz w:val="28"/>
          <w:szCs w:val="28"/>
          <w:lang w:eastAsia="ru-RU"/>
        </w:rPr>
        <w:t>чення. Сьогодні модель У. Бевери</w:t>
      </w:r>
      <w:r w:rsidR="00543148" w:rsidRPr="0078696C">
        <w:rPr>
          <w:rFonts w:ascii="Times New Roman" w:eastAsia="Times New Roman" w:hAnsi="Times New Roman"/>
          <w:color w:val="000000"/>
          <w:sz w:val="28"/>
          <w:szCs w:val="28"/>
          <w:lang w:eastAsia="ru-RU"/>
        </w:rPr>
        <w:t xml:space="preserve">джа використовується в таких країнах, як США, Канада, Великобританія, </w:t>
      </w:r>
      <w:r w:rsidR="00AB1609" w:rsidRPr="0078696C">
        <w:rPr>
          <w:rFonts w:ascii="Times New Roman" w:eastAsia="Times New Roman" w:hAnsi="Times New Roman"/>
          <w:color w:val="000000"/>
          <w:sz w:val="28"/>
          <w:szCs w:val="28"/>
          <w:lang w:eastAsia="ru-RU"/>
        </w:rPr>
        <w:t xml:space="preserve">Ірландія, </w:t>
      </w:r>
      <w:r w:rsidR="00543148" w:rsidRPr="0078696C">
        <w:rPr>
          <w:rFonts w:ascii="Times New Roman" w:eastAsia="Times New Roman" w:hAnsi="Times New Roman"/>
          <w:color w:val="000000"/>
          <w:sz w:val="28"/>
          <w:szCs w:val="28"/>
          <w:lang w:eastAsia="ru-RU"/>
        </w:rPr>
        <w:t>Нідерланди та ін.</w:t>
      </w:r>
    </w:p>
    <w:p w:rsidR="003A7F84" w:rsidRPr="0078696C" w:rsidRDefault="003A7F84" w:rsidP="003A7F84">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 xml:space="preserve">В основі цієї моделі лежить доповідь англійського економіста </w:t>
      </w:r>
      <w:r w:rsidRPr="0078696C">
        <w:rPr>
          <w:rFonts w:ascii="Times New Roman" w:eastAsia="Times New Roman" w:hAnsi="Times New Roman"/>
          <w:color w:val="000000"/>
          <w:sz w:val="28"/>
          <w:szCs w:val="28"/>
          <w:lang w:eastAsia="ru-RU"/>
        </w:rPr>
        <w:br/>
        <w:t>У. Бевериджа, яку він представив</w:t>
      </w:r>
      <w:r w:rsidR="00DE1AED" w:rsidRPr="0078696C">
        <w:rPr>
          <w:rFonts w:ascii="Times New Roman" w:eastAsia="Times New Roman" w:hAnsi="Times New Roman"/>
          <w:color w:val="000000"/>
          <w:sz w:val="28"/>
          <w:szCs w:val="28"/>
          <w:lang w:eastAsia="ru-RU"/>
        </w:rPr>
        <w:t xml:space="preserve"> уряду Великобританії в 1942 році</w:t>
      </w:r>
      <w:r w:rsidRPr="0078696C">
        <w:rPr>
          <w:rStyle w:val="a8"/>
          <w:rFonts w:ascii="Times New Roman" w:eastAsia="Times New Roman" w:hAnsi="Times New Roman"/>
          <w:color w:val="000000"/>
          <w:sz w:val="28"/>
          <w:szCs w:val="28"/>
          <w:lang w:eastAsia="ru-RU"/>
        </w:rPr>
        <w:footnoteReference w:id="289"/>
      </w:r>
      <w:r w:rsidRPr="0078696C">
        <w:rPr>
          <w:rFonts w:ascii="Times New Roman" w:eastAsia="Times New Roman" w:hAnsi="Times New Roman"/>
          <w:color w:val="000000"/>
          <w:sz w:val="28"/>
          <w:szCs w:val="28"/>
          <w:lang w:eastAsia="ru-RU"/>
        </w:rPr>
        <w:t xml:space="preserve">. Значний вплив на висунуті Бевериджем положення зробили ідеї Кейнса про те, що динаміка суспільного виробництва і зайнятості визначаються факторами платоспроможного попиту, а отже, перерозподіл доходів на користь соціальних груп, які отримують нижчі доходи, здатне підвищити грошовий попит масових покупців. Модель базується на наступних принципах: </w:t>
      </w:r>
      <w:r w:rsidR="00451631" w:rsidRPr="0078696C">
        <w:rPr>
          <w:rFonts w:ascii="Times New Roman" w:eastAsia="Times New Roman" w:hAnsi="Times New Roman"/>
          <w:color w:val="000000"/>
          <w:sz w:val="28"/>
          <w:szCs w:val="28"/>
          <w:lang w:eastAsia="ru-RU"/>
        </w:rPr>
        <w:t>універсальності,</w:t>
      </w:r>
      <w:r w:rsidRPr="0078696C">
        <w:rPr>
          <w:rFonts w:ascii="Times New Roman" w:eastAsia="Times New Roman" w:hAnsi="Times New Roman"/>
          <w:color w:val="000000"/>
          <w:sz w:val="28"/>
          <w:szCs w:val="28"/>
          <w:lang w:eastAsia="ru-RU"/>
        </w:rPr>
        <w:t xml:space="preserve"> однаковості</w:t>
      </w:r>
      <w:r w:rsidR="00451631" w:rsidRPr="0078696C">
        <w:rPr>
          <w:rFonts w:ascii="Times New Roman" w:eastAsia="Times New Roman" w:hAnsi="Times New Roman"/>
          <w:color w:val="000000"/>
          <w:sz w:val="28"/>
          <w:szCs w:val="28"/>
          <w:lang w:eastAsia="ru-RU"/>
        </w:rPr>
        <w:t xml:space="preserve"> та розподільчої справедливості </w:t>
      </w:r>
      <w:r w:rsidR="00451631" w:rsidRPr="0078696C">
        <w:rPr>
          <w:rStyle w:val="a8"/>
          <w:rFonts w:ascii="Times New Roman" w:eastAsia="Times New Roman" w:hAnsi="Times New Roman"/>
          <w:color w:val="000000"/>
          <w:sz w:val="28"/>
          <w:szCs w:val="28"/>
          <w:lang w:eastAsia="ru-RU"/>
        </w:rPr>
        <w:footnoteReference w:id="290"/>
      </w:r>
      <w:r w:rsidRPr="0078696C">
        <w:rPr>
          <w:rFonts w:ascii="Times New Roman" w:eastAsia="Times New Roman" w:hAnsi="Times New Roman"/>
          <w:color w:val="000000"/>
          <w:sz w:val="28"/>
          <w:szCs w:val="28"/>
          <w:lang w:eastAsia="ru-RU"/>
        </w:rPr>
        <w:t>.</w:t>
      </w:r>
    </w:p>
    <w:p w:rsidR="00420A0B" w:rsidRPr="0078696C" w:rsidRDefault="00434308" w:rsidP="0043430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 свою чергу,</w:t>
      </w:r>
      <w:r w:rsidR="00420A0B" w:rsidRPr="0078696C">
        <w:rPr>
          <w:rFonts w:ascii="Times New Roman" w:eastAsia="Times New Roman" w:hAnsi="Times New Roman"/>
          <w:color w:val="000000"/>
          <w:sz w:val="28"/>
          <w:szCs w:val="28"/>
          <w:lang w:eastAsia="ru-RU"/>
        </w:rPr>
        <w:t xml:space="preserve"> розмір накопичень безпосередньо залежить від суми перерахованих внесків за всю трудову діяльність, </w:t>
      </w:r>
      <w:r w:rsidRPr="0078696C">
        <w:rPr>
          <w:rFonts w:ascii="Times New Roman" w:eastAsia="Times New Roman" w:hAnsi="Times New Roman"/>
          <w:color w:val="000000"/>
          <w:sz w:val="28"/>
          <w:szCs w:val="28"/>
          <w:lang w:eastAsia="ru-RU"/>
        </w:rPr>
        <w:t xml:space="preserve">тобто </w:t>
      </w:r>
      <w:r w:rsidR="00420A0B" w:rsidRPr="0078696C">
        <w:rPr>
          <w:rFonts w:ascii="Times New Roman" w:eastAsia="Times New Roman" w:hAnsi="Times New Roman"/>
          <w:color w:val="000000"/>
          <w:sz w:val="28"/>
          <w:szCs w:val="28"/>
          <w:lang w:eastAsia="ru-RU"/>
        </w:rPr>
        <w:t>від</w:t>
      </w:r>
      <w:r w:rsidR="007A70F3">
        <w:rPr>
          <w:rFonts w:ascii="Times New Roman" w:eastAsia="Times New Roman" w:hAnsi="Times New Roman"/>
          <w:color w:val="000000"/>
          <w:sz w:val="28"/>
          <w:szCs w:val="28"/>
          <w:lang w:eastAsia="ru-RU"/>
        </w:rPr>
        <w:t xml:space="preserve"> </w:t>
      </w:r>
      <w:r w:rsidR="00420A0B" w:rsidRPr="0078696C">
        <w:rPr>
          <w:rFonts w:ascii="Times New Roman" w:eastAsia="Times New Roman" w:hAnsi="Times New Roman"/>
          <w:color w:val="000000"/>
          <w:sz w:val="28"/>
          <w:szCs w:val="28"/>
          <w:lang w:eastAsia="ru-RU"/>
        </w:rPr>
        <w:t>розміру заробітної плати (внески визначаються як відсоток від заробітку), і від</w:t>
      </w:r>
      <w:r w:rsidR="007A70F3">
        <w:rPr>
          <w:rFonts w:ascii="Times New Roman" w:eastAsia="Times New Roman" w:hAnsi="Times New Roman"/>
          <w:color w:val="000000"/>
          <w:sz w:val="28"/>
          <w:szCs w:val="28"/>
          <w:lang w:eastAsia="ru-RU"/>
        </w:rPr>
        <w:t xml:space="preserve"> </w:t>
      </w:r>
      <w:r w:rsidR="00420A0B" w:rsidRPr="0078696C">
        <w:rPr>
          <w:rFonts w:ascii="Times New Roman" w:eastAsia="Times New Roman" w:hAnsi="Times New Roman"/>
          <w:color w:val="000000"/>
          <w:sz w:val="28"/>
          <w:szCs w:val="28"/>
          <w:lang w:eastAsia="ru-RU"/>
        </w:rPr>
        <w:t xml:space="preserve">кількості років трудової діяльності. </w:t>
      </w:r>
      <w:r w:rsidRPr="0078696C">
        <w:rPr>
          <w:rFonts w:ascii="Times New Roman" w:eastAsia="Times New Roman" w:hAnsi="Times New Roman"/>
          <w:color w:val="000000"/>
          <w:sz w:val="28"/>
          <w:szCs w:val="28"/>
          <w:lang w:eastAsia="ru-RU"/>
        </w:rPr>
        <w:t>Серед</w:t>
      </w:r>
      <w:r w:rsidR="00420A0B" w:rsidRPr="0078696C">
        <w:rPr>
          <w:rFonts w:ascii="Times New Roman" w:eastAsia="Times New Roman" w:hAnsi="Times New Roman"/>
          <w:color w:val="000000"/>
          <w:sz w:val="28"/>
          <w:szCs w:val="28"/>
          <w:lang w:eastAsia="ru-RU"/>
        </w:rPr>
        <w:t xml:space="preserve"> переваг накопичув</w:t>
      </w:r>
      <w:r w:rsidRPr="0078696C">
        <w:rPr>
          <w:rFonts w:ascii="Times New Roman" w:eastAsia="Times New Roman" w:hAnsi="Times New Roman"/>
          <w:color w:val="000000"/>
          <w:sz w:val="28"/>
          <w:szCs w:val="28"/>
          <w:lang w:eastAsia="ru-RU"/>
        </w:rPr>
        <w:t>альної системи – це</w:t>
      </w:r>
      <w:r w:rsidR="00420A0B" w:rsidRPr="0078696C">
        <w:rPr>
          <w:rFonts w:ascii="Times New Roman" w:eastAsia="Times New Roman" w:hAnsi="Times New Roman"/>
          <w:color w:val="000000"/>
          <w:sz w:val="28"/>
          <w:szCs w:val="28"/>
          <w:lang w:eastAsia="ru-RU"/>
        </w:rPr>
        <w:t xml:space="preserve"> розвиток фінансового ринку, внаслідок того</w:t>
      </w:r>
      <w:r w:rsidRPr="0078696C">
        <w:rPr>
          <w:rFonts w:ascii="Times New Roman" w:eastAsia="Times New Roman" w:hAnsi="Times New Roman"/>
          <w:color w:val="000000"/>
          <w:sz w:val="28"/>
          <w:szCs w:val="28"/>
          <w:lang w:eastAsia="ru-RU"/>
        </w:rPr>
        <w:t>,</w:t>
      </w:r>
      <w:r w:rsidR="00420A0B" w:rsidRPr="0078696C">
        <w:rPr>
          <w:rFonts w:ascii="Times New Roman" w:eastAsia="Times New Roman" w:hAnsi="Times New Roman"/>
          <w:color w:val="000000"/>
          <w:sz w:val="28"/>
          <w:szCs w:val="28"/>
          <w:lang w:eastAsia="ru-RU"/>
        </w:rPr>
        <w:t xml:space="preserve"> що пенсійні кошти інвестуються насамперед</w:t>
      </w:r>
      <w:r w:rsidR="007A70F3">
        <w:rPr>
          <w:rFonts w:ascii="Times New Roman" w:eastAsia="Times New Roman" w:hAnsi="Times New Roman"/>
          <w:color w:val="000000"/>
          <w:sz w:val="28"/>
          <w:szCs w:val="28"/>
          <w:lang w:eastAsia="ru-RU"/>
        </w:rPr>
        <w:t xml:space="preserve"> </w:t>
      </w:r>
      <w:r w:rsidR="00420A0B" w:rsidRPr="0078696C">
        <w:rPr>
          <w:rFonts w:ascii="Times New Roman" w:eastAsia="Times New Roman" w:hAnsi="Times New Roman"/>
          <w:color w:val="000000"/>
          <w:sz w:val="28"/>
          <w:szCs w:val="28"/>
          <w:lang w:eastAsia="ru-RU"/>
        </w:rPr>
        <w:t xml:space="preserve">в цінні папери, а також </w:t>
      </w:r>
      <w:r w:rsidRPr="0078696C">
        <w:rPr>
          <w:rFonts w:ascii="Times New Roman" w:eastAsia="Times New Roman" w:hAnsi="Times New Roman"/>
          <w:color w:val="000000"/>
          <w:sz w:val="28"/>
          <w:szCs w:val="28"/>
          <w:lang w:eastAsia="ru-RU"/>
        </w:rPr>
        <w:t xml:space="preserve">у </w:t>
      </w:r>
      <w:r w:rsidR="00420A0B" w:rsidRPr="0078696C">
        <w:rPr>
          <w:rFonts w:ascii="Times New Roman" w:eastAsia="Times New Roman" w:hAnsi="Times New Roman"/>
          <w:color w:val="000000"/>
          <w:sz w:val="28"/>
          <w:szCs w:val="28"/>
          <w:lang w:eastAsia="ru-RU"/>
        </w:rPr>
        <w:t>приватизацію індивідуальних особових рахунків застрахованими особами, так як пенсійні накопичення не беруть участі в розподільчій системі та є приватною власністю</w:t>
      </w:r>
      <w:r w:rsidRPr="0078696C">
        <w:rPr>
          <w:rFonts w:ascii="Times New Roman" w:eastAsia="Times New Roman" w:hAnsi="Times New Roman"/>
          <w:color w:val="000000"/>
          <w:sz w:val="28"/>
          <w:szCs w:val="28"/>
          <w:lang w:eastAsia="ru-RU"/>
        </w:rPr>
        <w:t xml:space="preserve"> особи </w:t>
      </w:r>
      <w:r w:rsidRPr="0078696C">
        <w:rPr>
          <w:rStyle w:val="a8"/>
          <w:rFonts w:ascii="Times New Roman" w:eastAsia="Times New Roman" w:hAnsi="Times New Roman"/>
          <w:color w:val="000000"/>
          <w:sz w:val="28"/>
          <w:szCs w:val="28"/>
          <w:lang w:eastAsia="ru-RU"/>
        </w:rPr>
        <w:footnoteReference w:id="291"/>
      </w:r>
      <w:r w:rsidR="00420A0B"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Особливістю англосаксонської моделі є розподіл страхової відповідальності між державою, роботодавцем і працівником. Наприклад, розподільна (базова) пенсія гарантується державою та відповідає прожитковому мінімуму пенсіонера, страхова частина пенсійної виплати формується роботодавцем за</w:t>
      </w:r>
      <w:r w:rsidR="00386C1E" w:rsidRPr="0078696C">
        <w:rPr>
          <w:rFonts w:ascii="Times New Roman" w:eastAsia="Times New Roman" w:hAnsi="Times New Roman"/>
          <w:color w:val="000000"/>
          <w:sz w:val="28"/>
          <w:szCs w:val="28"/>
          <w:lang w:eastAsia="ru-RU"/>
        </w:rPr>
        <w:t xml:space="preserve"> частковою участю працівника в </w:t>
      </w:r>
      <w:r w:rsidRPr="0078696C">
        <w:rPr>
          <w:rFonts w:ascii="Times New Roman" w:eastAsia="Times New Roman" w:hAnsi="Times New Roman"/>
          <w:color w:val="000000"/>
          <w:sz w:val="28"/>
          <w:szCs w:val="28"/>
          <w:lang w:eastAsia="ru-RU"/>
        </w:rPr>
        <w:t xml:space="preserve">межах професійної системи страхування та спрямована на заміщення передпенсійного заробітку. Добровільне страхування дозволяє реалізувати індивідуальні можливості працівника щодо формування додаткової пенсійної виплати </w:t>
      </w:r>
      <w:r w:rsidRPr="0078696C">
        <w:rPr>
          <w:rStyle w:val="a8"/>
          <w:rFonts w:ascii="Times New Roman" w:eastAsia="Times New Roman" w:hAnsi="Times New Roman"/>
          <w:color w:val="000000"/>
          <w:sz w:val="28"/>
          <w:szCs w:val="28"/>
          <w:lang w:eastAsia="ru-RU"/>
        </w:rPr>
        <w:footnoteReference w:id="292"/>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Модель пенсійної системи </w:t>
      </w:r>
      <w:r w:rsidR="00CE668F" w:rsidRPr="0078696C">
        <w:rPr>
          <w:rFonts w:ascii="Times New Roman" w:eastAsia="Times New Roman" w:hAnsi="Times New Roman"/>
          <w:color w:val="000000"/>
          <w:sz w:val="28"/>
          <w:szCs w:val="28"/>
          <w:lang w:eastAsia="ru-RU"/>
        </w:rPr>
        <w:t>У. Бевери</w:t>
      </w:r>
      <w:r w:rsidRPr="0078696C">
        <w:rPr>
          <w:rFonts w:ascii="Times New Roman" w:eastAsia="Times New Roman" w:hAnsi="Times New Roman"/>
          <w:color w:val="000000"/>
          <w:sz w:val="28"/>
          <w:szCs w:val="28"/>
          <w:lang w:eastAsia="ru-RU"/>
        </w:rPr>
        <w:t>джа доцільно розглянути на прикладі Великої Британії.</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lastRenderedPageBreak/>
        <w:t>Пенсійна система Великобританії</w:t>
      </w:r>
      <w:r w:rsidRPr="0078696C">
        <w:rPr>
          <w:rFonts w:ascii="Times New Roman" w:eastAsia="Times New Roman" w:hAnsi="Times New Roman"/>
          <w:color w:val="000000"/>
          <w:sz w:val="28"/>
          <w:szCs w:val="28"/>
          <w:lang w:eastAsia="ru-RU"/>
        </w:rPr>
        <w:t xml:space="preserve"> є єдиною пенсійною системою Західної Європи, яка залишається платоспроможною на сьогоднішній день. Тут на державу ніколи не покладали завдання повністю забезпечити пенсіонера, завжди заохочувалась практика відкладання людьми в активному віці коштів на підтримку себе в старості</w:t>
      </w:r>
      <w:r w:rsidR="00637894" w:rsidRPr="0078696C">
        <w:rPr>
          <w:rFonts w:ascii="Times New Roman" w:eastAsia="Times New Roman" w:hAnsi="Times New Roman"/>
          <w:color w:val="000000"/>
          <w:sz w:val="28"/>
          <w:szCs w:val="28"/>
          <w:lang w:eastAsia="ru-RU"/>
        </w:rPr>
        <w:t>.</w:t>
      </w:r>
    </w:p>
    <w:p w:rsidR="00DB039C" w:rsidRPr="0078696C" w:rsidRDefault="00543148" w:rsidP="00316DB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Система пенсійного забезпечення Великобританії базується на трьох «китах»: базовій державній пенсії, додатковій державній пенсії та пе</w:t>
      </w:r>
      <w:r w:rsidR="00732920" w:rsidRPr="0078696C">
        <w:rPr>
          <w:rFonts w:ascii="Times New Roman" w:eastAsia="Times New Roman" w:hAnsi="Times New Roman"/>
          <w:color w:val="000000"/>
          <w:sz w:val="28"/>
          <w:szCs w:val="28"/>
          <w:lang w:eastAsia="ru-RU"/>
        </w:rPr>
        <w:t>нсійних заощадженнях населення</w:t>
      </w:r>
      <w:r w:rsidR="00DB039C" w:rsidRPr="0078696C">
        <w:rPr>
          <w:rStyle w:val="a8"/>
          <w:rFonts w:ascii="Times New Roman" w:eastAsia="Times New Roman" w:hAnsi="Times New Roman"/>
          <w:color w:val="000000"/>
          <w:sz w:val="28"/>
          <w:szCs w:val="28"/>
          <w:lang w:eastAsia="ru-RU"/>
        </w:rPr>
        <w:footnoteReference w:id="293"/>
      </w:r>
      <w:r w:rsidR="00732920" w:rsidRPr="0078696C">
        <w:rPr>
          <w:rFonts w:ascii="Times New Roman" w:eastAsia="Times New Roman" w:hAnsi="Times New Roman"/>
          <w:color w:val="000000"/>
          <w:sz w:val="28"/>
          <w:szCs w:val="28"/>
          <w:lang w:eastAsia="ru-RU"/>
        </w:rPr>
        <w:t>.</w:t>
      </w:r>
    </w:p>
    <w:p w:rsidR="00543148" w:rsidRPr="0078696C" w:rsidRDefault="00543148" w:rsidP="00316DB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Комплексне пенсійне законодавство, яке регулює виплати при ранньому виході на пенсію, переказ коштів пенсії, інших накопичень, розкриття інформації, укладання контрактів і стандарти фінансування, було введено у Великій Британії в 1995 році.</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Державний пенсійний вік в даний час складає 65 років для чоловіків і 60 для жінок, але до 6 квітня 2020 р пенсійний вік для всіх становитиме 65 років.</w:t>
      </w:r>
    </w:p>
    <w:p w:rsidR="0009280F" w:rsidRPr="0078696C" w:rsidRDefault="00543148" w:rsidP="0009280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Структура пенсійного забезпечення Великої Британії містить три рівні:</w:t>
      </w:r>
    </w:p>
    <w:p w:rsidR="0009280F" w:rsidRPr="0078696C" w:rsidRDefault="00543148" w:rsidP="0009280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перший рівень – державна пенсія по старості;</w:t>
      </w:r>
    </w:p>
    <w:p w:rsidR="0009280F" w:rsidRPr="0078696C" w:rsidRDefault="00543148" w:rsidP="0009280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другий рівень – державна пенсія за вислугу років;</w:t>
      </w:r>
    </w:p>
    <w:p w:rsidR="00543148" w:rsidRPr="0078696C" w:rsidRDefault="00543148" w:rsidP="0009280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третій рівень – недержавна довічна пенсія </w:t>
      </w:r>
      <w:r w:rsidRPr="0078696C">
        <w:rPr>
          <w:rStyle w:val="a8"/>
          <w:rFonts w:ascii="Times New Roman" w:eastAsia="Times New Roman" w:hAnsi="Times New Roman"/>
          <w:color w:val="000000"/>
          <w:sz w:val="28"/>
          <w:szCs w:val="28"/>
          <w:lang w:eastAsia="ru-RU"/>
        </w:rPr>
        <w:footnoteReference w:id="294"/>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Особливістю недержавного пенсійного забезпечення в Великій Британії є стимулювання державою роботодавців, при створен</w:t>
      </w:r>
      <w:r w:rsidR="00386C1E" w:rsidRPr="0078696C">
        <w:rPr>
          <w:rFonts w:ascii="Times New Roman" w:eastAsia="Times New Roman" w:hAnsi="Times New Roman"/>
          <w:color w:val="000000"/>
          <w:sz w:val="28"/>
          <w:szCs w:val="28"/>
          <w:lang w:eastAsia="ru-RU"/>
        </w:rPr>
        <w:t>ні</w:t>
      </w:r>
      <w:r w:rsidRPr="0078696C">
        <w:rPr>
          <w:rFonts w:ascii="Times New Roman" w:eastAsia="Times New Roman" w:hAnsi="Times New Roman"/>
          <w:color w:val="000000"/>
          <w:sz w:val="28"/>
          <w:szCs w:val="28"/>
          <w:lang w:eastAsia="ru-RU"/>
        </w:rPr>
        <w:t xml:space="preserve"> нею корпоративних пенсійних схем шляхом надання податкових пільг. Державні пенсії дозволяють працівнику отримувати в старості до 70% від своєї останньої заробітної плати. Працівник, який отримує таку пенсію, втрачає право на державну пенсію другого рівня. Корпоративні пенсійні плани досить розвинені в Великобританії, і в даний час охоплюють близько половини працюючих. Право на додаткову пенсію по старості загальні для чоловіків і жінок</w:t>
      </w:r>
      <w:r w:rsidR="00233974" w:rsidRPr="0078696C">
        <w:rPr>
          <w:rFonts w:ascii="Times New Roman" w:eastAsia="Times New Roman" w:hAnsi="Times New Roman"/>
          <w:color w:val="000000"/>
          <w:sz w:val="28"/>
          <w:szCs w:val="28"/>
          <w:lang w:eastAsia="ru-RU"/>
        </w:rPr>
        <w:t xml:space="preserve"> (зазвичай 60-65 років). Також </w:t>
      </w:r>
      <w:r w:rsidR="00233974" w:rsidRPr="0078696C">
        <w:rPr>
          <w:rFonts w:ascii="Times New Roman" w:eastAsia="Times New Roman" w:hAnsi="Times New Roman"/>
          <w:color w:val="000000"/>
          <w:sz w:val="28"/>
          <w:szCs w:val="28"/>
          <w:lang w:eastAsia="ru-RU"/>
        </w:rPr>
        <w:lastRenderedPageBreak/>
        <w:t>у</w:t>
      </w:r>
      <w:r w:rsidRPr="0078696C">
        <w:rPr>
          <w:rFonts w:ascii="Times New Roman" w:eastAsia="Times New Roman" w:hAnsi="Times New Roman"/>
          <w:color w:val="000000"/>
          <w:sz w:val="28"/>
          <w:szCs w:val="28"/>
          <w:lang w:eastAsia="ru-RU"/>
        </w:rPr>
        <w:t xml:space="preserve">рядом заохочується забезпечення пенсій засобами індивідуальних пенсійних планів, як альтернативних корпоративним </w:t>
      </w:r>
      <w:r w:rsidRPr="0078696C">
        <w:rPr>
          <w:rStyle w:val="a8"/>
          <w:rFonts w:ascii="Times New Roman" w:eastAsia="Times New Roman" w:hAnsi="Times New Roman"/>
          <w:color w:val="000000"/>
          <w:sz w:val="28"/>
          <w:szCs w:val="28"/>
          <w:lang w:eastAsia="ru-RU"/>
        </w:rPr>
        <w:footnoteReference w:id="295"/>
      </w:r>
      <w:r w:rsidRPr="0078696C">
        <w:rPr>
          <w:rFonts w:ascii="Times New Roman" w:eastAsia="Times New Roman" w:hAnsi="Times New Roman"/>
          <w:color w:val="000000"/>
          <w:sz w:val="28"/>
          <w:szCs w:val="28"/>
          <w:lang w:eastAsia="ru-RU"/>
        </w:rPr>
        <w:t>.</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2015 року у Великій Британії відбулись значні реформи системи пенсійного забезпечення, які забезпечили британських вкладників значно більшою свободою вибору. Зокрема, змінено систему сплати пенсійних вкладів, які більше не є обов’язковими. Реформи викликали зміни в стратегії заощаджень, особливо в інвестиційному плануванні. Для фізичних осіб розширено вибір варіантів при виході на пенсію та після виходу на неї, при цьому зріс рівень відповідальності самого пенсіонера.</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Раніше, пенсійна система Великобританії була націлена на більш-менш єдиний, такий, який би підходив усім, підхід до пенсійного фінансування для своїх громадян. Ціль такої системи полягала у поєднанні неоподатковуваних грошових коштів та ануїтету </w:t>
      </w:r>
      <w:r w:rsidR="00CD3544" w:rsidRPr="0078696C">
        <w:rPr>
          <w:rFonts w:ascii="Times New Roman" w:eastAsia="Times New Roman" w:hAnsi="Times New Roman"/>
          <w:color w:val="000000"/>
          <w:sz w:val="28"/>
          <w:szCs w:val="28"/>
          <w:lang w:eastAsia="ru-RU"/>
        </w:rPr>
        <w:t xml:space="preserve">(ануїтет – це періодичні пенсійні виплати, які здійснюються з установленими інтервалами часу до того моменту, поки не настане певна подія, визначена у відповідному договорі </w:t>
      </w:r>
      <w:r w:rsidR="00CD3544" w:rsidRPr="0078696C">
        <w:rPr>
          <w:rStyle w:val="a8"/>
          <w:rFonts w:ascii="Times New Roman" w:eastAsia="Times New Roman" w:hAnsi="Times New Roman"/>
          <w:color w:val="000000"/>
          <w:sz w:val="28"/>
          <w:szCs w:val="28"/>
          <w:lang w:eastAsia="ru-RU"/>
        </w:rPr>
        <w:footnoteReference w:id="296"/>
      </w:r>
      <w:r w:rsidRPr="0078696C">
        <w:rPr>
          <w:rFonts w:ascii="Times New Roman" w:eastAsia="Times New Roman" w:hAnsi="Times New Roman"/>
          <w:color w:val="000000"/>
          <w:sz w:val="28"/>
          <w:szCs w:val="28"/>
          <w:lang w:eastAsia="ru-RU"/>
        </w:rPr>
        <w:t xml:space="preserve">). Згідно </w:t>
      </w:r>
      <w:r w:rsidR="00C50C1C" w:rsidRPr="0078696C">
        <w:rPr>
          <w:rFonts w:ascii="Times New Roman" w:eastAsia="Times New Roman" w:hAnsi="Times New Roman"/>
          <w:color w:val="000000"/>
          <w:sz w:val="28"/>
          <w:szCs w:val="28"/>
          <w:lang w:eastAsia="ru-RU"/>
        </w:rPr>
        <w:t>з даним підходом</w:t>
      </w:r>
      <w:r w:rsidRPr="0078696C">
        <w:rPr>
          <w:rFonts w:ascii="Times New Roman" w:eastAsia="Times New Roman" w:hAnsi="Times New Roman"/>
          <w:color w:val="000000"/>
          <w:sz w:val="28"/>
          <w:szCs w:val="28"/>
          <w:lang w:eastAsia="ru-RU"/>
        </w:rPr>
        <w:t>, всім громадянам виплачується базова частина державної пенсії, що в середньому становить 12% середньої зарплати, а додаткова пенсія залежить від суми накопичень пенсійних платежів та може досягати 50% заробітної плати працівника перед виходом на пенсію. Для цього використовуються спеціальні рахунки в банку, договори страхування зі страховими компаніями про довічну ренту, приватні пенсійні фонди. Ці кошти, а також інвестиційний дохід, який накопичується в пенсійному фонді, не оподатковуються</w:t>
      </w:r>
      <w:r w:rsidR="000A3436" w:rsidRPr="0078696C">
        <w:rPr>
          <w:rStyle w:val="a8"/>
          <w:rFonts w:ascii="Times New Roman" w:eastAsia="Times New Roman" w:hAnsi="Times New Roman"/>
          <w:color w:val="000000"/>
          <w:sz w:val="28"/>
          <w:szCs w:val="28"/>
          <w:lang w:eastAsia="ru-RU"/>
        </w:rPr>
        <w:footnoteReference w:id="297"/>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Після проведення реформи 2015 року з’явилося розуміння того, що такий підхід є застарілим, адже кожен громадянин має різні потреби після виходу на пенсію. В зв’язку з цим, схеми пенсійного страхування стають більш гнучкими, намагаючись змінити єдину стратегію заощаджень за замовчуванням та надати право кожному учаснику у виборі свого власного пенсійного «портфелю».</w:t>
      </w:r>
    </w:p>
    <w:p w:rsidR="00DD46E8" w:rsidRPr="0078696C" w:rsidRDefault="00543148" w:rsidP="00680B75">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 xml:space="preserve">Британські експерти </w:t>
      </w:r>
      <w:r w:rsidR="00C532C3" w:rsidRPr="0078696C">
        <w:rPr>
          <w:rFonts w:ascii="Times New Roman" w:eastAsia="Times New Roman" w:hAnsi="Times New Roman"/>
          <w:color w:val="000000"/>
          <w:sz w:val="28"/>
          <w:szCs w:val="28"/>
          <w:lang w:eastAsia="ru-RU"/>
        </w:rPr>
        <w:t>Малькольм Джонс та Кевін Мільн, провівши</w:t>
      </w:r>
      <w:r w:rsidRPr="0078696C">
        <w:rPr>
          <w:rFonts w:ascii="Times New Roman" w:eastAsia="Times New Roman" w:hAnsi="Times New Roman"/>
          <w:color w:val="000000"/>
          <w:sz w:val="28"/>
          <w:szCs w:val="28"/>
          <w:lang w:eastAsia="ru-RU"/>
        </w:rPr>
        <w:t xml:space="preserve"> дослідження через рік</w:t>
      </w:r>
      <w:r w:rsidR="00C532C3" w:rsidRPr="0078696C">
        <w:rPr>
          <w:rFonts w:ascii="Times New Roman" w:eastAsia="Times New Roman" w:hAnsi="Times New Roman"/>
          <w:color w:val="000000"/>
          <w:sz w:val="28"/>
          <w:szCs w:val="28"/>
          <w:lang w:eastAsia="ru-RU"/>
        </w:rPr>
        <w:t xml:space="preserve"> після проведення таких реформ,</w:t>
      </w:r>
      <w:r w:rsidRPr="0078696C">
        <w:rPr>
          <w:rFonts w:ascii="Times New Roman" w:eastAsia="Times New Roman" w:hAnsi="Times New Roman"/>
          <w:color w:val="000000"/>
          <w:sz w:val="28"/>
          <w:szCs w:val="28"/>
          <w:lang w:eastAsia="ru-RU"/>
        </w:rPr>
        <w:t xml:space="preserve"> зробили доволі цікаві висновки щодо того, які переваги обирають ті чи інші учасники пенсійної системи, виходячи з поділу усіх членів на 3 групи</w:t>
      </w:r>
      <w:r w:rsidR="00D90564" w:rsidRPr="0078696C">
        <w:rPr>
          <w:rFonts w:ascii="Times New Roman" w:eastAsia="Times New Roman" w:hAnsi="Times New Roman"/>
          <w:color w:val="000000"/>
          <w:sz w:val="28"/>
          <w:szCs w:val="28"/>
          <w:lang w:eastAsia="ru-RU"/>
        </w:rPr>
        <w:t xml:space="preserve"> (н</w:t>
      </w:r>
      <w:r w:rsidR="00DD46E8" w:rsidRPr="0078696C">
        <w:rPr>
          <w:rFonts w:ascii="Times New Roman" w:eastAsia="Times New Roman" w:hAnsi="Times New Roman"/>
          <w:color w:val="000000"/>
          <w:sz w:val="28"/>
          <w:szCs w:val="28"/>
          <w:lang w:eastAsia="ru-RU"/>
        </w:rPr>
        <w:t>ижче по тексту автором</w:t>
      </w:r>
      <w:r w:rsidR="00D90564" w:rsidRPr="0078696C">
        <w:rPr>
          <w:rFonts w:ascii="Times New Roman" w:eastAsia="Times New Roman" w:hAnsi="Times New Roman"/>
          <w:color w:val="000000"/>
          <w:sz w:val="28"/>
          <w:szCs w:val="28"/>
          <w:lang w:eastAsia="ru-RU"/>
        </w:rPr>
        <w:t xml:space="preserve"> наводяться основні тези із доповіді фахівців)</w:t>
      </w:r>
      <w:r w:rsidR="00680B75" w:rsidRPr="0078696C">
        <w:rPr>
          <w:rStyle w:val="a8"/>
          <w:rFonts w:ascii="Times New Roman" w:eastAsia="Times New Roman" w:hAnsi="Times New Roman"/>
          <w:color w:val="000000"/>
          <w:sz w:val="28"/>
          <w:szCs w:val="28"/>
          <w:lang w:eastAsia="ru-RU"/>
        </w:rPr>
        <w:footnoteReference w:id="298"/>
      </w:r>
      <w:r w:rsidR="00D90564" w:rsidRPr="0078696C">
        <w:rPr>
          <w:rFonts w:ascii="Times New Roman" w:eastAsia="Times New Roman" w:hAnsi="Times New Roman"/>
          <w:color w:val="000000"/>
          <w:sz w:val="28"/>
          <w:szCs w:val="28"/>
          <w:lang w:eastAsia="ru-RU"/>
        </w:rPr>
        <w:t xml:space="preserve">: </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t xml:space="preserve">«Виконайте це для мене» </w:t>
      </w:r>
      <w:r w:rsidRPr="0078696C">
        <w:rPr>
          <w:rFonts w:ascii="Times New Roman" w:eastAsia="Times New Roman" w:hAnsi="Times New Roman"/>
          <w:color w:val="000000"/>
          <w:sz w:val="28"/>
          <w:szCs w:val="28"/>
          <w:lang w:eastAsia="ru-RU"/>
        </w:rPr>
        <w:t>– це ті учасники, які, як правило, найменше займаються прийняттям певних інвестиційних рішень для свого подальшого пенсійного забезпечення. Зазвичай, вони шукають інвестиційний варіант, при якому їм самим нічого практично не потрібно робити. При здійсненні певних накопичень для майбутньої пенсії, ця група, ймовірно, буде дотримуватися схеми за замовчуванням, тобто тієї, яка вже буде розроблена або державою, або недержавним пенсійним фондом.</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t>«Допоможіть мені це зробити»</w:t>
      </w:r>
      <w:r w:rsidRPr="0078696C">
        <w:rPr>
          <w:rFonts w:ascii="Times New Roman" w:eastAsia="Times New Roman" w:hAnsi="Times New Roman"/>
          <w:color w:val="000000"/>
          <w:sz w:val="28"/>
          <w:szCs w:val="28"/>
          <w:lang w:eastAsia="ru-RU"/>
        </w:rPr>
        <w:t xml:space="preserve"> – ці учасники є більш зацікавленими. Вони хочуть більше контролювати свої інвестиції та оцінювати відповідні ступені ризику при заощадженнях, щоб структурувати їх відповідно до своїх індивідуальних потреб. Однак, їхня участь не поширюватиметься на збирання коштів чи управління пенсійним «портфелем». Скоріше, вони просто хочуть знати, що їхні інвестиції управляються відповідно до їх вимог. Ця група може скористатися безліччю простих варіантів вибору між варіантами інвестування, які дозволяють їм адаптувати свою майбутню пенсію без відповідальності за поточне управління активами.</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t>«Дозвольте це зробити»</w:t>
      </w:r>
      <w:r w:rsidRPr="0078696C">
        <w:rPr>
          <w:rFonts w:ascii="Times New Roman" w:eastAsia="Times New Roman" w:hAnsi="Times New Roman"/>
          <w:color w:val="000000"/>
          <w:sz w:val="28"/>
          <w:szCs w:val="28"/>
          <w:lang w:eastAsia="ru-RU"/>
        </w:rPr>
        <w:t xml:space="preserve"> – ці члени найбільш зацікавлені у виборі свого майбутнього. Вони точно знають, чого хочуть від своїх інвестицій, і готові прийняти інвестиційні рішення. Ця група хоче отримувати ряд опцій, з яких можна створити свій спеціальний пенсійний «портфель»</w:t>
      </w:r>
      <w:r w:rsidR="003C765F" w:rsidRPr="0078696C">
        <w:rPr>
          <w:rStyle w:val="a8"/>
          <w:rFonts w:ascii="Times New Roman" w:eastAsia="Times New Roman" w:hAnsi="Times New Roman"/>
          <w:color w:val="000000"/>
          <w:sz w:val="28"/>
          <w:szCs w:val="28"/>
          <w:lang w:eastAsia="ru-RU"/>
        </w:rPr>
        <w:footnoteReference w:id="299"/>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Британці зрозуміли, що рішення щодо майбутнього виходу на пенсію повинне включати в себе широкий набір інвестиційних підходів, пристосованих до різних фінансових потреб та інвестиційних знань майбутніх пенсіонерів – </w:t>
      </w:r>
      <w:r w:rsidRPr="0078696C">
        <w:rPr>
          <w:rFonts w:ascii="Times New Roman" w:eastAsia="Times New Roman" w:hAnsi="Times New Roman"/>
          <w:color w:val="000000"/>
          <w:sz w:val="28"/>
          <w:szCs w:val="28"/>
          <w:lang w:eastAsia="ru-RU"/>
        </w:rPr>
        <w:lastRenderedPageBreak/>
        <w:t>учасників пенсійних схем. А переможцями на пенсійному ринку стають пенсійні схеми, які пропонують високий ступінь гнучкості разом із ефективними стратегіями заощаджень.</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 свою чергу, намагаючись у загальному вигляді використовувати принципи британської пенсійної системи, нам, українцям, необхідно обов'язково враховувати головну її перевагу: націленість на підвищення рівня життя пенсіонерів та максимальну свободу кожного громадянина.</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Ідеї щодо реалізації пенсійного забезпечення, які були </w:t>
      </w:r>
      <w:r w:rsidR="000A3436" w:rsidRPr="0078696C">
        <w:rPr>
          <w:rFonts w:ascii="Times New Roman" w:eastAsia="Times New Roman" w:hAnsi="Times New Roman"/>
          <w:color w:val="000000"/>
          <w:sz w:val="28"/>
          <w:szCs w:val="28"/>
          <w:lang w:eastAsia="ru-RU"/>
        </w:rPr>
        <w:t>запропоновані Бісмарком і Бевери</w:t>
      </w:r>
      <w:r w:rsidRPr="0078696C">
        <w:rPr>
          <w:rFonts w:ascii="Times New Roman" w:eastAsia="Times New Roman" w:hAnsi="Times New Roman"/>
          <w:color w:val="000000"/>
          <w:sz w:val="28"/>
          <w:szCs w:val="28"/>
          <w:lang w:eastAsia="ru-RU"/>
        </w:rPr>
        <w:t>джем, покладені в основу двох ключових методологічних підходів, на яких були сформовані і в подальшому розвивалися пенсійні системи західних країн. В рамках моделі Бісмарка, завдання пенсійного страхування полягає в збереженні рівня і якості життя працівника після його виходу на пенсію (коефіцієнт заміщення становить 60-70%). Роль участі держави в рамках даної моделі – мінімізована, і навпаки, висока ступінь участі в пенсійному забезпеченні самих працівників (пенсійне страхування будувалося на солідарній відповідальності роботодавців, працівників і держави).</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Пенсійні системи, побудовані згідно </w:t>
      </w:r>
      <w:r w:rsidR="00DD7949" w:rsidRPr="0078696C">
        <w:rPr>
          <w:rFonts w:ascii="Times New Roman" w:eastAsia="Times New Roman" w:hAnsi="Times New Roman"/>
          <w:color w:val="000000"/>
          <w:sz w:val="28"/>
          <w:szCs w:val="28"/>
          <w:lang w:eastAsia="ru-RU"/>
        </w:rPr>
        <w:t>з моделлю</w:t>
      </w:r>
      <w:r w:rsidR="000A3436" w:rsidRPr="0078696C">
        <w:rPr>
          <w:rFonts w:ascii="Times New Roman" w:eastAsia="Times New Roman" w:hAnsi="Times New Roman"/>
          <w:color w:val="000000"/>
          <w:sz w:val="28"/>
          <w:szCs w:val="28"/>
          <w:lang w:eastAsia="ru-RU"/>
        </w:rPr>
        <w:t xml:space="preserve"> Бевери</w:t>
      </w:r>
      <w:r w:rsidRPr="0078696C">
        <w:rPr>
          <w:rFonts w:ascii="Times New Roman" w:eastAsia="Times New Roman" w:hAnsi="Times New Roman"/>
          <w:color w:val="000000"/>
          <w:sz w:val="28"/>
          <w:szCs w:val="28"/>
          <w:lang w:eastAsia="ru-RU"/>
        </w:rPr>
        <w:t xml:space="preserve">джа вирішували завдання щодо захисту населення від бідності після виходу на пенсію, а тому коефіцієнт заміщення не такий високий, як у моделі Бісмарка. Держава брала на себе функції щодо забезпечення населення пенсіями. Роль держави в пенсійному забезпеченні висока, а ступінь участі самих працівників у власному пенсійному забезпеченні </w:t>
      </w:r>
      <w:r w:rsidR="000A3436" w:rsidRPr="0078696C">
        <w:rPr>
          <w:rFonts w:ascii="Times New Roman" w:eastAsia="Times New Roman" w:hAnsi="Times New Roman"/>
          <w:color w:val="000000"/>
          <w:sz w:val="28"/>
          <w:szCs w:val="28"/>
          <w:lang w:eastAsia="ru-RU"/>
        </w:rPr>
        <w:t xml:space="preserve">була </w:t>
      </w:r>
      <w:r w:rsidRPr="0078696C">
        <w:rPr>
          <w:rFonts w:ascii="Times New Roman" w:eastAsia="Times New Roman" w:hAnsi="Times New Roman"/>
          <w:color w:val="000000"/>
          <w:sz w:val="28"/>
          <w:szCs w:val="28"/>
          <w:lang w:eastAsia="ru-RU"/>
        </w:rPr>
        <w:t>зведена до мінімуму.</w:t>
      </w:r>
    </w:p>
    <w:p w:rsidR="009E5916" w:rsidRPr="0078696C" w:rsidRDefault="00543148" w:rsidP="009E591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i/>
          <w:color w:val="000000"/>
          <w:sz w:val="28"/>
          <w:szCs w:val="28"/>
          <w:lang w:eastAsia="ru-RU"/>
        </w:rPr>
        <w:t>Скандинавська модель соціального захисту</w:t>
      </w:r>
      <w:r w:rsidR="0008798B" w:rsidRPr="0078696C">
        <w:rPr>
          <w:rFonts w:ascii="Times New Roman" w:eastAsia="Times New Roman" w:hAnsi="Times New Roman"/>
          <w:i/>
          <w:color w:val="000000"/>
          <w:sz w:val="28"/>
          <w:szCs w:val="28"/>
          <w:lang w:eastAsia="ru-RU"/>
        </w:rPr>
        <w:t>, або</w:t>
      </w:r>
      <w:r w:rsidR="007A70F3">
        <w:rPr>
          <w:rFonts w:ascii="Times New Roman" w:eastAsia="Times New Roman" w:hAnsi="Times New Roman"/>
          <w:i/>
          <w:color w:val="000000"/>
          <w:sz w:val="28"/>
          <w:szCs w:val="28"/>
          <w:lang w:eastAsia="ru-RU"/>
        </w:rPr>
        <w:t xml:space="preserve"> </w:t>
      </w:r>
      <w:r w:rsidRPr="0078696C">
        <w:rPr>
          <w:rFonts w:ascii="Times New Roman" w:eastAsia="Times New Roman" w:hAnsi="Times New Roman"/>
          <w:i/>
          <w:color w:val="000000"/>
          <w:sz w:val="28"/>
          <w:szCs w:val="28"/>
          <w:lang w:eastAsia="ru-RU"/>
        </w:rPr>
        <w:t>приватно-корпоративна</w:t>
      </w:r>
      <w:r w:rsidR="007A70F3">
        <w:rPr>
          <w:rFonts w:ascii="Times New Roman" w:eastAsia="Times New Roman" w:hAnsi="Times New Roman"/>
          <w:i/>
          <w:color w:val="000000"/>
          <w:sz w:val="28"/>
          <w:szCs w:val="28"/>
          <w:lang w:eastAsia="ru-RU"/>
        </w:rPr>
        <w:t xml:space="preserve"> </w:t>
      </w:r>
      <w:r w:rsidR="0008798B"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характерна для Швеції, Данії, Фінляндії. Соціальний захист пенсіонерів у зазначених країнах трактується як законне право громадянина. У 1913 році в Швеції була введена нова модель пенсійної системи, яка стала першим у світі прикладом загального соціального страхування. Починаючи з 50-х років ХХ </w:t>
      </w:r>
      <w:r w:rsidRPr="0078696C">
        <w:rPr>
          <w:rFonts w:ascii="Times New Roman" w:eastAsia="Times New Roman" w:hAnsi="Times New Roman"/>
          <w:color w:val="000000"/>
          <w:sz w:val="28"/>
          <w:szCs w:val="28"/>
          <w:lang w:eastAsia="ru-RU"/>
        </w:rPr>
        <w:lastRenderedPageBreak/>
        <w:t>століття, Швеція об’єднала висловлені Отто</w:t>
      </w:r>
      <w:r w:rsidR="00891E98" w:rsidRPr="0078696C">
        <w:rPr>
          <w:rFonts w:ascii="Times New Roman" w:eastAsia="Times New Roman" w:hAnsi="Times New Roman"/>
          <w:color w:val="000000"/>
          <w:sz w:val="28"/>
          <w:szCs w:val="28"/>
          <w:lang w:eastAsia="ru-RU"/>
        </w:rPr>
        <w:t xml:space="preserve"> фон Бісмарком і Уїльямом Бевери</w:t>
      </w:r>
      <w:r w:rsidRPr="0078696C">
        <w:rPr>
          <w:rFonts w:ascii="Times New Roman" w:eastAsia="Times New Roman" w:hAnsi="Times New Roman"/>
          <w:color w:val="000000"/>
          <w:sz w:val="28"/>
          <w:szCs w:val="28"/>
          <w:lang w:eastAsia="ru-RU"/>
        </w:rPr>
        <w:t xml:space="preserve">джем ідеї у «всезагальну модель» соціального захисту </w:t>
      </w:r>
      <w:r w:rsidRPr="0078696C">
        <w:rPr>
          <w:rStyle w:val="a8"/>
          <w:rFonts w:ascii="Times New Roman" w:eastAsia="Times New Roman" w:hAnsi="Times New Roman"/>
          <w:color w:val="000000"/>
          <w:sz w:val="28"/>
          <w:szCs w:val="28"/>
          <w:lang w:eastAsia="ru-RU"/>
        </w:rPr>
        <w:footnoteReference w:id="300"/>
      </w:r>
      <w:r w:rsidR="009E5916"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Вирішальними кроками у створенні шведської «загальної моделі» стало введення в 1948 році народної пенсії та доповнення її системою загальної пенсії (АТП) у 1960 році </w:t>
      </w:r>
      <w:r w:rsidRPr="0078696C">
        <w:rPr>
          <w:rStyle w:val="a8"/>
          <w:rFonts w:ascii="Times New Roman" w:eastAsia="Times New Roman" w:hAnsi="Times New Roman"/>
          <w:color w:val="000000"/>
          <w:sz w:val="28"/>
          <w:szCs w:val="28"/>
          <w:lang w:eastAsia="ru-RU"/>
        </w:rPr>
        <w:footnoteReference w:id="301"/>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Система ATП (Allmän tilläggspension, або General supplementary pension), – пенсійна схема, яка діяла з 1960 по 1999 рік у Швеції. У ці десятиліття в розрахунок пенсії був покладений середній заробіток людини за 15 найуспішніших років її кар'єри </w:t>
      </w:r>
      <w:r w:rsidR="00710EB3" w:rsidRPr="0078696C">
        <w:rPr>
          <w:rFonts w:ascii="Times New Roman" w:eastAsia="Times New Roman" w:hAnsi="Times New Roman"/>
          <w:color w:val="000000"/>
          <w:sz w:val="28"/>
          <w:szCs w:val="28"/>
          <w:lang w:eastAsia="ru-RU"/>
        </w:rPr>
        <w:t xml:space="preserve">(правило 15/30) </w:t>
      </w:r>
      <w:r w:rsidRPr="0078696C">
        <w:rPr>
          <w:rStyle w:val="a8"/>
          <w:rFonts w:ascii="Times New Roman" w:eastAsia="Times New Roman" w:hAnsi="Times New Roman"/>
          <w:color w:val="000000"/>
          <w:sz w:val="28"/>
          <w:szCs w:val="28"/>
          <w:lang w:eastAsia="ru-RU"/>
        </w:rPr>
        <w:footnoteReference w:id="302"/>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Характерною рисою скандинавської моделі, є широке охоплення різних життєвих ситуацій і страхових ризиків, які вимагають підтримки держави. Отримання страхових виплат гарантується всім громадянам та не зумовлене виплатою страхових внесків і зайнятістю. Загалом, рівень соціальної захищеності, запропонований цією моделлю, достатньо високий, що досягається активною перерозподільною політикою, спрямованою на вирівнювання прибутків. Необхідною умовою функціонування цієї моделі є високоорганізоване суспільство, яке базується на основі відданості принципам суспільства добробуту </w:t>
      </w:r>
      <w:r w:rsidR="009E5916" w:rsidRPr="0078696C">
        <w:rPr>
          <w:rStyle w:val="a8"/>
          <w:rFonts w:ascii="Times New Roman" w:eastAsia="Times New Roman" w:hAnsi="Times New Roman"/>
          <w:color w:val="000000"/>
          <w:sz w:val="28"/>
          <w:szCs w:val="28"/>
          <w:lang w:eastAsia="ru-RU"/>
        </w:rPr>
        <w:footnoteReference w:id="303"/>
      </w:r>
      <w:r w:rsidR="009E5916" w:rsidRPr="0078696C">
        <w:rPr>
          <w:rFonts w:ascii="Times New Roman" w:eastAsia="Times New Roman" w:hAnsi="Times New Roman"/>
          <w:color w:val="000000"/>
          <w:sz w:val="28"/>
          <w:szCs w:val="28"/>
          <w:lang w:eastAsia="ru-RU"/>
        </w:rPr>
        <w:t xml:space="preserve">. </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Фінансування системи соціального захисту, у тому числі і пенсій, у цій моделі здійснюється, здебільшого, за рахунок оподаткування, однак, певну роль відіграють і страхові внески підприємців та працівників. Донедавна, наймані працівники були практично звільнені від сплати страхових внесків і брали участь у системі соціального захисту шляхом сплати податків. Однак, у 90-х роках XX ст. намітилася тенденція поступового зростання частки участі найманих працівників у фінансуванні страхових програм і збільшення </w:t>
      </w:r>
      <w:r w:rsidRPr="0078696C">
        <w:rPr>
          <w:rFonts w:ascii="Times New Roman" w:eastAsia="Times New Roman" w:hAnsi="Times New Roman"/>
          <w:color w:val="000000"/>
          <w:sz w:val="28"/>
          <w:szCs w:val="28"/>
          <w:lang w:eastAsia="ru-RU"/>
        </w:rPr>
        <w:lastRenderedPageBreak/>
        <w:t xml:space="preserve">страхових відрахувань із заробітної плати. Така ж тенденція простежується і щодо підприємців, при цьому соціальні витрати держави скоротилися </w:t>
      </w:r>
      <w:r w:rsidRPr="0078696C">
        <w:rPr>
          <w:rStyle w:val="a8"/>
          <w:rFonts w:ascii="Times New Roman" w:eastAsia="Times New Roman" w:hAnsi="Times New Roman"/>
          <w:color w:val="000000"/>
          <w:sz w:val="28"/>
          <w:szCs w:val="28"/>
          <w:lang w:eastAsia="ru-RU"/>
        </w:rPr>
        <w:footnoteReference w:id="304"/>
      </w:r>
      <w:r w:rsidRPr="0078696C">
        <w:rPr>
          <w:rFonts w:ascii="Times New Roman" w:eastAsia="Times New Roman" w:hAnsi="Times New Roman"/>
          <w:color w:val="000000"/>
          <w:sz w:val="28"/>
          <w:szCs w:val="28"/>
          <w:lang w:eastAsia="ru-RU"/>
        </w:rPr>
        <w:t>.</w:t>
      </w:r>
    </w:p>
    <w:p w:rsidR="00405D4D" w:rsidRPr="0078696C" w:rsidRDefault="00543148" w:rsidP="00405D4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При характеристиці скандинавської моделі варто виділити досвід реформ пенсійних накопичень в </w:t>
      </w:r>
      <w:r w:rsidRPr="0078696C">
        <w:rPr>
          <w:rFonts w:ascii="Times New Roman" w:eastAsia="Times New Roman" w:hAnsi="Times New Roman"/>
          <w:i/>
          <w:color w:val="000000"/>
          <w:sz w:val="28"/>
          <w:szCs w:val="28"/>
          <w:lang w:eastAsia="ru-RU"/>
        </w:rPr>
        <w:t xml:space="preserve">Швеції. </w:t>
      </w:r>
      <w:r w:rsidRPr="0078696C">
        <w:rPr>
          <w:rFonts w:ascii="Times New Roman" w:eastAsia="Times New Roman" w:hAnsi="Times New Roman"/>
          <w:color w:val="000000"/>
          <w:sz w:val="28"/>
          <w:szCs w:val="28"/>
          <w:lang w:eastAsia="ru-RU"/>
        </w:rPr>
        <w:t>Шведи пишаються тим, що в 1913 році</w:t>
      </w:r>
      <w:r w:rsidR="00405D4D" w:rsidRPr="0078696C">
        <w:rPr>
          <w:rFonts w:ascii="Times New Roman" w:eastAsia="Times New Roman" w:hAnsi="Times New Roman"/>
          <w:color w:val="000000"/>
          <w:sz w:val="28"/>
          <w:szCs w:val="28"/>
          <w:lang w:eastAsia="ru-RU"/>
        </w:rPr>
        <w:t>, на основі Закону про основні пенсії,</w:t>
      </w:r>
      <w:r w:rsidRPr="0078696C">
        <w:rPr>
          <w:rFonts w:ascii="Times New Roman" w:eastAsia="Times New Roman" w:hAnsi="Times New Roman"/>
          <w:color w:val="000000"/>
          <w:sz w:val="28"/>
          <w:szCs w:val="28"/>
          <w:lang w:eastAsia="ru-RU"/>
        </w:rPr>
        <w:t xml:space="preserve"> прийняли пенсійну систему, яка стала першою в світі формою заг</w:t>
      </w:r>
      <w:r w:rsidR="00405D4D" w:rsidRPr="0078696C">
        <w:rPr>
          <w:rFonts w:ascii="Times New Roman" w:eastAsia="Times New Roman" w:hAnsi="Times New Roman"/>
          <w:color w:val="000000"/>
          <w:sz w:val="28"/>
          <w:szCs w:val="28"/>
          <w:lang w:eastAsia="ru-RU"/>
        </w:rPr>
        <w:t xml:space="preserve">ального соціального страхування : як внески, так і виплати визначалися виходячи із доходів і розраховувалися індивідуально. Однак, така система не забезпечувала пенсіями усіх, хто цього потребував, а </w:t>
      </w:r>
      <w:r w:rsidRPr="0078696C">
        <w:rPr>
          <w:rFonts w:ascii="Times New Roman" w:eastAsia="Times New Roman" w:hAnsi="Times New Roman"/>
          <w:color w:val="000000"/>
          <w:sz w:val="28"/>
          <w:szCs w:val="28"/>
          <w:lang w:eastAsia="ru-RU"/>
        </w:rPr>
        <w:t>стосувалася лише державних службовців і відкритих акціонерних товариств. У 1935 році до влади прийшли соціал-демократи,</w:t>
      </w:r>
      <w:r w:rsidR="00405D4D" w:rsidRPr="0078696C">
        <w:rPr>
          <w:rFonts w:ascii="Times New Roman" w:eastAsia="Times New Roman" w:hAnsi="Times New Roman"/>
          <w:color w:val="000000"/>
          <w:sz w:val="28"/>
          <w:szCs w:val="28"/>
          <w:lang w:eastAsia="ru-RU"/>
        </w:rPr>
        <w:t xml:space="preserve"> і 1946 року пенсії охопили усе населення. </w:t>
      </w:r>
      <w:r w:rsidR="00174828" w:rsidRPr="0078696C">
        <w:rPr>
          <w:rFonts w:ascii="Times New Roman" w:eastAsia="Times New Roman" w:hAnsi="Times New Roman"/>
          <w:color w:val="000000"/>
          <w:sz w:val="28"/>
          <w:szCs w:val="28"/>
          <w:lang w:eastAsia="ru-RU"/>
        </w:rPr>
        <w:t>1959 року було прийнято Закон про всезагальні додаткові пенсії (АТП), який вступив у дію з 1960 року. Система АТП надала можливість отримувати більш високі пенсії в залежності від отримуваних доходів</w:t>
      </w:r>
      <w:r w:rsidR="00174828" w:rsidRPr="0078696C">
        <w:rPr>
          <w:rStyle w:val="a8"/>
          <w:rFonts w:ascii="Times New Roman" w:eastAsia="Times New Roman" w:hAnsi="Times New Roman"/>
          <w:color w:val="000000"/>
          <w:sz w:val="28"/>
          <w:szCs w:val="28"/>
          <w:lang w:eastAsia="ru-RU"/>
        </w:rPr>
        <w:footnoteReference w:id="305"/>
      </w:r>
      <w:r w:rsidR="00174828" w:rsidRPr="0078696C">
        <w:rPr>
          <w:rFonts w:ascii="Times New Roman" w:eastAsia="Times New Roman" w:hAnsi="Times New Roman"/>
          <w:color w:val="000000"/>
          <w:sz w:val="28"/>
          <w:szCs w:val="28"/>
          <w:lang w:eastAsia="ru-RU"/>
        </w:rPr>
        <w:t>.</w:t>
      </w:r>
    </w:p>
    <w:p w:rsidR="00E9756D" w:rsidRPr="0078696C" w:rsidRDefault="00E9756D"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Однак, наприкінці 1970-х років провідним шведським соціал-демократам стало болісно усвідомлювати, що щось потрібно робити з існуючою пенсійною системою. Найважливішою причиною стало те, що стара пенсійна система вимагала все більше грошових ресурсів, яких ставало все менше, так як люди стали жити довше, а робочих місць ставало все менше. Але була ще й інша причина зміни пенсійної системи. Справа в тому, що попередня ATП-система не враховувала, наприклад, доходи тих людей, які працювали все життя і у яких зарплата постійно підвищувалася </w:t>
      </w:r>
      <w:r w:rsidRPr="0078696C">
        <w:rPr>
          <w:rStyle w:val="a8"/>
          <w:rFonts w:ascii="Times New Roman" w:eastAsia="Times New Roman" w:hAnsi="Times New Roman"/>
          <w:color w:val="000000"/>
          <w:sz w:val="28"/>
          <w:szCs w:val="28"/>
          <w:lang w:eastAsia="ru-RU"/>
        </w:rPr>
        <w:footnoteReference w:id="306"/>
      </w:r>
      <w:r w:rsidRPr="0078696C">
        <w:rPr>
          <w:rFonts w:ascii="Times New Roman" w:eastAsia="Times New Roman" w:hAnsi="Times New Roman"/>
          <w:color w:val="000000"/>
          <w:sz w:val="28"/>
          <w:szCs w:val="28"/>
          <w:lang w:eastAsia="ru-RU"/>
        </w:rPr>
        <w:t>.</w:t>
      </w:r>
    </w:p>
    <w:p w:rsidR="00E9756D" w:rsidRPr="0078696C" w:rsidRDefault="00E9756D"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Протягом 1990-х років, в зв’язку із кризою системи АТП, пенсійна система Швеції зазнана значних змін: по перше, було скасовано стару загальну національну пенсію та встановлено нову гарантійну. По друге, стара фіксована пенсійна схема була перетворена на систему визначених внесків. По третє, в ході домовленостей, відбулась відмова від 15/30-річного правила розрахунку </w:t>
      </w:r>
      <w:r w:rsidRPr="0078696C">
        <w:rPr>
          <w:rFonts w:ascii="Times New Roman" w:eastAsia="Times New Roman" w:hAnsi="Times New Roman"/>
          <w:color w:val="000000"/>
          <w:sz w:val="28"/>
          <w:szCs w:val="28"/>
          <w:lang w:eastAsia="ru-RU"/>
        </w:rPr>
        <w:lastRenderedPageBreak/>
        <w:t xml:space="preserve">розміру пенсії. По четверте, це спричинило перехід до швидкої затримки виходу на пенсію </w:t>
      </w:r>
      <w:r w:rsidRPr="0078696C">
        <w:rPr>
          <w:rStyle w:val="a8"/>
          <w:rFonts w:ascii="Times New Roman" w:eastAsia="Times New Roman" w:hAnsi="Times New Roman"/>
          <w:color w:val="000000"/>
          <w:sz w:val="28"/>
          <w:szCs w:val="28"/>
          <w:lang w:eastAsia="ru-RU"/>
        </w:rPr>
        <w:footnoteReference w:id="307"/>
      </w:r>
      <w:r w:rsidRPr="0078696C">
        <w:rPr>
          <w:rFonts w:ascii="Times New Roman" w:eastAsia="Times New Roman" w:hAnsi="Times New Roman"/>
          <w:color w:val="000000"/>
          <w:sz w:val="28"/>
          <w:szCs w:val="28"/>
          <w:lang w:eastAsia="ru-RU"/>
        </w:rPr>
        <w:t>.</w:t>
      </w:r>
    </w:p>
    <w:p w:rsidR="0055017C" w:rsidRPr="0078696C" w:rsidRDefault="00070B0A" w:rsidP="000F0FE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Отже, в 1999 році система ATП у Швеції була замінена на іншу, що складалася з трьох компонентів</w:t>
      </w:r>
      <w:r w:rsidR="0054314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всезагальна пенсія (allmän pension)</w:t>
      </w:r>
      <w:r w:rsidR="0054314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трудова пенсія (tjänstepension); приватні пенсійні накопиченя (eventuell privat pension). Також в пенсію за віком входить так звана гарантійна пенсія </w:t>
      </w:r>
      <w:r w:rsidRPr="0078696C">
        <w:rPr>
          <w:rFonts w:ascii="Times New Roman" w:eastAsia="Times New Roman" w:hAnsi="Times New Roman"/>
          <w:color w:val="000000"/>
          <w:sz w:val="28"/>
          <w:szCs w:val="28"/>
          <w:lang w:eastAsia="ru-RU"/>
        </w:rPr>
        <w:br/>
        <w:t>(garantipensionen)</w:t>
      </w:r>
      <w:r w:rsidR="0055017C" w:rsidRPr="0078696C">
        <w:rPr>
          <w:rStyle w:val="a8"/>
          <w:rFonts w:ascii="Times New Roman" w:eastAsia="Times New Roman" w:hAnsi="Times New Roman"/>
          <w:color w:val="000000"/>
          <w:sz w:val="28"/>
          <w:szCs w:val="28"/>
          <w:lang w:eastAsia="ru-RU"/>
        </w:rPr>
        <w:footnoteReference w:id="308"/>
      </w:r>
      <w:r w:rsidR="0055017C" w:rsidRPr="0078696C">
        <w:rPr>
          <w:rFonts w:ascii="Times New Roman" w:eastAsia="Times New Roman" w:hAnsi="Times New Roman"/>
          <w:color w:val="000000"/>
          <w:sz w:val="28"/>
          <w:szCs w:val="28"/>
          <w:lang w:eastAsia="ru-RU"/>
        </w:rPr>
        <w:t>.</w:t>
      </w:r>
    </w:p>
    <w:p w:rsidR="00543148" w:rsidRPr="0078696C" w:rsidRDefault="00070B0A" w:rsidP="00B7145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Загальна пенсія складається з двох частин: пенсії, заснованої на доходах (inkomstpensionen) і преміальної пенсії (premiepension)</w:t>
      </w:r>
      <w:r w:rsidR="00B7145F" w:rsidRPr="0078696C">
        <w:rPr>
          <w:rFonts w:ascii="Times New Roman" w:eastAsia="Times New Roman" w:hAnsi="Times New Roman"/>
          <w:color w:val="000000"/>
          <w:sz w:val="28"/>
          <w:szCs w:val="28"/>
          <w:lang w:eastAsia="ru-RU"/>
        </w:rPr>
        <w:t xml:space="preserve">. </w:t>
      </w:r>
      <w:r w:rsidR="00543148" w:rsidRPr="0078696C">
        <w:rPr>
          <w:rFonts w:ascii="Times New Roman" w:eastAsia="Times New Roman" w:hAnsi="Times New Roman"/>
          <w:color w:val="000000"/>
          <w:sz w:val="28"/>
          <w:szCs w:val="28"/>
          <w:lang w:eastAsia="ru-RU"/>
        </w:rPr>
        <w:t>Внески, на фінансування пенсії, пов’язаної з розміром заробітку, сплачуються як роботодавцями, так і працівниками. 16% спрямовуються у солідарну систему. Внески фіксуються на умовних пенсійних рахунках і індексуються відповідно до середнього зростанням заробітної плати. Пенсії нараховуються за актуарною формулою без урахування відмінностей в рівні смертності серед чоловіків і жінок. Пенсійний вік для чоловіків і для жінок дорівнює 65 рокам, хоча деякі можуть отримувати накопичувальну частину пенсії з 61 року</w:t>
      </w:r>
      <w:r w:rsidRPr="0078696C">
        <w:rPr>
          <w:rStyle w:val="a8"/>
          <w:rFonts w:ascii="Times New Roman" w:eastAsia="Times New Roman" w:hAnsi="Times New Roman"/>
          <w:color w:val="000000"/>
          <w:sz w:val="28"/>
          <w:szCs w:val="28"/>
          <w:lang w:eastAsia="ru-RU"/>
        </w:rPr>
        <w:footnoteReference w:id="309"/>
      </w:r>
      <w:r w:rsidR="00543148" w:rsidRPr="0078696C">
        <w:rPr>
          <w:rFonts w:ascii="Times New Roman" w:eastAsia="Times New Roman" w:hAnsi="Times New Roman"/>
          <w:color w:val="000000"/>
          <w:sz w:val="28"/>
          <w:szCs w:val="28"/>
          <w:lang w:eastAsia="ru-RU"/>
        </w:rPr>
        <w:t>.</w:t>
      </w:r>
    </w:p>
    <w:p w:rsidR="00E817B0" w:rsidRPr="0078696C" w:rsidRDefault="00E817B0" w:rsidP="00E817B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Трудова пенсія складається з пенсії за віком, страхівки на випадок смерті чоловіка, а також медичної страхівки. Величина трудової пенсії залежить від сфери зайнятості; студенти і безробітні не отримують ніякої пенсії. Існує два типи трудової пенсії: пільгова (förmånsbestämd) і преміальна (premiebestämd). Одержувач не може впливати на величину пільгової пенсії, оскільки вона формується з виплат роботодавця, але може вибрати як буде виглядати його преміальна пенсія </w:t>
      </w:r>
      <w:r w:rsidRPr="0078696C">
        <w:rPr>
          <w:rStyle w:val="a8"/>
          <w:rFonts w:ascii="Times New Roman" w:eastAsia="Times New Roman" w:hAnsi="Times New Roman"/>
          <w:color w:val="000000"/>
          <w:sz w:val="28"/>
          <w:szCs w:val="28"/>
          <w:lang w:eastAsia="ru-RU"/>
        </w:rPr>
        <w:footnoteReference w:id="310"/>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Накопичувальна система почала працювати в 1999 р., перші внески за новими правилами були зроблені 1 січня 2001 р. Ставка внеску до накопичувальної системи встановлена на рівні 2.5% від базової. І майбутній </w:t>
      </w:r>
      <w:r w:rsidRPr="0078696C">
        <w:rPr>
          <w:rFonts w:ascii="Times New Roman" w:eastAsia="Times New Roman" w:hAnsi="Times New Roman"/>
          <w:color w:val="000000"/>
          <w:sz w:val="28"/>
          <w:szCs w:val="28"/>
          <w:lang w:eastAsia="ru-RU"/>
        </w:rPr>
        <w:lastRenderedPageBreak/>
        <w:t>пенсіонер може нею самостійно розпоряджатися. Преміальна частина з’являється на рахунку працівника миттєво. І на ній можна заробляти додаткові кошти. Можна вкладати в різні пенсійні фонди – як на біржі цінних паперів</w:t>
      </w:r>
      <w:r w:rsidRPr="0078696C">
        <w:rPr>
          <w:rStyle w:val="a8"/>
          <w:rFonts w:ascii="Times New Roman" w:eastAsia="Times New Roman" w:hAnsi="Times New Roman"/>
          <w:color w:val="000000"/>
          <w:sz w:val="28"/>
          <w:szCs w:val="28"/>
          <w:lang w:eastAsia="ru-RU"/>
        </w:rPr>
        <w:footnoteReference w:id="311"/>
      </w:r>
      <w:r w:rsidRPr="0078696C">
        <w:rPr>
          <w:rFonts w:ascii="Times New Roman" w:eastAsia="Times New Roman" w:hAnsi="Times New Roman"/>
          <w:color w:val="000000"/>
          <w:sz w:val="28"/>
          <w:szCs w:val="28"/>
          <w:lang w:eastAsia="ru-RU"/>
        </w:rPr>
        <w:t>.</w:t>
      </w:r>
    </w:p>
    <w:p w:rsidR="00E817B0" w:rsidRPr="0078696C" w:rsidRDefault="00E817B0" w:rsidP="00E817B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Перехід на нову систему здійснюється поступово. Повністю під її дію потрапляють працівники 1954 року народження і молодші. Ті, хто народилися в 1938 р отримуватимуть 20% пенсії з нової системи і 80% – зі старої </w:t>
      </w:r>
      <w:r w:rsidRPr="0078696C">
        <w:rPr>
          <w:rStyle w:val="a8"/>
          <w:rFonts w:ascii="Times New Roman" w:eastAsia="Times New Roman" w:hAnsi="Times New Roman"/>
          <w:color w:val="000000"/>
          <w:sz w:val="28"/>
          <w:szCs w:val="28"/>
          <w:lang w:eastAsia="ru-RU"/>
        </w:rPr>
        <w:footnoteReference w:id="312"/>
      </w:r>
      <w:r w:rsidRPr="0078696C">
        <w:rPr>
          <w:rFonts w:ascii="Times New Roman" w:eastAsia="Times New Roman" w:hAnsi="Times New Roman"/>
          <w:color w:val="000000"/>
          <w:sz w:val="28"/>
          <w:szCs w:val="28"/>
          <w:lang w:eastAsia="ru-RU"/>
        </w:rPr>
        <w:t xml:space="preserve">. </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А що робити якщо людина не працювала? В такому випадку їй буде виплачуватися гарантована пенсія – це виплата для тих, хто не працював або отримував мінімальну заробітну плату.</w:t>
      </w:r>
    </w:p>
    <w:p w:rsidR="00697372" w:rsidRPr="0078696C" w:rsidRDefault="00697372" w:rsidP="00697372">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Таким чином, в хронології розвитку системи пенсійного забезпечення в Швеції можна виділити чотири основні етапи:</w:t>
      </w:r>
    </w:p>
    <w:p w:rsidR="00697372" w:rsidRPr="0078696C" w:rsidRDefault="00E817B0" w:rsidP="00697372">
      <w:pPr>
        <w:numPr>
          <w:ilvl w:val="0"/>
          <w:numId w:val="41"/>
        </w:numPr>
        <w:spacing w:after="0" w:line="360" w:lineRule="auto"/>
        <w:ind w:left="426"/>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1913-1948 р</w:t>
      </w:r>
      <w:r w:rsidR="00697372" w:rsidRPr="0078696C">
        <w:rPr>
          <w:rFonts w:ascii="Times New Roman" w:eastAsia="Times New Roman" w:hAnsi="Times New Roman"/>
          <w:color w:val="000000"/>
          <w:sz w:val="28"/>
          <w:szCs w:val="28"/>
          <w:lang w:eastAsia="ru-RU"/>
        </w:rPr>
        <w:t>.р. – в</w:t>
      </w:r>
      <w:r w:rsidRPr="0078696C">
        <w:rPr>
          <w:rFonts w:ascii="Times New Roman" w:eastAsia="Times New Roman" w:hAnsi="Times New Roman"/>
          <w:color w:val="000000"/>
          <w:sz w:val="28"/>
          <w:szCs w:val="28"/>
          <w:lang w:eastAsia="ru-RU"/>
        </w:rPr>
        <w:t>провадження системи заг</w:t>
      </w:r>
      <w:r w:rsidR="00697372" w:rsidRPr="0078696C">
        <w:rPr>
          <w:rFonts w:ascii="Times New Roman" w:eastAsia="Times New Roman" w:hAnsi="Times New Roman"/>
          <w:color w:val="000000"/>
          <w:sz w:val="28"/>
          <w:szCs w:val="28"/>
          <w:lang w:eastAsia="ru-RU"/>
        </w:rPr>
        <w:t>ального пенсійного забезпечення;</w:t>
      </w:r>
    </w:p>
    <w:p w:rsidR="00697372" w:rsidRPr="0078696C" w:rsidRDefault="00E817B0" w:rsidP="00697372">
      <w:pPr>
        <w:numPr>
          <w:ilvl w:val="0"/>
          <w:numId w:val="41"/>
        </w:numPr>
        <w:spacing w:after="0" w:line="360" w:lineRule="auto"/>
        <w:ind w:left="426"/>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1948-1960 р</w:t>
      </w:r>
      <w:r w:rsidR="00697372"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р. </w:t>
      </w:r>
      <w:r w:rsidR="00697372" w:rsidRPr="0078696C">
        <w:rPr>
          <w:rFonts w:ascii="Times New Roman" w:eastAsia="Times New Roman" w:hAnsi="Times New Roman"/>
          <w:color w:val="000000"/>
          <w:sz w:val="28"/>
          <w:szCs w:val="28"/>
          <w:lang w:eastAsia="ru-RU"/>
        </w:rPr>
        <w:t>– в</w:t>
      </w:r>
      <w:r w:rsidRPr="0078696C">
        <w:rPr>
          <w:rFonts w:ascii="Times New Roman" w:eastAsia="Times New Roman" w:hAnsi="Times New Roman"/>
          <w:color w:val="000000"/>
          <w:sz w:val="28"/>
          <w:szCs w:val="28"/>
          <w:lang w:eastAsia="ru-RU"/>
        </w:rPr>
        <w:t>провадження народної пенсії</w:t>
      </w:r>
      <w:r w:rsidR="00697372" w:rsidRPr="0078696C">
        <w:rPr>
          <w:rFonts w:ascii="Times New Roman" w:eastAsia="Times New Roman" w:hAnsi="Times New Roman"/>
          <w:color w:val="000000"/>
          <w:sz w:val="28"/>
          <w:szCs w:val="28"/>
          <w:lang w:eastAsia="ru-RU"/>
        </w:rPr>
        <w:t>;</w:t>
      </w:r>
    </w:p>
    <w:p w:rsidR="00E817B0" w:rsidRPr="0078696C" w:rsidRDefault="00E817B0" w:rsidP="00697372">
      <w:pPr>
        <w:numPr>
          <w:ilvl w:val="0"/>
          <w:numId w:val="41"/>
        </w:numPr>
        <w:spacing w:after="0" w:line="360" w:lineRule="auto"/>
        <w:ind w:left="426"/>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1960-1999 р</w:t>
      </w:r>
      <w:r w:rsidR="00697372"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р. </w:t>
      </w:r>
      <w:r w:rsidR="00697372" w:rsidRPr="0078696C">
        <w:rPr>
          <w:rFonts w:ascii="Times New Roman" w:eastAsia="Times New Roman" w:hAnsi="Times New Roman"/>
          <w:color w:val="000000"/>
          <w:sz w:val="28"/>
          <w:szCs w:val="28"/>
          <w:lang w:eastAsia="ru-RU"/>
        </w:rPr>
        <w:t>– в</w:t>
      </w:r>
      <w:r w:rsidRPr="0078696C">
        <w:rPr>
          <w:rFonts w:ascii="Times New Roman" w:eastAsia="Times New Roman" w:hAnsi="Times New Roman"/>
          <w:color w:val="000000"/>
          <w:sz w:val="28"/>
          <w:szCs w:val="28"/>
          <w:lang w:eastAsia="ru-RU"/>
        </w:rPr>
        <w:t>провадження загальної пенсії за вислугу років (загальна трудова додаткова пенсія або АТП-</w:t>
      </w:r>
      <w:r w:rsidR="00697372" w:rsidRPr="0078696C">
        <w:rPr>
          <w:rFonts w:ascii="Times New Roman" w:eastAsia="Times New Roman" w:hAnsi="Times New Roman"/>
          <w:color w:val="000000"/>
          <w:sz w:val="28"/>
          <w:szCs w:val="28"/>
          <w:lang w:eastAsia="ru-RU"/>
        </w:rPr>
        <w:t xml:space="preserve"> пенсія);</w:t>
      </w:r>
    </w:p>
    <w:p w:rsidR="00697372" w:rsidRPr="0078696C" w:rsidRDefault="00E817B0" w:rsidP="00E817B0">
      <w:pPr>
        <w:numPr>
          <w:ilvl w:val="0"/>
          <w:numId w:val="41"/>
        </w:numPr>
        <w:spacing w:after="0" w:line="360" w:lineRule="auto"/>
        <w:ind w:left="426"/>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1999 </w:t>
      </w:r>
      <w:r w:rsidR="00697372" w:rsidRPr="0078696C">
        <w:rPr>
          <w:rFonts w:ascii="Times New Roman" w:eastAsia="Times New Roman" w:hAnsi="Times New Roman"/>
          <w:color w:val="000000"/>
          <w:sz w:val="28"/>
          <w:szCs w:val="28"/>
          <w:lang w:eastAsia="ru-RU"/>
        </w:rPr>
        <w:t xml:space="preserve">р.- даний час – </w:t>
      </w:r>
      <w:r w:rsidRPr="0078696C">
        <w:rPr>
          <w:rFonts w:ascii="Times New Roman" w:eastAsia="Times New Roman" w:hAnsi="Times New Roman"/>
          <w:color w:val="000000"/>
          <w:sz w:val="28"/>
          <w:szCs w:val="28"/>
          <w:lang w:eastAsia="ru-RU"/>
        </w:rPr>
        <w:t>змішана пенсійна система</w:t>
      </w:r>
      <w:r w:rsidR="00697372" w:rsidRPr="0078696C">
        <w:rPr>
          <w:rFonts w:ascii="Times New Roman" w:eastAsia="Times New Roman" w:hAnsi="Times New Roman"/>
          <w:color w:val="000000"/>
          <w:sz w:val="28"/>
          <w:szCs w:val="28"/>
          <w:vertAlign w:val="superscript"/>
          <w:lang w:eastAsia="ru-RU"/>
        </w:rPr>
        <w:footnoteReference w:id="313"/>
      </w:r>
      <w:r w:rsidRPr="0078696C">
        <w:rPr>
          <w:rFonts w:ascii="Times New Roman" w:eastAsia="Times New Roman" w:hAnsi="Times New Roman"/>
          <w:color w:val="000000"/>
          <w:sz w:val="28"/>
          <w:szCs w:val="28"/>
          <w:lang w:eastAsia="ru-RU"/>
        </w:rPr>
        <w:t>.</w:t>
      </w:r>
    </w:p>
    <w:p w:rsidR="00EC5317" w:rsidRPr="0078696C" w:rsidRDefault="00543148" w:rsidP="00BE4EF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Перші виплати по новій систе</w:t>
      </w:r>
      <w:r w:rsidR="00C37984" w:rsidRPr="0078696C">
        <w:rPr>
          <w:rFonts w:ascii="Times New Roman" w:eastAsia="Times New Roman" w:hAnsi="Times New Roman"/>
          <w:color w:val="000000"/>
          <w:sz w:val="28"/>
          <w:szCs w:val="28"/>
          <w:lang w:eastAsia="ru-RU"/>
        </w:rPr>
        <w:t>мі були зроблені у Швеції в 2001</w:t>
      </w:r>
      <w:r w:rsidRPr="0078696C">
        <w:rPr>
          <w:rFonts w:ascii="Times New Roman" w:eastAsia="Times New Roman" w:hAnsi="Times New Roman"/>
          <w:color w:val="000000"/>
          <w:sz w:val="28"/>
          <w:szCs w:val="28"/>
          <w:lang w:eastAsia="ru-RU"/>
        </w:rPr>
        <w:t xml:space="preserve"> році. </w:t>
      </w:r>
      <w:r w:rsidRPr="0078696C">
        <w:rPr>
          <w:rFonts w:ascii="Times New Roman" w:eastAsia="Times New Roman" w:hAnsi="Times New Roman"/>
          <w:color w:val="000000"/>
          <w:sz w:val="28"/>
          <w:szCs w:val="28"/>
          <w:lang w:eastAsia="ru-RU"/>
        </w:rPr>
        <w:br/>
        <w:t xml:space="preserve">З того часу і дотепер шведська пенсійна система </w:t>
      </w:r>
      <w:r w:rsidR="00C37984" w:rsidRPr="0078696C">
        <w:rPr>
          <w:rFonts w:ascii="Times New Roman" w:eastAsia="Times New Roman" w:hAnsi="Times New Roman"/>
          <w:color w:val="000000"/>
          <w:sz w:val="28"/>
          <w:szCs w:val="28"/>
          <w:lang w:eastAsia="ru-RU"/>
        </w:rPr>
        <w:t xml:space="preserve">є однією з найкращих серед європейських країн </w:t>
      </w:r>
      <w:r w:rsidR="00445460" w:rsidRPr="0078696C">
        <w:rPr>
          <w:rStyle w:val="a8"/>
          <w:rFonts w:ascii="Times New Roman" w:eastAsia="Times New Roman" w:hAnsi="Times New Roman"/>
          <w:color w:val="000000"/>
          <w:sz w:val="28"/>
          <w:szCs w:val="28"/>
          <w:lang w:eastAsia="ru-RU"/>
        </w:rPr>
        <w:footnoteReference w:id="314"/>
      </w:r>
      <w:r w:rsidRPr="0078696C">
        <w:rPr>
          <w:rFonts w:ascii="Times New Roman" w:eastAsia="Times New Roman" w:hAnsi="Times New Roman"/>
          <w:color w:val="000000"/>
          <w:sz w:val="28"/>
          <w:szCs w:val="28"/>
          <w:lang w:eastAsia="ru-RU"/>
        </w:rPr>
        <w:t>.</w:t>
      </w:r>
    </w:p>
    <w:p w:rsidR="00CE668F" w:rsidRPr="0078696C" w:rsidRDefault="00543148" w:rsidP="00BE4EF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Підсумовуючи, зазначимо, що, безумовно, в створеній в Швеції пенсійній системі міститься ціла низка позитивних моментів. Система умовно накопичувальних рахунків дозволяє уникнути багатьо</w:t>
      </w:r>
      <w:r w:rsidR="00697372" w:rsidRPr="0078696C">
        <w:rPr>
          <w:rFonts w:ascii="Times New Roman" w:eastAsia="Times New Roman" w:hAnsi="Times New Roman"/>
          <w:color w:val="000000"/>
          <w:sz w:val="28"/>
          <w:szCs w:val="28"/>
          <w:lang w:eastAsia="ru-RU"/>
        </w:rPr>
        <w:t>х недоліків, властивих солідарні</w:t>
      </w:r>
      <w:r w:rsidRPr="0078696C">
        <w:rPr>
          <w:rFonts w:ascii="Times New Roman" w:eastAsia="Times New Roman" w:hAnsi="Times New Roman"/>
          <w:color w:val="000000"/>
          <w:sz w:val="28"/>
          <w:szCs w:val="28"/>
          <w:lang w:eastAsia="ru-RU"/>
        </w:rPr>
        <w:t xml:space="preserve">й і чисто накопичувальній системам. </w:t>
      </w:r>
    </w:p>
    <w:p w:rsidR="00361061" w:rsidRPr="0078696C" w:rsidRDefault="00361061" w:rsidP="00BE4EF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Проведений вище аналіз показав, що пенсійні системи країн ЄС є багаторівневими, та складаються, в основному, із програм державного </w:t>
      </w:r>
      <w:r w:rsidRPr="0078696C">
        <w:rPr>
          <w:rFonts w:ascii="Times New Roman" w:eastAsia="Times New Roman" w:hAnsi="Times New Roman"/>
          <w:color w:val="000000"/>
          <w:sz w:val="28"/>
          <w:szCs w:val="28"/>
          <w:lang w:eastAsia="ru-RU"/>
        </w:rPr>
        <w:lastRenderedPageBreak/>
        <w:t>пенсійного забезпечення, професійного страхування та приватних накопичувальних програм.</w:t>
      </w:r>
    </w:p>
    <w:p w:rsidR="00457A9E" w:rsidRPr="0078696C" w:rsidRDefault="00361061" w:rsidP="00BE4EF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З огляду на значну відмінність у існуючих додаткових схемах пенсійного забезпечення </w:t>
      </w:r>
      <w:r w:rsidR="00457A9E" w:rsidRPr="0078696C">
        <w:rPr>
          <w:rFonts w:ascii="Times New Roman" w:eastAsia="Times New Roman" w:hAnsi="Times New Roman"/>
          <w:color w:val="000000"/>
          <w:sz w:val="28"/>
          <w:szCs w:val="28"/>
          <w:lang w:eastAsia="ru-RU"/>
        </w:rPr>
        <w:t>різних європейських країн, вважаємо за доцільне зупинитися на основних їх різновидах.</w:t>
      </w:r>
    </w:p>
    <w:p w:rsidR="00457A9E" w:rsidRPr="0078696C" w:rsidRDefault="00116DF2" w:rsidP="002F2913">
      <w:pPr>
        <w:spacing w:after="0" w:line="240" w:lineRule="auto"/>
        <w:ind w:firstLine="709"/>
        <w:jc w:val="center"/>
        <w:rPr>
          <w:rFonts w:ascii="Times New Roman" w:eastAsia="Times New Roman" w:hAnsi="Times New Roman"/>
          <w:b/>
          <w:color w:val="000000"/>
          <w:sz w:val="28"/>
          <w:szCs w:val="28"/>
          <w:lang w:eastAsia="ru-RU"/>
        </w:rPr>
      </w:pPr>
      <w:r w:rsidRPr="0078696C">
        <w:rPr>
          <w:rFonts w:ascii="Times New Roman" w:eastAsia="Times New Roman" w:hAnsi="Times New Roman"/>
          <w:b/>
          <w:color w:val="000000"/>
          <w:sz w:val="28"/>
          <w:szCs w:val="28"/>
          <w:lang w:eastAsia="ru-RU"/>
        </w:rPr>
        <w:t>Таблиця 3.3</w:t>
      </w:r>
      <w:r w:rsidR="00457A9E" w:rsidRPr="0078696C">
        <w:rPr>
          <w:rFonts w:ascii="Times New Roman" w:eastAsia="Times New Roman" w:hAnsi="Times New Roman"/>
          <w:b/>
          <w:color w:val="000000"/>
          <w:sz w:val="28"/>
          <w:szCs w:val="28"/>
          <w:lang w:eastAsia="ru-RU"/>
        </w:rPr>
        <w:t xml:space="preserve"> Класифікація систем додаткового пенсійного страхування</w:t>
      </w:r>
    </w:p>
    <w:tbl>
      <w:tblPr>
        <w:tblStyle w:val="ae"/>
        <w:tblW w:w="0" w:type="auto"/>
        <w:jc w:val="center"/>
        <w:tblLook w:val="04A0"/>
      </w:tblPr>
      <w:tblGrid>
        <w:gridCol w:w="3285"/>
        <w:gridCol w:w="3285"/>
        <w:gridCol w:w="3285"/>
      </w:tblGrid>
      <w:tr w:rsidR="00327824" w:rsidRPr="0078696C" w:rsidTr="00AA06C0">
        <w:trPr>
          <w:jc w:val="center"/>
        </w:trPr>
        <w:tc>
          <w:tcPr>
            <w:tcW w:w="3285" w:type="dxa"/>
          </w:tcPr>
          <w:p w:rsidR="00327824" w:rsidRPr="0078696C" w:rsidRDefault="00327824" w:rsidP="00327824">
            <w:pPr>
              <w:spacing w:after="0" w:line="240" w:lineRule="auto"/>
              <w:jc w:val="both"/>
              <w:rPr>
                <w:rFonts w:ascii="Times New Roman" w:eastAsia="Times New Roman" w:hAnsi="Times New Roman"/>
                <w:color w:val="000000"/>
                <w:sz w:val="24"/>
                <w:szCs w:val="28"/>
                <w:lang w:eastAsia="ru-RU"/>
              </w:rPr>
            </w:pPr>
          </w:p>
        </w:tc>
        <w:tc>
          <w:tcPr>
            <w:tcW w:w="3285" w:type="dxa"/>
          </w:tcPr>
          <w:p w:rsidR="00327824" w:rsidRPr="0078696C" w:rsidRDefault="00327824" w:rsidP="00AA06C0">
            <w:pPr>
              <w:spacing w:after="0" w:line="240" w:lineRule="auto"/>
              <w:jc w:val="center"/>
              <w:rPr>
                <w:rFonts w:ascii="Times New Roman" w:eastAsia="Times New Roman" w:hAnsi="Times New Roman"/>
                <w:b/>
                <w:color w:val="000000"/>
                <w:sz w:val="24"/>
                <w:szCs w:val="28"/>
                <w:lang w:eastAsia="ru-RU"/>
              </w:rPr>
            </w:pPr>
            <w:r w:rsidRPr="0078696C">
              <w:rPr>
                <w:rFonts w:ascii="Times New Roman" w:eastAsia="Times New Roman" w:hAnsi="Times New Roman"/>
                <w:b/>
                <w:color w:val="000000"/>
                <w:sz w:val="24"/>
                <w:szCs w:val="28"/>
                <w:lang w:eastAsia="ru-RU"/>
              </w:rPr>
              <w:t>Універсальні пенсійні системи</w:t>
            </w:r>
          </w:p>
        </w:tc>
        <w:tc>
          <w:tcPr>
            <w:tcW w:w="3285" w:type="dxa"/>
          </w:tcPr>
          <w:p w:rsidR="00327824" w:rsidRPr="0078696C" w:rsidRDefault="00327824" w:rsidP="00AA06C0">
            <w:pPr>
              <w:spacing w:after="0" w:line="240" w:lineRule="auto"/>
              <w:jc w:val="center"/>
              <w:rPr>
                <w:rFonts w:ascii="Times New Roman" w:eastAsia="Times New Roman" w:hAnsi="Times New Roman"/>
                <w:b/>
                <w:color w:val="000000"/>
                <w:sz w:val="24"/>
                <w:szCs w:val="28"/>
                <w:lang w:eastAsia="ru-RU"/>
              </w:rPr>
            </w:pPr>
            <w:r w:rsidRPr="0078696C">
              <w:rPr>
                <w:rFonts w:ascii="Times New Roman" w:eastAsia="Times New Roman" w:hAnsi="Times New Roman"/>
                <w:b/>
                <w:color w:val="000000"/>
                <w:sz w:val="24"/>
                <w:szCs w:val="28"/>
                <w:lang w:eastAsia="ru-RU"/>
              </w:rPr>
              <w:t>Страхові пенсійні системи</w:t>
            </w:r>
          </w:p>
        </w:tc>
      </w:tr>
      <w:tr w:rsidR="00327824" w:rsidRPr="0078696C" w:rsidTr="00AA06C0">
        <w:trPr>
          <w:jc w:val="center"/>
        </w:trPr>
        <w:tc>
          <w:tcPr>
            <w:tcW w:w="3285" w:type="dxa"/>
          </w:tcPr>
          <w:p w:rsidR="00AA06C0"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 xml:space="preserve">Загальнообов’язкові </w:t>
            </w:r>
          </w:p>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(на рівні закону)</w:t>
            </w:r>
          </w:p>
        </w:tc>
        <w:tc>
          <w:tcPr>
            <w:tcW w:w="3285" w:type="dxa"/>
          </w:tcPr>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Швеція (ATP),</w:t>
            </w:r>
          </w:p>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Великобританія (SERPS, з можливістю виходу з обов'язкової системи за умови участі застрахованого у виробничій програмі пенсійного страхування),</w:t>
            </w:r>
          </w:p>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Норвегія,Фінляндія (TEL)</w:t>
            </w:r>
          </w:p>
        </w:tc>
        <w:tc>
          <w:tcPr>
            <w:tcW w:w="3285" w:type="dxa"/>
          </w:tcPr>
          <w:p w:rsidR="00AA06C0" w:rsidRPr="0078696C" w:rsidRDefault="008B7218"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 xml:space="preserve">Німеччина </w:t>
            </w:r>
          </w:p>
          <w:p w:rsidR="00327824" w:rsidRPr="0078696C" w:rsidRDefault="008B7218"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(державні службовці)</w:t>
            </w:r>
          </w:p>
        </w:tc>
      </w:tr>
      <w:tr w:rsidR="00327824" w:rsidRPr="0078696C" w:rsidTr="00AA06C0">
        <w:trPr>
          <w:jc w:val="center"/>
        </w:trPr>
        <w:tc>
          <w:tcPr>
            <w:tcW w:w="3285" w:type="dxa"/>
          </w:tcPr>
          <w:p w:rsidR="00AA06C0"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Професійні обов’язкові</w:t>
            </w:r>
          </w:p>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 xml:space="preserve"> (на рівні закону чи колективної угоди)</w:t>
            </w:r>
          </w:p>
        </w:tc>
        <w:tc>
          <w:tcPr>
            <w:tcW w:w="3285" w:type="dxa"/>
          </w:tcPr>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Дания (ATP),</w:t>
            </w:r>
          </w:p>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Швеція (ITP,STP),</w:t>
            </w:r>
          </w:p>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Нідерланди</w:t>
            </w:r>
          </w:p>
        </w:tc>
        <w:tc>
          <w:tcPr>
            <w:tcW w:w="3285" w:type="dxa"/>
          </w:tcPr>
          <w:p w:rsidR="00327824" w:rsidRPr="0078696C" w:rsidRDefault="008B7218"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Франція (AGIRC - для керівних працівників, ARRCO - для найманих працівників), Італія (для керівних працівників)</w:t>
            </w:r>
          </w:p>
        </w:tc>
      </w:tr>
      <w:tr w:rsidR="00327824" w:rsidRPr="0078696C" w:rsidTr="00AA06C0">
        <w:trPr>
          <w:jc w:val="center"/>
        </w:trPr>
        <w:tc>
          <w:tcPr>
            <w:tcW w:w="3285" w:type="dxa"/>
          </w:tcPr>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Професійні добровільні</w:t>
            </w:r>
          </w:p>
        </w:tc>
        <w:tc>
          <w:tcPr>
            <w:tcW w:w="3285" w:type="dxa"/>
          </w:tcPr>
          <w:p w:rsidR="00327824" w:rsidRPr="0078696C" w:rsidRDefault="00327824"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Нідерланди, Данія, Великобританія</w:t>
            </w:r>
          </w:p>
        </w:tc>
        <w:tc>
          <w:tcPr>
            <w:tcW w:w="3285" w:type="dxa"/>
          </w:tcPr>
          <w:p w:rsidR="00327824" w:rsidRPr="0078696C" w:rsidRDefault="008B7218" w:rsidP="00AA06C0">
            <w:pPr>
              <w:spacing w:after="0" w:line="240" w:lineRule="auto"/>
              <w:jc w:val="center"/>
              <w:rPr>
                <w:rFonts w:ascii="Times New Roman" w:eastAsia="Times New Roman" w:hAnsi="Times New Roman"/>
                <w:color w:val="000000"/>
                <w:sz w:val="24"/>
                <w:szCs w:val="28"/>
                <w:lang w:eastAsia="ru-RU"/>
              </w:rPr>
            </w:pPr>
            <w:r w:rsidRPr="0078696C">
              <w:rPr>
                <w:rFonts w:ascii="Times New Roman" w:eastAsia="Times New Roman" w:hAnsi="Times New Roman"/>
                <w:color w:val="000000"/>
                <w:sz w:val="24"/>
                <w:szCs w:val="28"/>
                <w:lang w:eastAsia="ru-RU"/>
              </w:rPr>
              <w:t>Німеччина, Ірландія, Люксембург, Португалія, Іспанія, Бельгія, Австрія</w:t>
            </w:r>
          </w:p>
        </w:tc>
      </w:tr>
    </w:tbl>
    <w:p w:rsidR="00327824" w:rsidRPr="007F3B41" w:rsidRDefault="00327824" w:rsidP="00F252D8">
      <w:pPr>
        <w:spacing w:after="0" w:line="360" w:lineRule="auto"/>
        <w:jc w:val="center"/>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Джерело: </w:t>
      </w:r>
      <w:r w:rsidR="00F252D8" w:rsidRPr="007F3B41">
        <w:rPr>
          <w:rFonts w:ascii="Times New Roman" w:eastAsia="Times New Roman" w:hAnsi="Times New Roman"/>
          <w:color w:val="000000"/>
          <w:sz w:val="28"/>
          <w:szCs w:val="28"/>
          <w:lang w:eastAsia="ru-RU"/>
        </w:rPr>
        <w:t>[3]</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Якщо узагальнити досвід проведення реформ у сфері пенсійного забезпечення</w:t>
      </w:r>
      <w:r w:rsidR="0008798B" w:rsidRPr="0078696C">
        <w:rPr>
          <w:rFonts w:ascii="Times New Roman" w:eastAsia="Times New Roman" w:hAnsi="Times New Roman"/>
          <w:color w:val="000000"/>
          <w:sz w:val="28"/>
          <w:szCs w:val="28"/>
          <w:lang w:eastAsia="ru-RU"/>
        </w:rPr>
        <w:t xml:space="preserve"> в європейських країнах</w:t>
      </w:r>
      <w:r w:rsidRPr="0078696C">
        <w:rPr>
          <w:rFonts w:ascii="Times New Roman" w:eastAsia="Times New Roman" w:hAnsi="Times New Roman"/>
          <w:color w:val="000000"/>
          <w:sz w:val="28"/>
          <w:szCs w:val="28"/>
          <w:lang w:eastAsia="ru-RU"/>
        </w:rPr>
        <w:t xml:space="preserve">, то можна зробити висновок, згідно з яким, на сучасному етапі розвитку інститутів пенсійної системи відбуваються перетворення пенсійних систем в накопичувальні або змішані пенсійні системи, які містять елементи як схем з визначеними виплатами, так і схем з фіксованими внесками. В рамках здійснюваних перетворень пенсійних інститутів </w:t>
      </w:r>
      <w:r w:rsidR="0008798B" w:rsidRPr="0078696C">
        <w:rPr>
          <w:rFonts w:ascii="Times New Roman" w:eastAsia="Times New Roman" w:hAnsi="Times New Roman"/>
          <w:color w:val="000000"/>
          <w:sz w:val="28"/>
          <w:szCs w:val="28"/>
          <w:lang w:eastAsia="ru-RU"/>
        </w:rPr>
        <w:t>містяться як</w:t>
      </w:r>
      <w:r w:rsidRPr="0078696C">
        <w:rPr>
          <w:rFonts w:ascii="Times New Roman" w:eastAsia="Times New Roman" w:hAnsi="Times New Roman"/>
          <w:color w:val="000000"/>
          <w:sz w:val="28"/>
          <w:szCs w:val="28"/>
          <w:lang w:eastAsia="ru-RU"/>
        </w:rPr>
        <w:t xml:space="preserve"> переваги</w:t>
      </w:r>
      <w:r w:rsidR="0008798B" w:rsidRPr="0078696C">
        <w:rPr>
          <w:rFonts w:ascii="Times New Roman" w:eastAsia="Times New Roman" w:hAnsi="Times New Roman"/>
          <w:color w:val="000000"/>
          <w:sz w:val="28"/>
          <w:szCs w:val="28"/>
          <w:lang w:eastAsia="ru-RU"/>
        </w:rPr>
        <w:t>, так</w:t>
      </w:r>
      <w:r w:rsidRPr="0078696C">
        <w:rPr>
          <w:rFonts w:ascii="Times New Roman" w:eastAsia="Times New Roman" w:hAnsi="Times New Roman"/>
          <w:color w:val="000000"/>
          <w:sz w:val="28"/>
          <w:szCs w:val="28"/>
          <w:lang w:eastAsia="ru-RU"/>
        </w:rPr>
        <w:t xml:space="preserve"> і недоліки на</w:t>
      </w:r>
      <w:r w:rsidR="0008798B" w:rsidRPr="0078696C">
        <w:rPr>
          <w:rFonts w:ascii="Times New Roman" w:eastAsia="Times New Roman" w:hAnsi="Times New Roman"/>
          <w:color w:val="000000"/>
          <w:sz w:val="28"/>
          <w:szCs w:val="28"/>
          <w:lang w:eastAsia="ru-RU"/>
        </w:rPr>
        <w:t>копичувальної пенсійної системи</w:t>
      </w:r>
      <w:r w:rsidRPr="0078696C">
        <w:rPr>
          <w:rFonts w:ascii="Times New Roman" w:eastAsia="Times New Roman" w:hAnsi="Times New Roman"/>
          <w:color w:val="000000"/>
          <w:sz w:val="28"/>
          <w:szCs w:val="28"/>
          <w:lang w:eastAsia="ru-RU"/>
        </w:rPr>
        <w:t xml:space="preserve">. </w:t>
      </w:r>
      <w:r w:rsidR="0008798B" w:rsidRPr="0078696C">
        <w:rPr>
          <w:rFonts w:ascii="Times New Roman" w:eastAsia="Times New Roman" w:hAnsi="Times New Roman"/>
          <w:color w:val="000000"/>
          <w:sz w:val="28"/>
          <w:szCs w:val="28"/>
          <w:lang w:eastAsia="ru-RU"/>
        </w:rPr>
        <w:t>З</w:t>
      </w:r>
      <w:r w:rsidRPr="0078696C">
        <w:rPr>
          <w:rFonts w:ascii="Times New Roman" w:eastAsia="Times New Roman" w:hAnsi="Times New Roman"/>
          <w:color w:val="000000"/>
          <w:sz w:val="28"/>
          <w:szCs w:val="28"/>
          <w:lang w:eastAsia="ru-RU"/>
        </w:rPr>
        <w:t xml:space="preserve"> одного боку, накопичувальні системи мають більші грошовіресурси, які можуть використовуватися на виплату пенсій особам, які відраховують внески в систему пенсійного страхування з зароблених ними протягом періоду трудової діяльності заробітків. Однак, з іншого боку, накопичувальні системи, </w:t>
      </w:r>
      <w:r w:rsidR="0008798B" w:rsidRPr="0078696C">
        <w:rPr>
          <w:rFonts w:ascii="Times New Roman" w:eastAsia="Times New Roman" w:hAnsi="Times New Roman"/>
          <w:color w:val="000000"/>
          <w:sz w:val="28"/>
          <w:szCs w:val="28"/>
          <w:lang w:eastAsia="ru-RU"/>
        </w:rPr>
        <w:t>які існують</w:t>
      </w:r>
      <w:r w:rsidR="007A70F3">
        <w:rPr>
          <w:rFonts w:ascii="Times New Roman" w:eastAsia="Times New Roman" w:hAnsi="Times New Roman"/>
          <w:color w:val="000000"/>
          <w:sz w:val="28"/>
          <w:szCs w:val="28"/>
          <w:lang w:eastAsia="ru-RU"/>
        </w:rPr>
        <w:t xml:space="preserve"> </w:t>
      </w:r>
      <w:r w:rsidR="0008798B" w:rsidRPr="0078696C">
        <w:rPr>
          <w:rFonts w:ascii="Times New Roman" w:eastAsia="Times New Roman" w:hAnsi="Times New Roman"/>
          <w:color w:val="000000"/>
          <w:sz w:val="28"/>
          <w:szCs w:val="28"/>
          <w:lang w:eastAsia="ru-RU"/>
        </w:rPr>
        <w:t>у</w:t>
      </w:r>
      <w:r w:rsidRPr="0078696C">
        <w:rPr>
          <w:rFonts w:ascii="Times New Roman" w:eastAsia="Times New Roman" w:hAnsi="Times New Roman"/>
          <w:color w:val="000000"/>
          <w:sz w:val="28"/>
          <w:szCs w:val="28"/>
          <w:lang w:eastAsia="ru-RU"/>
        </w:rPr>
        <w:t xml:space="preserve"> чистому вигляді, не здатні вберегти громадян похилого віку, включаючи навіть тих, хто отримував середній дохід, будучи працівником, від </w:t>
      </w:r>
      <w:r w:rsidRPr="0078696C">
        <w:rPr>
          <w:rFonts w:ascii="Times New Roman" w:eastAsia="Times New Roman" w:hAnsi="Times New Roman"/>
          <w:color w:val="000000"/>
          <w:sz w:val="28"/>
          <w:szCs w:val="28"/>
          <w:lang w:eastAsia="ru-RU"/>
        </w:rPr>
        <w:lastRenderedPageBreak/>
        <w:t>ризику опинитися в скрутному матеріальному становищі після виходу на пенсію. Виходячи з цього, в якості найбільш бажаного результату інституційних перетворень пенсійної системи, що відноситься, в тому числі і до України, можна розглядати змішану пенсійну систему.</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Оптимальний варіант організації такої пенсійної системи передбачає існування в її рамках таких інститутів як базова пенсія, яка призначається всім громадянам, які втратили працездатність внаслідок інвалідності або досягнення пенсійного віку, трудова пенсія, що залежить від трудового стажу і заробітку працівника до його виходу на пенсію, і недержавна пенсія, яка може розглядатися як додаткова до перших двох і може існувати як у вигляді корпоративних, так і індивідуальних пенсійних планів, особистих накопичень громадян, що розміщуються ними в недержавних пенсійних фондах і страхових компаніях.</w:t>
      </w:r>
    </w:p>
    <w:p w:rsidR="00543148" w:rsidRPr="0078696C" w:rsidRDefault="00543148" w:rsidP="009D5127">
      <w:pPr>
        <w:spacing w:after="0" w:line="360" w:lineRule="auto"/>
        <w:jc w:val="both"/>
        <w:rPr>
          <w:rFonts w:ascii="Times New Roman" w:eastAsia="Times New Roman" w:hAnsi="Times New Roman"/>
          <w:color w:val="000000"/>
          <w:sz w:val="28"/>
          <w:szCs w:val="28"/>
          <w:lang w:eastAsia="ru-RU"/>
        </w:rPr>
      </w:pPr>
    </w:p>
    <w:p w:rsidR="00543148" w:rsidRPr="0078696C" w:rsidRDefault="00543148" w:rsidP="000F05FB">
      <w:pPr>
        <w:spacing w:after="0" w:line="360" w:lineRule="auto"/>
        <w:ind w:firstLine="709"/>
        <w:jc w:val="both"/>
        <w:rPr>
          <w:rFonts w:ascii="Times New Roman" w:eastAsia="Times New Roman" w:hAnsi="Times New Roman"/>
          <w:b/>
          <w:color w:val="000000"/>
          <w:sz w:val="28"/>
          <w:szCs w:val="28"/>
          <w:lang w:eastAsia="ru-RU"/>
        </w:rPr>
      </w:pPr>
      <w:r w:rsidRPr="0078696C">
        <w:rPr>
          <w:rFonts w:ascii="Times New Roman" w:eastAsia="Times New Roman" w:hAnsi="Times New Roman"/>
          <w:b/>
          <w:color w:val="000000"/>
          <w:sz w:val="28"/>
          <w:szCs w:val="28"/>
          <w:lang w:eastAsia="ru-RU"/>
        </w:rPr>
        <w:t>3.2 Новітні тенденції реформування пенсійних систем окремих країн ЄС</w:t>
      </w:r>
    </w:p>
    <w:p w:rsidR="00322F27" w:rsidRPr="0078696C" w:rsidRDefault="00322F27" w:rsidP="00322F2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Дискусія з питань реформування пенсійних систем набула широкого масштабу після публікації доповіді Світового банку в 1994 р</w:t>
      </w:r>
      <w:r w:rsidR="004F1933" w:rsidRPr="0078696C">
        <w:rPr>
          <w:rFonts w:ascii="Times New Roman" w:eastAsia="Times New Roman" w:hAnsi="Times New Roman"/>
          <w:color w:val="000000"/>
          <w:sz w:val="28"/>
          <w:szCs w:val="28"/>
          <w:lang w:eastAsia="ru-RU"/>
        </w:rPr>
        <w:t>оку.</w:t>
      </w:r>
      <w:r w:rsidRPr="0078696C">
        <w:rPr>
          <w:rFonts w:ascii="Times New Roman" w:eastAsia="Times New Roman" w:hAnsi="Times New Roman"/>
          <w:color w:val="000000"/>
          <w:sz w:val="28"/>
          <w:szCs w:val="28"/>
          <w:lang w:eastAsia="ru-RU"/>
        </w:rPr>
        <w:t xml:space="preserve"> Основною проблемою, </w:t>
      </w:r>
      <w:r w:rsidR="004F1933" w:rsidRPr="0078696C">
        <w:rPr>
          <w:rFonts w:ascii="Times New Roman" w:eastAsia="Times New Roman" w:hAnsi="Times New Roman"/>
          <w:color w:val="000000"/>
          <w:sz w:val="28"/>
          <w:szCs w:val="28"/>
          <w:lang w:eastAsia="ru-RU"/>
        </w:rPr>
        <w:t>піднятою</w:t>
      </w:r>
      <w:r w:rsidRPr="0078696C">
        <w:rPr>
          <w:rFonts w:ascii="Times New Roman" w:eastAsia="Times New Roman" w:hAnsi="Times New Roman"/>
          <w:color w:val="000000"/>
          <w:sz w:val="28"/>
          <w:szCs w:val="28"/>
          <w:lang w:eastAsia="ru-RU"/>
        </w:rPr>
        <w:t xml:space="preserve"> у доповіді, </w:t>
      </w:r>
      <w:r w:rsidR="004F1933" w:rsidRPr="0078696C">
        <w:rPr>
          <w:rFonts w:ascii="Times New Roman" w:eastAsia="Times New Roman" w:hAnsi="Times New Roman"/>
          <w:color w:val="000000"/>
          <w:sz w:val="28"/>
          <w:szCs w:val="28"/>
          <w:lang w:eastAsia="ru-RU"/>
        </w:rPr>
        <w:t>є</w:t>
      </w:r>
      <w:r w:rsidRPr="0078696C">
        <w:rPr>
          <w:rFonts w:ascii="Times New Roman" w:eastAsia="Times New Roman" w:hAnsi="Times New Roman"/>
          <w:color w:val="000000"/>
          <w:sz w:val="28"/>
          <w:szCs w:val="28"/>
          <w:lang w:eastAsia="ru-RU"/>
        </w:rPr>
        <w:t xml:space="preserve"> підвищення тривалості життя населення і, як наслідок, прогнозований дефіцит коштів для </w:t>
      </w:r>
      <w:r w:rsidR="004F1933" w:rsidRPr="0078696C">
        <w:rPr>
          <w:rFonts w:ascii="Times New Roman" w:eastAsia="Times New Roman" w:hAnsi="Times New Roman"/>
          <w:color w:val="000000"/>
          <w:sz w:val="28"/>
          <w:szCs w:val="28"/>
          <w:lang w:eastAsia="ru-RU"/>
        </w:rPr>
        <w:t xml:space="preserve">виплат пенсій </w:t>
      </w:r>
      <w:r w:rsidRPr="0078696C">
        <w:rPr>
          <w:rStyle w:val="a8"/>
          <w:rFonts w:ascii="Times New Roman" w:eastAsia="Times New Roman" w:hAnsi="Times New Roman"/>
          <w:color w:val="000000"/>
          <w:sz w:val="28"/>
          <w:szCs w:val="28"/>
          <w:lang w:eastAsia="ru-RU"/>
        </w:rPr>
        <w:footnoteReference w:id="315"/>
      </w:r>
      <w:r w:rsidR="004F1933"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Починаючи з 2000 р. Європейська комісія бере активну участь у реформуванні пенсійних систем держав-членів Європейського союзу.</w:t>
      </w:r>
    </w:p>
    <w:p w:rsidR="00543148" w:rsidRPr="0078696C" w:rsidRDefault="00543148" w:rsidP="0073292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Негативні демографічні та економічні тенденції змушують уряди європейських країн постійно переглядати їх пенсійні стандарти. В зв’язку з цим, практично в усіх країнах Євросоюзу початок ХХІ ст. є періодом активного здійснення пенсійних реформ. Звісно, кожній країні притаманні свої механізми державно-управлінського впливу, та не зважаючи на всі відмінності в </w:t>
      </w:r>
      <w:r w:rsidRPr="0078696C">
        <w:rPr>
          <w:rFonts w:ascii="Times New Roman" w:eastAsia="Times New Roman" w:hAnsi="Times New Roman"/>
          <w:color w:val="000000"/>
          <w:sz w:val="28"/>
          <w:szCs w:val="28"/>
          <w:lang w:eastAsia="ru-RU"/>
        </w:rPr>
        <w:lastRenderedPageBreak/>
        <w:t>реформах, є один загальний істотний елемент – всі реформи в різній мірі зводяться до введення в пенсійну систему накопичувального елементу.</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Результатами дослідження О. Макаренка є виявлення тенденції посилення впливу недержавних фондів та об’єднань і суттєве послаблення прямого впливу держави на здійснення соціального захисту населення. </w:t>
      </w:r>
      <w:r w:rsidR="001A1D57" w:rsidRPr="0078696C">
        <w:rPr>
          <w:rFonts w:ascii="Times New Roman" w:eastAsia="Times New Roman" w:hAnsi="Times New Roman"/>
          <w:color w:val="000000"/>
          <w:sz w:val="28"/>
          <w:szCs w:val="28"/>
          <w:lang w:eastAsia="ru-RU"/>
        </w:rPr>
        <w:t xml:space="preserve">Реалізація соціальної політики в умовах посилення впливу цих тенденцій потребує її удосконалення на засадах інституалізації й подальшого розвитку соціального партнерства, використання європейських стандартів адміністрування, у тому числі запровадження відносин реординації в управлінні </w:t>
      </w:r>
      <w:r w:rsidRPr="0078696C">
        <w:rPr>
          <w:rStyle w:val="a8"/>
          <w:rFonts w:ascii="Times New Roman" w:eastAsia="Times New Roman" w:hAnsi="Times New Roman"/>
          <w:color w:val="000000"/>
          <w:sz w:val="28"/>
          <w:szCs w:val="28"/>
          <w:lang w:eastAsia="ru-RU"/>
        </w:rPr>
        <w:footnoteReference w:id="316"/>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Крім того, в офіційних документах </w:t>
      </w:r>
      <w:r w:rsidR="00430EE7" w:rsidRPr="0078696C">
        <w:rPr>
          <w:rFonts w:ascii="Times New Roman" w:eastAsia="Times New Roman" w:hAnsi="Times New Roman"/>
          <w:color w:val="000000"/>
          <w:sz w:val="28"/>
          <w:szCs w:val="28"/>
          <w:lang w:eastAsia="ru-RU"/>
        </w:rPr>
        <w:t xml:space="preserve">Світового </w:t>
      </w:r>
      <w:r w:rsidR="00942ABA" w:rsidRPr="0078696C">
        <w:rPr>
          <w:rFonts w:ascii="Times New Roman" w:eastAsia="Times New Roman" w:hAnsi="Times New Roman"/>
          <w:color w:val="000000"/>
          <w:sz w:val="28"/>
          <w:szCs w:val="28"/>
          <w:lang w:eastAsia="ru-RU"/>
        </w:rPr>
        <w:t>б</w:t>
      </w:r>
      <w:r w:rsidR="00430EE7" w:rsidRPr="0078696C">
        <w:rPr>
          <w:rFonts w:ascii="Times New Roman" w:eastAsia="Times New Roman" w:hAnsi="Times New Roman"/>
          <w:color w:val="000000"/>
          <w:sz w:val="28"/>
          <w:szCs w:val="28"/>
          <w:lang w:eastAsia="ru-RU"/>
        </w:rPr>
        <w:t>анку</w:t>
      </w:r>
      <w:r w:rsidRPr="0078696C">
        <w:rPr>
          <w:rFonts w:ascii="Times New Roman" w:eastAsia="Times New Roman" w:hAnsi="Times New Roman"/>
          <w:color w:val="000000"/>
          <w:sz w:val="28"/>
          <w:szCs w:val="28"/>
          <w:lang w:eastAsia="ru-RU"/>
        </w:rPr>
        <w:t xml:space="preserve"> вказується на необхідність збереження вже досягнутих соціальних стандартів, а витрати на соціальні потреби збільшуються як у ЄС, так й в окремих його країнах </w:t>
      </w:r>
      <w:r w:rsidRPr="0078696C">
        <w:rPr>
          <w:rStyle w:val="a8"/>
          <w:rFonts w:ascii="Times New Roman" w:eastAsia="Times New Roman" w:hAnsi="Times New Roman"/>
          <w:color w:val="000000"/>
          <w:sz w:val="28"/>
          <w:szCs w:val="28"/>
          <w:lang w:eastAsia="ru-RU"/>
        </w:rPr>
        <w:footnoteReference w:id="317"/>
      </w:r>
      <w:r w:rsidRPr="0078696C">
        <w:rPr>
          <w:rFonts w:ascii="Times New Roman" w:eastAsia="Times New Roman" w:hAnsi="Times New Roman"/>
          <w:color w:val="000000"/>
          <w:sz w:val="28"/>
          <w:szCs w:val="28"/>
          <w:lang w:eastAsia="ru-RU"/>
        </w:rPr>
        <w:t xml:space="preserve">. Отже, дії країн-членів ЄС у соціальній сфері спрямовані на громадян, </w:t>
      </w:r>
      <w:r w:rsidR="00891E98" w:rsidRPr="0078696C">
        <w:rPr>
          <w:rFonts w:ascii="Times New Roman" w:eastAsia="Times New Roman" w:hAnsi="Times New Roman"/>
          <w:color w:val="000000"/>
          <w:sz w:val="28"/>
          <w:szCs w:val="28"/>
          <w:lang w:eastAsia="ru-RU"/>
        </w:rPr>
        <w:t xml:space="preserve">які </w:t>
      </w:r>
      <w:r w:rsidRPr="0078696C">
        <w:rPr>
          <w:rFonts w:ascii="Times New Roman" w:eastAsia="Times New Roman" w:hAnsi="Times New Roman"/>
          <w:color w:val="000000"/>
          <w:sz w:val="28"/>
          <w:szCs w:val="28"/>
          <w:lang w:eastAsia="ru-RU"/>
        </w:rPr>
        <w:t>дійсно потребую</w:t>
      </w:r>
      <w:r w:rsidR="00891E98" w:rsidRPr="0078696C">
        <w:rPr>
          <w:rFonts w:ascii="Times New Roman" w:eastAsia="Times New Roman" w:hAnsi="Times New Roman"/>
          <w:color w:val="000000"/>
          <w:sz w:val="28"/>
          <w:szCs w:val="28"/>
          <w:lang w:eastAsia="ru-RU"/>
        </w:rPr>
        <w:t>ть</w:t>
      </w:r>
      <w:r w:rsidRPr="0078696C">
        <w:rPr>
          <w:rFonts w:ascii="Times New Roman" w:eastAsia="Times New Roman" w:hAnsi="Times New Roman"/>
          <w:color w:val="000000"/>
          <w:sz w:val="28"/>
          <w:szCs w:val="28"/>
          <w:lang w:eastAsia="ru-RU"/>
        </w:rPr>
        <w:t xml:space="preserve"> соціальної допомоги. Це означає, що пріоритетом при проведенні соціальної політики в країн-членів ЄС є її оптимізація, а інструмент забезпечення переваг на світовому ринку – активна соціальна політика, спрямована на підвищення якості людського ресурсу та соціального розвитку.</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На дум</w:t>
      </w:r>
      <w:r w:rsidR="009D5127" w:rsidRPr="0078696C">
        <w:rPr>
          <w:rFonts w:ascii="Times New Roman" w:eastAsia="Times New Roman" w:hAnsi="Times New Roman"/>
          <w:color w:val="000000"/>
          <w:sz w:val="28"/>
          <w:szCs w:val="28"/>
          <w:lang w:eastAsia="ru-RU"/>
        </w:rPr>
        <w:t>ку</w:t>
      </w:r>
      <w:r w:rsidRPr="0078696C">
        <w:rPr>
          <w:rFonts w:ascii="Times New Roman" w:eastAsia="Times New Roman" w:hAnsi="Times New Roman"/>
          <w:color w:val="000000"/>
          <w:sz w:val="28"/>
          <w:szCs w:val="28"/>
          <w:lang w:eastAsia="ru-RU"/>
        </w:rPr>
        <w:t xml:space="preserve"> С. Мельникова, </w:t>
      </w:r>
      <w:r w:rsidR="00275444" w:rsidRPr="0078696C">
        <w:rPr>
          <w:rFonts w:ascii="Times New Roman" w:eastAsia="Times New Roman" w:hAnsi="Times New Roman"/>
          <w:color w:val="000000"/>
          <w:sz w:val="28"/>
          <w:szCs w:val="28"/>
          <w:lang w:eastAsia="ru-RU"/>
        </w:rPr>
        <w:t xml:space="preserve">загальносвітовими тенденціями у здійсненні реформ систем пенсійного страхування є обмеження державної участі у пенсійних програмах, поглиблення лібералізації у стосунках між державою та її громадянами, посилення персоніфікованих та накопичувальних форм пенсійного забезпечення, побудова соціально-орієнтованого суспільства на ринкових засадах, пошук компромісів та механізмів компенсацій з усіма елементами системи пенсійного страхування </w:t>
      </w:r>
      <w:r w:rsidRPr="0078696C">
        <w:rPr>
          <w:rStyle w:val="a8"/>
          <w:rFonts w:ascii="Times New Roman" w:eastAsia="Times New Roman" w:hAnsi="Times New Roman"/>
          <w:color w:val="000000"/>
          <w:sz w:val="28"/>
          <w:szCs w:val="28"/>
          <w:lang w:eastAsia="ru-RU"/>
        </w:rPr>
        <w:footnoteReference w:id="318"/>
      </w:r>
      <w:r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Усе частіше держави пропонують більшості населення самим нести відповідальність за свій рівень життя та своєї родини. Зі зміною ролі держави у </w:t>
      </w:r>
      <w:r w:rsidRPr="0078696C">
        <w:rPr>
          <w:rFonts w:ascii="Times New Roman" w:eastAsia="Times New Roman" w:hAnsi="Times New Roman"/>
          <w:color w:val="000000"/>
          <w:sz w:val="28"/>
          <w:szCs w:val="28"/>
          <w:lang w:eastAsia="ru-RU"/>
        </w:rPr>
        <w:lastRenderedPageBreak/>
        <w:t>вирішенні соціальних питань, зокрема – пенсійних, змінюється й підхід до ідеї рівності, яка зараз розглядається як рівність можливостей та рівність доступу до цих можливостей. Отже, заходи держави в реалізації соціальної політики спрямовуються на стимулювання й розвиток потенційних можливостей особи до самозабезпечення.</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Встановлені тенденції розвитку пенсійних систем виявляються у диверсифікації джерел надходження пенсійних внесків і поступовому збільшенні накопичувального компоненту пенсійних програм. Крім того, враховуючи ризики втрати пенсійних накопичень унаслідок дії негативних економічних, фінансових, політичних факторів, посилюється контроль держави за діяльністю пенсійних фондів, метою як</w:t>
      </w:r>
      <w:r w:rsidR="00942ABA" w:rsidRPr="0078696C">
        <w:rPr>
          <w:rFonts w:ascii="Times New Roman" w:eastAsia="Times New Roman" w:hAnsi="Times New Roman"/>
          <w:color w:val="000000"/>
          <w:sz w:val="28"/>
          <w:szCs w:val="28"/>
          <w:lang w:eastAsia="ru-RU"/>
        </w:rPr>
        <w:t>их</w:t>
      </w:r>
      <w:r w:rsidRPr="0078696C">
        <w:rPr>
          <w:rFonts w:ascii="Times New Roman" w:eastAsia="Times New Roman" w:hAnsi="Times New Roman"/>
          <w:color w:val="000000"/>
          <w:sz w:val="28"/>
          <w:szCs w:val="28"/>
          <w:lang w:eastAsia="ru-RU"/>
        </w:rPr>
        <w:t xml:space="preserve"> є захист пенсіонерів від втрати доходів та гарантування встановленого рівня життя людям похилого віку.</w:t>
      </w:r>
    </w:p>
    <w:p w:rsidR="00A72336"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Пенсійні системи різних країн мають різні характеристики, однак є подібні елементи. Так, участь держави полягає у регулюванні, покритті дефіцитів солідарних пенсійних фондів, гарантуванні мінімальної пенсії з державного бюджету. </w:t>
      </w:r>
    </w:p>
    <w:p w:rsidR="00A72336" w:rsidRPr="0078696C" w:rsidRDefault="00A72336"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 своїх аналітичних оцінках Єврокомісія виділяє дві хвилі пенсійних реформ: перша</w:t>
      </w:r>
      <w:r w:rsidR="005B2AEB" w:rsidRPr="0078696C">
        <w:rPr>
          <w:rFonts w:ascii="Times New Roman" w:eastAsia="Times New Roman" w:hAnsi="Times New Roman"/>
          <w:color w:val="000000"/>
          <w:sz w:val="28"/>
          <w:szCs w:val="28"/>
          <w:lang w:eastAsia="ru-RU"/>
        </w:rPr>
        <w:t xml:space="preserve"> хвиля охоплює період з середини 1990-х років до середини 2000-х, а початком другої хвилі умовно вважається 2008 рік </w:t>
      </w:r>
      <w:r w:rsidR="005B2AEB" w:rsidRPr="0078696C">
        <w:rPr>
          <w:rStyle w:val="a8"/>
          <w:rFonts w:ascii="Times New Roman" w:eastAsia="Times New Roman" w:hAnsi="Times New Roman"/>
          <w:color w:val="000000"/>
          <w:sz w:val="28"/>
          <w:szCs w:val="28"/>
          <w:lang w:eastAsia="ru-RU"/>
        </w:rPr>
        <w:footnoteReference w:id="319"/>
      </w:r>
      <w:r w:rsidR="005B2AEB" w:rsidRPr="0078696C">
        <w:rPr>
          <w:rFonts w:ascii="Times New Roman" w:eastAsia="Times New Roman" w:hAnsi="Times New Roman"/>
          <w:color w:val="000000"/>
          <w:sz w:val="28"/>
          <w:szCs w:val="28"/>
          <w:lang w:eastAsia="ru-RU"/>
        </w:rPr>
        <w:t>.</w:t>
      </w:r>
      <w:r w:rsidR="0064600D" w:rsidRPr="0078696C">
        <w:rPr>
          <w:rFonts w:ascii="Times New Roman" w:eastAsia="Times New Roman" w:hAnsi="Times New Roman"/>
          <w:color w:val="000000"/>
          <w:sz w:val="28"/>
          <w:szCs w:val="28"/>
          <w:lang w:eastAsia="ru-RU"/>
        </w:rPr>
        <w:t xml:space="preserve"> При цьому, зазначається, що обидві хвилі </w:t>
      </w:r>
      <w:r w:rsidR="00DD6E34" w:rsidRPr="0078696C">
        <w:rPr>
          <w:rFonts w:ascii="Times New Roman" w:eastAsia="Times New Roman" w:hAnsi="Times New Roman"/>
          <w:color w:val="000000"/>
          <w:sz w:val="28"/>
          <w:szCs w:val="28"/>
          <w:lang w:eastAsia="ru-RU"/>
        </w:rPr>
        <w:t xml:space="preserve">пенсійного реформування зумовлені дедалі більш відчутним впливом серйозних демографічних та економічних змін у розвитку об’єднаної Європи, який під час глобальної економічної кризи 2008-2009 років лише посилився </w:t>
      </w:r>
      <w:r w:rsidR="00DD6E34" w:rsidRPr="0078696C">
        <w:rPr>
          <w:rStyle w:val="a8"/>
          <w:rFonts w:ascii="Times New Roman" w:eastAsia="Times New Roman" w:hAnsi="Times New Roman"/>
          <w:color w:val="000000"/>
          <w:sz w:val="28"/>
          <w:szCs w:val="28"/>
          <w:lang w:eastAsia="ru-RU"/>
        </w:rPr>
        <w:footnoteReference w:id="320"/>
      </w:r>
      <w:r w:rsidR="00DD6E34" w:rsidRPr="0078696C">
        <w:rPr>
          <w:rFonts w:ascii="Times New Roman" w:eastAsia="Times New Roman" w:hAnsi="Times New Roman"/>
          <w:color w:val="000000"/>
          <w:sz w:val="28"/>
          <w:szCs w:val="28"/>
          <w:lang w:eastAsia="ru-RU"/>
        </w:rPr>
        <w:t>.</w:t>
      </w:r>
    </w:p>
    <w:p w:rsidR="00543148" w:rsidRPr="0078696C" w:rsidRDefault="00543148" w:rsidP="00DA2894">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Для розуміння актуальності проблеми зміни демографії та її впливу на пенсійні системи необхідно акцентувати увагу на такому важливому моменті: О. Бісмарк започаткував пенсійне забезпечення, коли середня тривалість життя становила близько 40 років (дані 1889 року), і лише 25 % населення доживала </w:t>
      </w:r>
      <w:r w:rsidRPr="0078696C">
        <w:rPr>
          <w:rFonts w:ascii="Times New Roman" w:eastAsia="Times New Roman" w:hAnsi="Times New Roman"/>
          <w:color w:val="000000"/>
          <w:sz w:val="28"/>
          <w:szCs w:val="28"/>
          <w:lang w:eastAsia="ru-RU"/>
        </w:rPr>
        <w:lastRenderedPageBreak/>
        <w:t xml:space="preserve">до 70 років </w:t>
      </w:r>
      <w:r w:rsidRPr="0078696C">
        <w:rPr>
          <w:rFonts w:ascii="Times New Roman" w:eastAsia="Times New Roman" w:hAnsi="Times New Roman"/>
          <w:color w:val="000000"/>
          <w:sz w:val="28"/>
          <w:szCs w:val="28"/>
          <w:vertAlign w:val="superscript"/>
          <w:lang w:eastAsia="ru-RU"/>
        </w:rPr>
        <w:footnoteReference w:id="321"/>
      </w:r>
      <w:r w:rsidRPr="0078696C">
        <w:rPr>
          <w:rFonts w:ascii="Times New Roman" w:eastAsia="Times New Roman" w:hAnsi="Times New Roman"/>
          <w:color w:val="000000"/>
          <w:sz w:val="28"/>
          <w:szCs w:val="28"/>
          <w:lang w:eastAsia="ru-RU"/>
        </w:rPr>
        <w:t xml:space="preserve">. Дані Світового банку свідчать, що середня тривалість життя європейців у 2015 році становила 77 років, а згідно із даним МОП, на </w:t>
      </w:r>
      <w:r w:rsidR="00845E3E" w:rsidRPr="0078696C">
        <w:rPr>
          <w:rFonts w:ascii="Times New Roman" w:eastAsia="Times New Roman" w:hAnsi="Times New Roman"/>
          <w:color w:val="000000"/>
          <w:sz w:val="28"/>
          <w:szCs w:val="28"/>
          <w:lang w:eastAsia="ru-RU"/>
        </w:rPr>
        <w:t>2015 рік</w:t>
      </w:r>
      <w:r w:rsidRPr="0078696C">
        <w:rPr>
          <w:rFonts w:ascii="Times New Roman" w:eastAsia="Times New Roman" w:hAnsi="Times New Roman"/>
          <w:color w:val="000000"/>
          <w:sz w:val="28"/>
          <w:szCs w:val="28"/>
          <w:lang w:eastAsia="ru-RU"/>
        </w:rPr>
        <w:t xml:space="preserve"> в країнах-членах ЄС налічу</w:t>
      </w:r>
      <w:r w:rsidR="00845E3E" w:rsidRPr="0078696C">
        <w:rPr>
          <w:rFonts w:ascii="Times New Roman" w:eastAsia="Times New Roman" w:hAnsi="Times New Roman"/>
          <w:color w:val="000000"/>
          <w:sz w:val="28"/>
          <w:szCs w:val="28"/>
          <w:lang w:eastAsia="ru-RU"/>
        </w:rPr>
        <w:t>вало</w:t>
      </w:r>
      <w:r w:rsidRPr="0078696C">
        <w:rPr>
          <w:rFonts w:ascii="Times New Roman" w:eastAsia="Times New Roman" w:hAnsi="Times New Roman"/>
          <w:color w:val="000000"/>
          <w:sz w:val="28"/>
          <w:szCs w:val="28"/>
          <w:lang w:eastAsia="ru-RU"/>
        </w:rPr>
        <w:t>ся близько 100 млн. осіб похилого віку, загальна ж чисельність населення станови</w:t>
      </w:r>
      <w:r w:rsidR="00845E3E" w:rsidRPr="0078696C">
        <w:rPr>
          <w:rFonts w:ascii="Times New Roman" w:eastAsia="Times New Roman" w:hAnsi="Times New Roman"/>
          <w:color w:val="000000"/>
          <w:sz w:val="28"/>
          <w:szCs w:val="28"/>
          <w:lang w:eastAsia="ru-RU"/>
        </w:rPr>
        <w:t>ла</w:t>
      </w:r>
      <w:r w:rsidRPr="0078696C">
        <w:rPr>
          <w:rFonts w:ascii="Times New Roman" w:eastAsia="Times New Roman" w:hAnsi="Times New Roman"/>
          <w:color w:val="000000"/>
          <w:sz w:val="28"/>
          <w:szCs w:val="28"/>
          <w:lang w:eastAsia="ru-RU"/>
        </w:rPr>
        <w:t xml:space="preserve"> 320 млн. ос</w:t>
      </w:r>
      <w:r w:rsidR="00845E3E" w:rsidRPr="0078696C">
        <w:rPr>
          <w:rFonts w:ascii="Times New Roman" w:eastAsia="Times New Roman" w:hAnsi="Times New Roman"/>
          <w:color w:val="000000"/>
          <w:sz w:val="28"/>
          <w:szCs w:val="28"/>
          <w:lang w:eastAsia="ru-RU"/>
        </w:rPr>
        <w:t xml:space="preserve">іб. За прогнозами вчених, </w:t>
      </w:r>
      <w:r w:rsidR="00DA2894" w:rsidRPr="0078696C">
        <w:rPr>
          <w:rFonts w:ascii="Times New Roman" w:eastAsia="Times New Roman" w:hAnsi="Times New Roman"/>
          <w:color w:val="000000"/>
          <w:sz w:val="28"/>
          <w:szCs w:val="28"/>
          <w:lang w:eastAsia="ru-RU"/>
        </w:rPr>
        <w:t xml:space="preserve">частка осіб віком від 65 років зросте з 8% всього населення світу у 2015 році до майже 18% до 2050 року, та з 16% до 27% – країнах ЄС. В ЄС станом на 2050 р. прогнозується, що частка населення старше 75 років буде аналогічною частці, старшій за 65 років на сьогодні. Старіння безпосередньо впливає на фінансування пенсійних схем PAYG, оскільки зменшується кількість людей працездатного віку, щоб підтримувати рівень пенсій для зростаючої кількості людей похилого віку. Зрештою, навіть схеми з визначеним внеском не захищені від зниження виробничого потенціалу економіки, що може бути викликане демографічними змінами </w:t>
      </w:r>
      <w:r w:rsidRPr="0078696C">
        <w:rPr>
          <w:rStyle w:val="a8"/>
          <w:rFonts w:ascii="Times New Roman" w:eastAsia="Times New Roman" w:hAnsi="Times New Roman"/>
          <w:color w:val="000000"/>
          <w:sz w:val="28"/>
          <w:szCs w:val="28"/>
          <w:lang w:eastAsia="ru-RU"/>
        </w:rPr>
        <w:footnoteReference w:id="322"/>
      </w:r>
      <w:r w:rsidRPr="0078696C">
        <w:rPr>
          <w:rFonts w:ascii="Times New Roman" w:eastAsia="Times New Roman" w:hAnsi="Times New Roman"/>
          <w:color w:val="000000"/>
          <w:sz w:val="28"/>
          <w:szCs w:val="28"/>
          <w:lang w:eastAsia="ru-RU"/>
        </w:rPr>
        <w:t>.</w:t>
      </w:r>
    </w:p>
    <w:p w:rsidR="00EC5940" w:rsidRPr="0078696C" w:rsidRDefault="00DA2894" w:rsidP="006B2863">
      <w:pPr>
        <w:autoSpaceDE w:val="0"/>
        <w:autoSpaceDN w:val="0"/>
        <w:adjustRightInd w:val="0"/>
        <w:spacing w:after="0" w:line="360" w:lineRule="auto"/>
        <w:ind w:firstLine="709"/>
        <w:jc w:val="both"/>
        <w:rPr>
          <w:rFonts w:ascii="Times New Roman" w:hAnsi="Times New Roman"/>
          <w:sz w:val="28"/>
          <w:szCs w:val="28"/>
          <w:lang w:eastAsia="uk-UA"/>
        </w:rPr>
      </w:pPr>
      <w:r w:rsidRPr="0078696C">
        <w:rPr>
          <w:rFonts w:ascii="Times New Roman" w:eastAsia="Times New Roman" w:hAnsi="Times New Roman"/>
          <w:color w:val="000000"/>
          <w:sz w:val="28"/>
          <w:szCs w:val="28"/>
          <w:lang w:eastAsia="ru-RU"/>
        </w:rPr>
        <w:t>Період першої хвилі пенсійних реформ</w:t>
      </w:r>
      <w:r w:rsidR="005541ED" w:rsidRPr="0078696C">
        <w:rPr>
          <w:rFonts w:ascii="Times New Roman" w:eastAsia="Times New Roman" w:hAnsi="Times New Roman"/>
          <w:color w:val="000000"/>
          <w:sz w:val="28"/>
          <w:szCs w:val="28"/>
          <w:lang w:eastAsia="ru-RU"/>
        </w:rPr>
        <w:t>, який</w:t>
      </w:r>
      <w:r w:rsidR="000871CE">
        <w:rPr>
          <w:rFonts w:ascii="Times New Roman" w:eastAsia="Times New Roman" w:hAnsi="Times New Roman"/>
          <w:color w:val="000000"/>
          <w:sz w:val="28"/>
          <w:szCs w:val="28"/>
          <w:lang w:eastAsia="ru-RU"/>
        </w:rPr>
        <w:t xml:space="preserve"> </w:t>
      </w:r>
      <w:r w:rsidR="005541ED" w:rsidRPr="0078696C">
        <w:rPr>
          <w:rFonts w:ascii="Times New Roman" w:eastAsia="Times New Roman" w:hAnsi="Times New Roman"/>
          <w:color w:val="000000"/>
          <w:sz w:val="28"/>
          <w:szCs w:val="28"/>
          <w:lang w:eastAsia="ru-RU"/>
        </w:rPr>
        <w:t>умовно ще називають «передкризовим», ознаменував завершення періоду «щедрих державних пенсій»</w:t>
      </w:r>
      <w:r w:rsidR="000871CE">
        <w:rPr>
          <w:rFonts w:ascii="Times New Roman" w:eastAsia="Times New Roman" w:hAnsi="Times New Roman"/>
          <w:color w:val="000000"/>
          <w:sz w:val="28"/>
          <w:szCs w:val="28"/>
          <w:lang w:eastAsia="ru-RU"/>
        </w:rPr>
        <w:t xml:space="preserve"> </w:t>
      </w:r>
      <w:r w:rsidR="00993E24" w:rsidRPr="0078696C">
        <w:rPr>
          <w:rFonts w:ascii="Times New Roman" w:hAnsi="Times New Roman"/>
          <w:sz w:val="28"/>
          <w:szCs w:val="28"/>
          <w:lang w:eastAsia="uk-UA"/>
        </w:rPr>
        <w:t>і</w:t>
      </w:r>
      <w:r w:rsidR="000871CE">
        <w:rPr>
          <w:rFonts w:ascii="Times New Roman" w:hAnsi="Times New Roman"/>
          <w:sz w:val="28"/>
          <w:szCs w:val="28"/>
          <w:lang w:eastAsia="uk-UA"/>
        </w:rPr>
        <w:t xml:space="preserve"> </w:t>
      </w:r>
      <w:r w:rsidR="005541ED" w:rsidRPr="0078696C">
        <w:rPr>
          <w:rFonts w:ascii="Times New Roman" w:hAnsi="Times New Roman"/>
          <w:sz w:val="28"/>
          <w:szCs w:val="28"/>
          <w:lang w:eastAsia="uk-UA"/>
        </w:rPr>
        <w:t>орієнтації на пріоритет високого рівня соціального добробуту європейських пенсіонерів. Ці реформи значною мірою були побудовані на багатокомпонентному підході Світового банку, у якому значна роль відводилася накопичувальним пенсійним схемам, у т.ч. приватним. Зокрема, загальнообов’язкові накопичувальні пенсійні схеми</w:t>
      </w:r>
      <w:r w:rsidR="00CF2E70" w:rsidRPr="0078696C">
        <w:rPr>
          <w:rFonts w:ascii="Times New Roman" w:hAnsi="Times New Roman"/>
          <w:sz w:val="28"/>
          <w:szCs w:val="28"/>
          <w:lang w:eastAsia="uk-UA"/>
        </w:rPr>
        <w:t xml:space="preserve"> були запроваджені у більшості «нових»</w:t>
      </w:r>
      <w:r w:rsidR="005541ED" w:rsidRPr="0078696C">
        <w:rPr>
          <w:rFonts w:ascii="Times New Roman" w:hAnsi="Times New Roman"/>
          <w:sz w:val="28"/>
          <w:szCs w:val="28"/>
          <w:lang w:eastAsia="uk-UA"/>
        </w:rPr>
        <w:t xml:space="preserve"> держав-членів ЄС (в т.ч. Болгарії,Естонії, Хорватії, Латвії, Литві, Угорщині, Польщі, Румунії і Словаччині). Водночас,</w:t>
      </w:r>
      <w:r w:rsidR="000871CE">
        <w:rPr>
          <w:rFonts w:ascii="Times New Roman" w:hAnsi="Times New Roman"/>
          <w:sz w:val="28"/>
          <w:szCs w:val="28"/>
          <w:lang w:eastAsia="uk-UA"/>
        </w:rPr>
        <w:t xml:space="preserve"> </w:t>
      </w:r>
      <w:r w:rsidR="005541ED" w:rsidRPr="0078696C">
        <w:rPr>
          <w:rFonts w:ascii="Times New Roman" w:hAnsi="Times New Roman"/>
          <w:sz w:val="28"/>
          <w:szCs w:val="28"/>
          <w:lang w:eastAsia="uk-UA"/>
        </w:rPr>
        <w:t>кілька новоінтегрованих країн ЄС впровадили заг</w:t>
      </w:r>
      <w:r w:rsidR="00CF2E70" w:rsidRPr="0078696C">
        <w:rPr>
          <w:rFonts w:ascii="Times New Roman" w:hAnsi="Times New Roman"/>
          <w:sz w:val="28"/>
          <w:szCs w:val="28"/>
          <w:lang w:eastAsia="uk-UA"/>
        </w:rPr>
        <w:t>альнообов’язкові приватні профе</w:t>
      </w:r>
      <w:r w:rsidR="005541ED" w:rsidRPr="0078696C">
        <w:rPr>
          <w:rFonts w:ascii="Times New Roman" w:hAnsi="Times New Roman"/>
          <w:sz w:val="28"/>
          <w:szCs w:val="28"/>
          <w:lang w:eastAsia="uk-UA"/>
        </w:rPr>
        <w:t>сійні схеми пенсійних випла</w:t>
      </w:r>
      <w:r w:rsidR="00EC5940" w:rsidRPr="0078696C">
        <w:rPr>
          <w:rFonts w:ascii="Times New Roman" w:hAnsi="Times New Roman"/>
          <w:sz w:val="28"/>
          <w:szCs w:val="28"/>
          <w:lang w:eastAsia="uk-UA"/>
        </w:rPr>
        <w:t>т (наприклад, Кіпр і Словенія). В свою чергу, «старі»</w:t>
      </w:r>
      <w:r w:rsidR="005541ED" w:rsidRPr="0078696C">
        <w:rPr>
          <w:rFonts w:ascii="Times New Roman" w:hAnsi="Times New Roman"/>
          <w:sz w:val="28"/>
          <w:szCs w:val="28"/>
          <w:lang w:eastAsia="uk-UA"/>
        </w:rPr>
        <w:t xml:space="preserve"> країн</w:t>
      </w:r>
      <w:r w:rsidR="00EC5940" w:rsidRPr="0078696C">
        <w:rPr>
          <w:rFonts w:ascii="Times New Roman" w:hAnsi="Times New Roman"/>
          <w:sz w:val="28"/>
          <w:szCs w:val="28"/>
          <w:lang w:eastAsia="uk-UA"/>
        </w:rPr>
        <w:t>и</w:t>
      </w:r>
      <w:r w:rsidR="000871CE">
        <w:rPr>
          <w:rFonts w:ascii="Times New Roman" w:hAnsi="Times New Roman"/>
          <w:sz w:val="28"/>
          <w:szCs w:val="28"/>
          <w:lang w:eastAsia="uk-UA"/>
        </w:rPr>
        <w:t xml:space="preserve"> </w:t>
      </w:r>
      <w:r w:rsidR="00EC5940" w:rsidRPr="0078696C">
        <w:rPr>
          <w:rFonts w:ascii="Times New Roman" w:hAnsi="Times New Roman"/>
          <w:sz w:val="28"/>
          <w:szCs w:val="28"/>
          <w:lang w:eastAsia="uk-UA"/>
        </w:rPr>
        <w:t>ЄС вдалися до системних пенсій</w:t>
      </w:r>
      <w:r w:rsidR="005541ED" w:rsidRPr="0078696C">
        <w:rPr>
          <w:rFonts w:ascii="Times New Roman" w:hAnsi="Times New Roman"/>
          <w:sz w:val="28"/>
          <w:szCs w:val="28"/>
          <w:lang w:eastAsia="uk-UA"/>
        </w:rPr>
        <w:t xml:space="preserve">них реформ з метою тісніше </w:t>
      </w:r>
      <w:r w:rsidR="00EC5940" w:rsidRPr="0078696C">
        <w:rPr>
          <w:rFonts w:ascii="Times New Roman" w:hAnsi="Times New Roman"/>
          <w:sz w:val="28"/>
          <w:szCs w:val="28"/>
          <w:lang w:eastAsia="uk-UA"/>
        </w:rPr>
        <w:t>по</w:t>
      </w:r>
      <w:r w:rsidR="005541ED" w:rsidRPr="0078696C">
        <w:rPr>
          <w:rFonts w:ascii="Times New Roman" w:hAnsi="Times New Roman"/>
          <w:sz w:val="28"/>
          <w:szCs w:val="28"/>
          <w:lang w:eastAsia="uk-UA"/>
        </w:rPr>
        <w:t>в’язати величину стр</w:t>
      </w:r>
      <w:r w:rsidR="00EC5940" w:rsidRPr="0078696C">
        <w:rPr>
          <w:rFonts w:ascii="Times New Roman" w:hAnsi="Times New Roman"/>
          <w:sz w:val="28"/>
          <w:szCs w:val="28"/>
          <w:lang w:eastAsia="uk-UA"/>
        </w:rPr>
        <w:t>ахових внесків до державної пен</w:t>
      </w:r>
      <w:r w:rsidR="005541ED" w:rsidRPr="0078696C">
        <w:rPr>
          <w:rFonts w:ascii="Times New Roman" w:hAnsi="Times New Roman"/>
          <w:sz w:val="28"/>
          <w:szCs w:val="28"/>
          <w:lang w:eastAsia="uk-UA"/>
        </w:rPr>
        <w:t>сійної системи з розміром пенсійних виплат. Найбільш відомими прикладами є</w:t>
      </w:r>
      <w:r w:rsidR="00EC5940" w:rsidRPr="0078696C">
        <w:rPr>
          <w:rFonts w:ascii="Times New Roman" w:hAnsi="Times New Roman"/>
          <w:sz w:val="28"/>
          <w:szCs w:val="28"/>
          <w:lang w:eastAsia="uk-UA"/>
        </w:rPr>
        <w:t xml:space="preserve"> впровадження </w:t>
      </w:r>
      <w:r w:rsidR="00EC5940" w:rsidRPr="0078696C">
        <w:rPr>
          <w:rFonts w:ascii="Times New Roman" w:hAnsi="Times New Roman"/>
          <w:sz w:val="28"/>
          <w:szCs w:val="28"/>
          <w:lang w:eastAsia="uk-UA"/>
        </w:rPr>
        <w:lastRenderedPageBreak/>
        <w:t>таких схем «умовно-накопичувальних внесків»</w:t>
      </w:r>
      <w:r w:rsidR="005541ED" w:rsidRPr="0078696C">
        <w:rPr>
          <w:rFonts w:ascii="Times New Roman" w:hAnsi="Times New Roman"/>
          <w:sz w:val="28"/>
          <w:szCs w:val="28"/>
          <w:lang w:eastAsia="uk-UA"/>
        </w:rPr>
        <w:t xml:space="preserve"> у Швеції, Латвії, Польщі</w:t>
      </w:r>
      <w:r w:rsidR="000871CE">
        <w:rPr>
          <w:rFonts w:ascii="Times New Roman" w:hAnsi="Times New Roman"/>
          <w:sz w:val="28"/>
          <w:szCs w:val="28"/>
          <w:lang w:eastAsia="uk-UA"/>
        </w:rPr>
        <w:t xml:space="preserve"> </w:t>
      </w:r>
      <w:r w:rsidR="005541ED" w:rsidRPr="0078696C">
        <w:rPr>
          <w:rFonts w:ascii="Times New Roman" w:hAnsi="Times New Roman"/>
          <w:sz w:val="28"/>
          <w:szCs w:val="28"/>
          <w:lang w:eastAsia="uk-UA"/>
        </w:rPr>
        <w:t>та Італії</w:t>
      </w:r>
      <w:r w:rsidR="00EC5940" w:rsidRPr="0078696C">
        <w:rPr>
          <w:rStyle w:val="a8"/>
          <w:rFonts w:ascii="Times New Roman" w:hAnsi="Times New Roman"/>
          <w:sz w:val="28"/>
          <w:szCs w:val="28"/>
          <w:lang w:eastAsia="uk-UA"/>
        </w:rPr>
        <w:footnoteReference w:id="323"/>
      </w:r>
      <w:r w:rsidR="005541ED" w:rsidRPr="0078696C">
        <w:rPr>
          <w:rFonts w:ascii="Times New Roman" w:hAnsi="Times New Roman"/>
          <w:sz w:val="28"/>
          <w:szCs w:val="28"/>
          <w:lang w:eastAsia="uk-UA"/>
        </w:rPr>
        <w:t xml:space="preserve">. </w:t>
      </w:r>
    </w:p>
    <w:p w:rsidR="00845E3E" w:rsidRPr="0078696C" w:rsidRDefault="005541ED" w:rsidP="006B2863">
      <w:pPr>
        <w:autoSpaceDE w:val="0"/>
        <w:autoSpaceDN w:val="0"/>
        <w:adjustRightInd w:val="0"/>
        <w:spacing w:after="0" w:line="360" w:lineRule="auto"/>
        <w:ind w:firstLine="709"/>
        <w:jc w:val="both"/>
        <w:rPr>
          <w:rFonts w:ascii="Times New Roman" w:hAnsi="Times New Roman"/>
          <w:sz w:val="28"/>
          <w:szCs w:val="28"/>
          <w:lang w:eastAsia="uk-UA"/>
        </w:rPr>
      </w:pPr>
      <w:r w:rsidRPr="0078696C">
        <w:rPr>
          <w:rFonts w:ascii="Times New Roman" w:hAnsi="Times New Roman"/>
          <w:sz w:val="28"/>
          <w:szCs w:val="28"/>
          <w:lang w:eastAsia="uk-UA"/>
        </w:rPr>
        <w:t xml:space="preserve">У той же час, половина країн-членів ухвалили впровадження </w:t>
      </w:r>
      <w:r w:rsidR="00EC5940" w:rsidRPr="0078696C">
        <w:rPr>
          <w:rFonts w:ascii="Times New Roman" w:hAnsi="Times New Roman"/>
          <w:sz w:val="28"/>
          <w:szCs w:val="28"/>
          <w:lang w:eastAsia="uk-UA"/>
        </w:rPr>
        <w:t>«</w:t>
      </w:r>
      <w:r w:rsidRPr="0078696C">
        <w:rPr>
          <w:rFonts w:ascii="Times New Roman" w:hAnsi="Times New Roman"/>
          <w:sz w:val="28"/>
          <w:szCs w:val="28"/>
          <w:lang w:eastAsia="uk-UA"/>
        </w:rPr>
        <w:t>автоматичних</w:t>
      </w:r>
      <w:r w:rsidR="006B2863" w:rsidRPr="0078696C">
        <w:rPr>
          <w:rFonts w:ascii="Times New Roman" w:hAnsi="Times New Roman"/>
          <w:sz w:val="28"/>
          <w:szCs w:val="28"/>
          <w:lang w:eastAsia="uk-UA"/>
        </w:rPr>
        <w:t xml:space="preserve"> стабілізаторів»</w:t>
      </w:r>
      <w:r w:rsidRPr="0078696C">
        <w:rPr>
          <w:rFonts w:ascii="Times New Roman" w:hAnsi="Times New Roman"/>
          <w:sz w:val="28"/>
          <w:szCs w:val="28"/>
          <w:lang w:eastAsia="uk-UA"/>
        </w:rPr>
        <w:t>, які регулюють ключові параметри пенсійної системи з урахуванням</w:t>
      </w:r>
      <w:r w:rsidR="000871CE">
        <w:rPr>
          <w:rFonts w:ascii="Times New Roman" w:hAnsi="Times New Roman"/>
          <w:sz w:val="28"/>
          <w:szCs w:val="28"/>
          <w:lang w:eastAsia="uk-UA"/>
        </w:rPr>
        <w:t xml:space="preserve"> </w:t>
      </w:r>
      <w:r w:rsidRPr="0078696C">
        <w:rPr>
          <w:rFonts w:ascii="Times New Roman" w:hAnsi="Times New Roman"/>
          <w:sz w:val="28"/>
          <w:szCs w:val="28"/>
          <w:lang w:eastAsia="uk-UA"/>
        </w:rPr>
        <w:t>збільшення очікува</w:t>
      </w:r>
      <w:r w:rsidR="006B2863" w:rsidRPr="0078696C">
        <w:rPr>
          <w:rFonts w:ascii="Times New Roman" w:hAnsi="Times New Roman"/>
          <w:sz w:val="28"/>
          <w:szCs w:val="28"/>
          <w:lang w:eastAsia="uk-UA"/>
        </w:rPr>
        <w:t xml:space="preserve">ної тривалості життя населення. </w:t>
      </w:r>
      <w:r w:rsidRPr="0078696C">
        <w:rPr>
          <w:rFonts w:ascii="Times New Roman" w:hAnsi="Times New Roman"/>
          <w:sz w:val="28"/>
          <w:szCs w:val="28"/>
          <w:lang w:eastAsia="uk-UA"/>
        </w:rPr>
        <w:t>Зокрема, в Іспанії, Німеччині та Швеції впров</w:t>
      </w:r>
      <w:r w:rsidR="006B2863" w:rsidRPr="0078696C">
        <w:rPr>
          <w:rFonts w:ascii="Times New Roman" w:hAnsi="Times New Roman"/>
          <w:sz w:val="28"/>
          <w:szCs w:val="28"/>
          <w:lang w:eastAsia="uk-UA"/>
        </w:rPr>
        <w:t>аджені пенсійні балансуючі меха</w:t>
      </w:r>
      <w:r w:rsidRPr="0078696C">
        <w:rPr>
          <w:rFonts w:ascii="Times New Roman" w:hAnsi="Times New Roman"/>
          <w:sz w:val="28"/>
          <w:szCs w:val="28"/>
          <w:lang w:eastAsia="uk-UA"/>
        </w:rPr>
        <w:t>нізми, що передбачають залежність індексації пенсійних виплат від обсягу пенсійних</w:t>
      </w:r>
      <w:r w:rsidR="000871CE">
        <w:rPr>
          <w:rFonts w:ascii="Times New Roman" w:hAnsi="Times New Roman"/>
          <w:sz w:val="28"/>
          <w:szCs w:val="28"/>
          <w:lang w:eastAsia="uk-UA"/>
        </w:rPr>
        <w:t xml:space="preserve"> </w:t>
      </w:r>
      <w:r w:rsidRPr="0078696C">
        <w:rPr>
          <w:rFonts w:ascii="Times New Roman" w:hAnsi="Times New Roman"/>
          <w:sz w:val="28"/>
          <w:szCs w:val="28"/>
          <w:lang w:eastAsia="uk-UA"/>
        </w:rPr>
        <w:t>внесків. В Італії та Португалії впроваджено стабілізаційний механізм, у рамках якого</w:t>
      </w:r>
      <w:r w:rsidR="000871CE">
        <w:rPr>
          <w:rFonts w:ascii="Times New Roman" w:hAnsi="Times New Roman"/>
          <w:sz w:val="28"/>
          <w:szCs w:val="28"/>
          <w:lang w:eastAsia="uk-UA"/>
        </w:rPr>
        <w:t xml:space="preserve"> </w:t>
      </w:r>
      <w:r w:rsidRPr="0078696C">
        <w:rPr>
          <w:rFonts w:ascii="Times New Roman" w:hAnsi="Times New Roman"/>
          <w:sz w:val="28"/>
          <w:szCs w:val="28"/>
          <w:lang w:eastAsia="uk-UA"/>
        </w:rPr>
        <w:t>встановлюється прямий зв’язок між розміром пенсійних виплат і очікуваною тривалістю</w:t>
      </w:r>
      <w:r w:rsidR="000871CE">
        <w:rPr>
          <w:rFonts w:ascii="Times New Roman" w:hAnsi="Times New Roman"/>
          <w:sz w:val="28"/>
          <w:szCs w:val="28"/>
          <w:lang w:eastAsia="uk-UA"/>
        </w:rPr>
        <w:t xml:space="preserve"> </w:t>
      </w:r>
      <w:r w:rsidRPr="0078696C">
        <w:rPr>
          <w:rFonts w:ascii="Times New Roman" w:hAnsi="Times New Roman"/>
          <w:sz w:val="28"/>
          <w:szCs w:val="28"/>
          <w:lang w:eastAsia="uk-UA"/>
        </w:rPr>
        <w:t xml:space="preserve">життя. У Нідерландах, Словаччині та Фінляндії запроваджено автоматичне </w:t>
      </w:r>
      <w:r w:rsidR="006B2863" w:rsidRPr="0078696C">
        <w:rPr>
          <w:rFonts w:ascii="Times New Roman" w:hAnsi="Times New Roman"/>
          <w:sz w:val="28"/>
          <w:szCs w:val="28"/>
          <w:lang w:eastAsia="uk-UA"/>
        </w:rPr>
        <w:t xml:space="preserve">поєднання </w:t>
      </w:r>
      <w:r w:rsidRPr="0078696C">
        <w:rPr>
          <w:rFonts w:ascii="Times New Roman" w:hAnsi="Times New Roman"/>
          <w:sz w:val="28"/>
          <w:szCs w:val="28"/>
          <w:lang w:eastAsia="uk-UA"/>
        </w:rPr>
        <w:t>параметрів пенсійного віку та очікуваної тривалості життя громадян</w:t>
      </w:r>
      <w:r w:rsidR="006B2863" w:rsidRPr="0078696C">
        <w:rPr>
          <w:rStyle w:val="a8"/>
          <w:rFonts w:ascii="Times New Roman" w:hAnsi="Times New Roman"/>
          <w:sz w:val="28"/>
          <w:szCs w:val="28"/>
          <w:lang w:eastAsia="uk-UA"/>
        </w:rPr>
        <w:footnoteReference w:id="324"/>
      </w:r>
      <w:r w:rsidRPr="0078696C">
        <w:rPr>
          <w:rFonts w:ascii="Times New Roman" w:hAnsi="Times New Roman"/>
          <w:sz w:val="28"/>
          <w:szCs w:val="28"/>
          <w:lang w:eastAsia="uk-UA"/>
        </w:rPr>
        <w:t>.</w:t>
      </w:r>
    </w:p>
    <w:p w:rsidR="0062059D" w:rsidRPr="0078696C" w:rsidRDefault="0062059D" w:rsidP="0062059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Необхідність таких реформ була зумовлена зміною соціальних, економічних і політичних умов у світі. Реформування пенсійних систем країн ЄС передбачалося реалізовувати поступово – до 20-х років ХХI ст. </w:t>
      </w:r>
      <w:r w:rsidRPr="0078696C">
        <w:rPr>
          <w:rStyle w:val="a8"/>
          <w:rFonts w:ascii="Times New Roman" w:eastAsia="Times New Roman" w:hAnsi="Times New Roman"/>
          <w:color w:val="000000"/>
          <w:sz w:val="28"/>
          <w:szCs w:val="28"/>
          <w:lang w:eastAsia="ru-RU"/>
        </w:rPr>
        <w:footnoteReference w:id="325"/>
      </w:r>
    </w:p>
    <w:p w:rsidR="001A0F6D" w:rsidRPr="0078696C" w:rsidRDefault="006B2863" w:rsidP="00A10912">
      <w:pPr>
        <w:spacing w:after="0" w:line="360" w:lineRule="auto"/>
        <w:ind w:firstLine="709"/>
        <w:jc w:val="both"/>
      </w:pPr>
      <w:r w:rsidRPr="0078696C">
        <w:rPr>
          <w:rFonts w:ascii="Times New Roman" w:eastAsia="Times New Roman" w:hAnsi="Times New Roman"/>
          <w:color w:val="000000"/>
          <w:sz w:val="28"/>
          <w:szCs w:val="28"/>
          <w:lang w:eastAsia="ru-RU"/>
        </w:rPr>
        <w:t>Період другої хвилі пенсійних реформ, що стартував із 2008 року (після світової економічної кризи), умовно ще називають «посткризовим»</w:t>
      </w:r>
      <w:r w:rsidR="00A10912" w:rsidRPr="0078696C">
        <w:t xml:space="preserve">. </w:t>
      </w:r>
      <w:r w:rsidR="001A0F6D" w:rsidRPr="0078696C">
        <w:rPr>
          <w:rFonts w:ascii="Times New Roman" w:eastAsia="Times New Roman" w:hAnsi="Times New Roman"/>
          <w:color w:val="000000"/>
          <w:sz w:val="28"/>
          <w:szCs w:val="28"/>
          <w:lang w:eastAsia="ru-RU"/>
        </w:rPr>
        <w:t>На відміну від попереднього, основою реформування у країнах-членах ЄС даного періоду стало: підвищення пенсійного віку; збільшення страхового стажу, необхідного для отримання пенсії; скорочення можливостей дострокового виходу на пенсію; збільшення ставок внесків до державних пенсійних фондів; обмеження максимального розміру пенсій; зміна системи пенсійного забезпечення від розподільної до накопичувальної системи</w:t>
      </w:r>
      <w:r w:rsidR="00A10912" w:rsidRPr="0078696C">
        <w:rPr>
          <w:rFonts w:ascii="Times New Roman" w:eastAsia="Times New Roman" w:hAnsi="Times New Roman"/>
          <w:color w:val="000000"/>
          <w:sz w:val="28"/>
          <w:szCs w:val="28"/>
          <w:lang w:eastAsia="ru-RU"/>
        </w:rPr>
        <w:t xml:space="preserve">. Крім цього, в зв’язку із негативною тенденцією щодо збільшення співвідношення між працюючими та </w:t>
      </w:r>
      <w:r w:rsidR="00A10912" w:rsidRPr="0078696C">
        <w:rPr>
          <w:rFonts w:ascii="Times New Roman" w:eastAsia="Times New Roman" w:hAnsi="Times New Roman"/>
          <w:color w:val="000000"/>
          <w:sz w:val="28"/>
          <w:szCs w:val="28"/>
          <w:lang w:eastAsia="ru-RU"/>
        </w:rPr>
        <w:lastRenderedPageBreak/>
        <w:t xml:space="preserve">пенсіонерами, ряд реформ стосувався і підвищення рівня зайнятості, в тому числі і осіб похилого віку </w:t>
      </w:r>
      <w:r w:rsidR="00A10912" w:rsidRPr="0078696C">
        <w:rPr>
          <w:rStyle w:val="a8"/>
          <w:rFonts w:ascii="Times New Roman" w:eastAsia="Times New Roman" w:hAnsi="Times New Roman"/>
          <w:color w:val="000000"/>
          <w:sz w:val="28"/>
          <w:szCs w:val="28"/>
          <w:lang w:eastAsia="ru-RU"/>
        </w:rPr>
        <w:footnoteReference w:id="326"/>
      </w:r>
      <w:r w:rsidR="00A10912" w:rsidRPr="0078696C">
        <w:rPr>
          <w:rFonts w:ascii="Times New Roman" w:eastAsia="Times New Roman" w:hAnsi="Times New Roman"/>
          <w:color w:val="000000"/>
          <w:sz w:val="28"/>
          <w:szCs w:val="28"/>
          <w:lang w:eastAsia="ru-RU"/>
        </w:rPr>
        <w:t xml:space="preserve">. </w:t>
      </w:r>
    </w:p>
    <w:p w:rsidR="001A0F6D" w:rsidRPr="0078696C" w:rsidRDefault="001A0F6D" w:rsidP="001A0F6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У червні 2011 року в Женеві </w:t>
      </w:r>
      <w:r w:rsidR="00A10912" w:rsidRPr="0078696C">
        <w:rPr>
          <w:rFonts w:ascii="Times New Roman" w:eastAsia="Times New Roman" w:hAnsi="Times New Roman"/>
          <w:color w:val="000000"/>
          <w:sz w:val="28"/>
          <w:szCs w:val="28"/>
          <w:lang w:eastAsia="ru-RU"/>
        </w:rPr>
        <w:t>відбулася 100-та міжнародна конференція праці, на якій було визначено</w:t>
      </w:r>
      <w:r w:rsidR="00F53BF4" w:rsidRPr="0078696C">
        <w:rPr>
          <w:rFonts w:ascii="Times New Roman" w:eastAsia="Times New Roman" w:hAnsi="Times New Roman"/>
          <w:color w:val="000000"/>
          <w:sz w:val="28"/>
          <w:szCs w:val="28"/>
          <w:lang w:eastAsia="ru-RU"/>
        </w:rPr>
        <w:t xml:space="preserve"> основні виклики та проблеми у сфері соціальної безпеки. Серед основних було виділено: зростання кількості соціально незахищеного населення в зв’язку з загальною глобалізацією; старіння населення;світова економічна</w:t>
      </w:r>
      <w:r w:rsidR="00A10912" w:rsidRPr="0078696C">
        <w:rPr>
          <w:rFonts w:ascii="Times New Roman" w:eastAsia="Times New Roman" w:hAnsi="Times New Roman"/>
          <w:color w:val="000000"/>
          <w:sz w:val="28"/>
          <w:szCs w:val="28"/>
          <w:lang w:eastAsia="ru-RU"/>
        </w:rPr>
        <w:t xml:space="preserve"> криза</w:t>
      </w:r>
      <w:r w:rsidR="00F53BF4" w:rsidRPr="0078696C">
        <w:rPr>
          <w:rFonts w:ascii="Times New Roman" w:eastAsia="Times New Roman" w:hAnsi="Times New Roman"/>
          <w:color w:val="000000"/>
          <w:sz w:val="28"/>
          <w:szCs w:val="28"/>
          <w:lang w:eastAsia="ru-RU"/>
        </w:rPr>
        <w:t>; усвідомлення населенням країн Півдня, що</w:t>
      </w:r>
      <w:r w:rsidR="00A10912" w:rsidRPr="0078696C">
        <w:rPr>
          <w:rFonts w:ascii="Times New Roman" w:eastAsia="Times New Roman" w:hAnsi="Times New Roman"/>
          <w:color w:val="000000"/>
          <w:sz w:val="28"/>
          <w:szCs w:val="28"/>
          <w:lang w:eastAsia="ru-RU"/>
        </w:rPr>
        <w:t xml:space="preserve"> соціальне забезпечення </w:t>
      </w:r>
      <w:r w:rsidR="00F53BF4" w:rsidRPr="0078696C">
        <w:rPr>
          <w:rFonts w:ascii="Times New Roman" w:eastAsia="Times New Roman" w:hAnsi="Times New Roman"/>
          <w:color w:val="000000"/>
          <w:sz w:val="28"/>
          <w:szCs w:val="28"/>
          <w:lang w:eastAsia="ru-RU"/>
        </w:rPr>
        <w:t>–</w:t>
      </w:r>
      <w:r w:rsidR="00A10912" w:rsidRPr="0078696C">
        <w:rPr>
          <w:rFonts w:ascii="Times New Roman" w:eastAsia="Times New Roman" w:hAnsi="Times New Roman"/>
          <w:color w:val="000000"/>
          <w:sz w:val="28"/>
          <w:szCs w:val="28"/>
          <w:lang w:eastAsia="ru-RU"/>
        </w:rPr>
        <w:t xml:space="preserve"> це </w:t>
      </w:r>
      <w:r w:rsidR="00F53BF4" w:rsidRPr="0078696C">
        <w:rPr>
          <w:rFonts w:ascii="Times New Roman" w:eastAsia="Times New Roman" w:hAnsi="Times New Roman"/>
          <w:color w:val="000000"/>
          <w:sz w:val="28"/>
          <w:szCs w:val="28"/>
          <w:lang w:eastAsia="ru-RU"/>
        </w:rPr>
        <w:t xml:space="preserve">не </w:t>
      </w:r>
      <w:r w:rsidR="00A10912" w:rsidRPr="0078696C">
        <w:rPr>
          <w:rFonts w:ascii="Times New Roman" w:eastAsia="Times New Roman" w:hAnsi="Times New Roman"/>
          <w:color w:val="000000"/>
          <w:sz w:val="28"/>
          <w:szCs w:val="28"/>
          <w:lang w:eastAsia="ru-RU"/>
        </w:rPr>
        <w:t>розкіш, яку можуть дозволити собі лише багаті країни. Дебати послу</w:t>
      </w:r>
      <w:r w:rsidR="00F53BF4" w:rsidRPr="0078696C">
        <w:rPr>
          <w:rFonts w:ascii="Times New Roman" w:eastAsia="Times New Roman" w:hAnsi="Times New Roman"/>
          <w:color w:val="000000"/>
          <w:sz w:val="28"/>
          <w:szCs w:val="28"/>
          <w:lang w:eastAsia="ru-RU"/>
        </w:rPr>
        <w:t>гували</w:t>
      </w:r>
      <w:r w:rsidR="00A10912" w:rsidRPr="0078696C">
        <w:rPr>
          <w:rFonts w:ascii="Times New Roman" w:eastAsia="Times New Roman" w:hAnsi="Times New Roman"/>
          <w:color w:val="000000"/>
          <w:sz w:val="28"/>
          <w:szCs w:val="28"/>
          <w:lang w:eastAsia="ru-RU"/>
        </w:rPr>
        <w:t xml:space="preserve"> цінним приводом для роздумів про уроки попереднього десятиліття та </w:t>
      </w:r>
      <w:r w:rsidR="00C54DF1" w:rsidRPr="0078696C">
        <w:rPr>
          <w:rFonts w:ascii="Times New Roman" w:eastAsia="Times New Roman" w:hAnsi="Times New Roman"/>
          <w:color w:val="000000"/>
          <w:sz w:val="28"/>
          <w:szCs w:val="28"/>
          <w:lang w:eastAsia="ru-RU"/>
        </w:rPr>
        <w:t xml:space="preserve">підкреслили необхідність адаптації систем соціального забезпечення до викликів сьогодення </w:t>
      </w:r>
      <w:r w:rsidR="00543148" w:rsidRPr="0078696C">
        <w:rPr>
          <w:rStyle w:val="a8"/>
          <w:rFonts w:ascii="Times New Roman" w:eastAsia="Times New Roman" w:hAnsi="Times New Roman"/>
          <w:color w:val="000000"/>
          <w:sz w:val="28"/>
          <w:szCs w:val="28"/>
          <w:lang w:eastAsia="ru-RU"/>
        </w:rPr>
        <w:footnoteReference w:id="327"/>
      </w:r>
      <w:r w:rsidR="00543148" w:rsidRPr="0078696C">
        <w:rPr>
          <w:rFonts w:ascii="Times New Roman" w:eastAsia="Times New Roman" w:hAnsi="Times New Roman"/>
          <w:color w:val="000000"/>
          <w:sz w:val="28"/>
          <w:szCs w:val="28"/>
          <w:lang w:eastAsia="ru-RU"/>
        </w:rPr>
        <w:t>.</w:t>
      </w:r>
    </w:p>
    <w:p w:rsidR="00925143" w:rsidRPr="0078696C" w:rsidRDefault="00543148" w:rsidP="00925143">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Європейські тенденції зниження рівня народжуваності й старіння населення суттєво ускладнюють процес розвитку пенсійних систем та ініціюють пошук нових шляхів її удосконалення.</w:t>
      </w:r>
      <w:r w:rsidR="00925143" w:rsidRPr="0078696C">
        <w:rPr>
          <w:rFonts w:ascii="Times New Roman" w:eastAsia="Times New Roman" w:hAnsi="Times New Roman"/>
          <w:color w:val="000000"/>
          <w:sz w:val="28"/>
          <w:szCs w:val="28"/>
          <w:lang w:eastAsia="ru-RU"/>
        </w:rPr>
        <w:t xml:space="preserve"> Т</w:t>
      </w:r>
      <w:r w:rsidRPr="0078696C">
        <w:rPr>
          <w:rFonts w:ascii="Times New Roman" w:eastAsia="Times New Roman" w:hAnsi="Times New Roman"/>
          <w:color w:val="000000"/>
          <w:sz w:val="28"/>
          <w:szCs w:val="28"/>
          <w:lang w:eastAsia="ru-RU"/>
        </w:rPr>
        <w:t xml:space="preserve">енденція збільшення частки осіб похилого віку в загальній чисельності населення має стійкий </w:t>
      </w:r>
      <w:r w:rsidR="00925143" w:rsidRPr="0078696C">
        <w:rPr>
          <w:rFonts w:ascii="Times New Roman" w:eastAsia="Times New Roman" w:hAnsi="Times New Roman"/>
          <w:color w:val="000000"/>
          <w:sz w:val="28"/>
          <w:szCs w:val="28"/>
          <w:lang w:eastAsia="ru-RU"/>
        </w:rPr>
        <w:t>характер, що зумовлює уряди країн шукати нові шляхи здійснення</w:t>
      </w:r>
      <w:r w:rsidRPr="0078696C">
        <w:rPr>
          <w:rFonts w:ascii="Times New Roman" w:eastAsia="Times New Roman" w:hAnsi="Times New Roman"/>
          <w:color w:val="000000"/>
          <w:sz w:val="28"/>
          <w:szCs w:val="28"/>
          <w:lang w:eastAsia="ru-RU"/>
        </w:rPr>
        <w:t xml:space="preserve"> пенсій</w:t>
      </w:r>
      <w:r w:rsidR="00925143" w:rsidRPr="0078696C">
        <w:rPr>
          <w:rFonts w:ascii="Times New Roman" w:eastAsia="Times New Roman" w:hAnsi="Times New Roman"/>
          <w:color w:val="000000"/>
          <w:sz w:val="28"/>
          <w:szCs w:val="28"/>
          <w:lang w:eastAsia="ru-RU"/>
        </w:rPr>
        <w:t>них реформ</w:t>
      </w:r>
      <w:r w:rsidRPr="0078696C">
        <w:rPr>
          <w:rFonts w:ascii="Times New Roman" w:eastAsia="Times New Roman" w:hAnsi="Times New Roman"/>
          <w:color w:val="000000"/>
          <w:sz w:val="28"/>
          <w:szCs w:val="28"/>
          <w:lang w:eastAsia="ru-RU"/>
        </w:rPr>
        <w:t xml:space="preserve">. </w:t>
      </w:r>
    </w:p>
    <w:p w:rsidR="00E467DD" w:rsidRPr="0078696C" w:rsidRDefault="00E467DD" w:rsidP="00925143">
      <w:pPr>
        <w:spacing w:after="0" w:line="360" w:lineRule="auto"/>
        <w:ind w:firstLine="709"/>
        <w:jc w:val="both"/>
        <w:rPr>
          <w:rFonts w:ascii="Times New Roman" w:eastAsia="Times New Roman" w:hAnsi="Times New Roman"/>
          <w:b/>
          <w:color w:val="000000"/>
          <w:sz w:val="28"/>
          <w:szCs w:val="28"/>
          <w:lang w:eastAsia="ru-RU"/>
        </w:rPr>
      </w:pPr>
      <w:r w:rsidRPr="0078696C">
        <w:rPr>
          <w:rFonts w:ascii="Times New Roman" w:eastAsia="Times New Roman" w:hAnsi="Times New Roman"/>
          <w:b/>
          <w:color w:val="000000"/>
          <w:sz w:val="28"/>
          <w:szCs w:val="28"/>
          <w:lang w:eastAsia="ru-RU"/>
        </w:rPr>
        <w:t xml:space="preserve">Таблиця 3.4 </w:t>
      </w:r>
      <w:r w:rsidR="00913015" w:rsidRPr="0078696C">
        <w:rPr>
          <w:rFonts w:ascii="Times New Roman" w:eastAsia="Times New Roman" w:hAnsi="Times New Roman"/>
          <w:b/>
          <w:color w:val="000000"/>
          <w:sz w:val="28"/>
          <w:szCs w:val="28"/>
          <w:lang w:eastAsia="ru-RU"/>
        </w:rPr>
        <w:t>Ключові посткризові реформи в</w:t>
      </w:r>
      <w:r w:rsidR="00853F0D" w:rsidRPr="0078696C">
        <w:rPr>
          <w:rFonts w:ascii="Times New Roman" w:eastAsia="Times New Roman" w:hAnsi="Times New Roman"/>
          <w:b/>
          <w:color w:val="000000"/>
          <w:sz w:val="28"/>
          <w:szCs w:val="28"/>
          <w:lang w:eastAsia="ru-RU"/>
        </w:rPr>
        <w:t xml:space="preserve"> країнах ЄС</w:t>
      </w:r>
    </w:p>
    <w:tbl>
      <w:tblPr>
        <w:tblStyle w:val="ae"/>
        <w:tblW w:w="9552" w:type="dxa"/>
        <w:jc w:val="center"/>
        <w:tblLook w:val="04A0"/>
      </w:tblPr>
      <w:tblGrid>
        <w:gridCol w:w="387"/>
        <w:gridCol w:w="4541"/>
        <w:gridCol w:w="4624"/>
      </w:tblGrid>
      <w:tr w:rsidR="0077195E" w:rsidRPr="0078696C" w:rsidTr="00336B4C">
        <w:trPr>
          <w:jc w:val="center"/>
        </w:trPr>
        <w:tc>
          <w:tcPr>
            <w:tcW w:w="387" w:type="dxa"/>
          </w:tcPr>
          <w:p w:rsidR="0077195E" w:rsidRPr="0078696C" w:rsidRDefault="0077195E" w:rsidP="00336B4C">
            <w:pPr>
              <w:spacing w:after="0" w:line="240" w:lineRule="auto"/>
              <w:jc w:val="both"/>
              <w:rPr>
                <w:rFonts w:ascii="Times New Roman" w:eastAsia="Times New Roman" w:hAnsi="Times New Roman"/>
                <w:color w:val="000000"/>
                <w:sz w:val="24"/>
                <w:szCs w:val="24"/>
                <w:lang w:eastAsia="ru-RU"/>
              </w:rPr>
            </w:pPr>
          </w:p>
        </w:tc>
        <w:tc>
          <w:tcPr>
            <w:tcW w:w="4541" w:type="dxa"/>
          </w:tcPr>
          <w:p w:rsidR="0077195E" w:rsidRPr="0078696C" w:rsidRDefault="00C641A8" w:rsidP="00336B4C">
            <w:pPr>
              <w:spacing w:after="0" w:line="240" w:lineRule="auto"/>
              <w:jc w:val="center"/>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Сфера реформи</w:t>
            </w:r>
          </w:p>
        </w:tc>
        <w:tc>
          <w:tcPr>
            <w:tcW w:w="4624" w:type="dxa"/>
          </w:tcPr>
          <w:p w:rsidR="0077195E" w:rsidRPr="0078696C" w:rsidRDefault="00C641A8" w:rsidP="00336B4C">
            <w:pPr>
              <w:spacing w:after="0" w:line="240" w:lineRule="auto"/>
              <w:jc w:val="center"/>
              <w:rPr>
                <w:rFonts w:ascii="Times New Roman" w:eastAsia="Times New Roman" w:hAnsi="Times New Roman"/>
                <w:b/>
                <w:color w:val="000000"/>
                <w:sz w:val="24"/>
                <w:szCs w:val="24"/>
                <w:lang w:eastAsia="ru-RU"/>
              </w:rPr>
            </w:pPr>
            <w:r w:rsidRPr="0078696C">
              <w:rPr>
                <w:rFonts w:ascii="Times New Roman" w:eastAsia="Times New Roman" w:hAnsi="Times New Roman"/>
                <w:b/>
                <w:color w:val="000000"/>
                <w:sz w:val="24"/>
                <w:szCs w:val="24"/>
                <w:lang w:eastAsia="ru-RU"/>
              </w:rPr>
              <w:t>Країни</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Підвищення пенсійного віку</w:t>
            </w:r>
          </w:p>
        </w:tc>
        <w:tc>
          <w:tcPr>
            <w:tcW w:w="4624" w:type="dxa"/>
          </w:tcPr>
          <w:p w:rsidR="0077195E" w:rsidRPr="0078696C" w:rsidRDefault="00E52D02"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Усі країни, крім </w:t>
            </w:r>
            <w:r w:rsidR="00C641A8" w:rsidRPr="0078696C">
              <w:rPr>
                <w:rFonts w:ascii="Times New Roman" w:eastAsia="Times New Roman" w:hAnsi="Times New Roman"/>
                <w:color w:val="000000"/>
                <w:sz w:val="24"/>
                <w:szCs w:val="24"/>
                <w:lang w:eastAsia="ru-RU"/>
              </w:rPr>
              <w:t xml:space="preserve">Австрії, </w:t>
            </w:r>
            <w:r w:rsidR="0077195E" w:rsidRPr="0078696C">
              <w:rPr>
                <w:rFonts w:ascii="Times New Roman" w:eastAsia="Times New Roman" w:hAnsi="Times New Roman"/>
                <w:color w:val="000000"/>
                <w:sz w:val="24"/>
                <w:szCs w:val="24"/>
                <w:lang w:eastAsia="ru-RU"/>
              </w:rPr>
              <w:t>Люксембург</w:t>
            </w:r>
            <w:r w:rsidRPr="0078696C">
              <w:rPr>
                <w:rFonts w:ascii="Times New Roman" w:eastAsia="Times New Roman" w:hAnsi="Times New Roman"/>
                <w:color w:val="000000"/>
                <w:sz w:val="24"/>
                <w:szCs w:val="24"/>
                <w:lang w:eastAsia="ru-RU"/>
              </w:rPr>
              <w:t>у</w:t>
            </w:r>
            <w:r w:rsidR="0077195E" w:rsidRPr="0078696C">
              <w:rPr>
                <w:rFonts w:ascii="Times New Roman" w:eastAsia="Times New Roman" w:hAnsi="Times New Roman"/>
                <w:color w:val="000000"/>
                <w:sz w:val="24"/>
                <w:szCs w:val="24"/>
                <w:lang w:eastAsia="ru-RU"/>
              </w:rPr>
              <w:t xml:space="preserve">, </w:t>
            </w:r>
            <w:r w:rsidRPr="0078696C">
              <w:rPr>
                <w:rFonts w:ascii="Times New Roman" w:eastAsia="Times New Roman" w:hAnsi="Times New Roman"/>
                <w:color w:val="000000"/>
                <w:sz w:val="24"/>
                <w:szCs w:val="24"/>
                <w:lang w:eastAsia="ru-RU"/>
              </w:rPr>
              <w:t>Польщі</w:t>
            </w:r>
          </w:p>
        </w:tc>
      </w:tr>
      <w:tr w:rsidR="00A13089" w:rsidRPr="0078696C" w:rsidTr="00336B4C">
        <w:trPr>
          <w:jc w:val="center"/>
        </w:trPr>
        <w:tc>
          <w:tcPr>
            <w:tcW w:w="387" w:type="dxa"/>
          </w:tcPr>
          <w:p w:rsidR="00A13089" w:rsidRPr="0078696C" w:rsidRDefault="00A13089"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A13089" w:rsidRPr="0078696C" w:rsidRDefault="00A13089"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Підвищення віку для раннього виходу на пенсію</w:t>
            </w:r>
          </w:p>
        </w:tc>
        <w:tc>
          <w:tcPr>
            <w:tcW w:w="4624" w:type="dxa"/>
          </w:tcPr>
          <w:p w:rsidR="00A13089" w:rsidRPr="0078696C" w:rsidRDefault="00206C9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Австрія, Бельгія, Греція, Данія, Іспанія, Італія, Фінляндія, Хорватія</w:t>
            </w:r>
          </w:p>
        </w:tc>
      </w:tr>
      <w:tr w:rsidR="005B412F" w:rsidRPr="0078696C" w:rsidTr="00336B4C">
        <w:trPr>
          <w:jc w:val="center"/>
        </w:trPr>
        <w:tc>
          <w:tcPr>
            <w:tcW w:w="387" w:type="dxa"/>
          </w:tcPr>
          <w:p w:rsidR="005B412F" w:rsidRPr="0078696C" w:rsidRDefault="005B412F"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5B412F" w:rsidRPr="0078696C" w:rsidRDefault="005B412F"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Зрівняння пенсійного віку для жінок і чоловіків</w:t>
            </w:r>
          </w:p>
        </w:tc>
        <w:tc>
          <w:tcPr>
            <w:tcW w:w="4624" w:type="dxa"/>
          </w:tcPr>
          <w:p w:rsidR="005B412F" w:rsidRPr="0078696C" w:rsidRDefault="00C641A8"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Болгарія, Велика Британія, Греція, </w:t>
            </w:r>
            <w:r w:rsidR="00A13089" w:rsidRPr="0078696C">
              <w:rPr>
                <w:rFonts w:ascii="Times New Roman" w:eastAsia="Times New Roman" w:hAnsi="Times New Roman"/>
                <w:color w:val="000000"/>
                <w:sz w:val="24"/>
                <w:szCs w:val="24"/>
                <w:lang w:eastAsia="ru-RU"/>
              </w:rPr>
              <w:t>Естонія, Італія, Литва, Мальта, Польща, Словаччина, Словенія, Хорватія, Чехія</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Скасування </w:t>
            </w:r>
            <w:r w:rsidR="00206C9E" w:rsidRPr="0078696C">
              <w:rPr>
                <w:rFonts w:ascii="Times New Roman" w:eastAsia="Times New Roman" w:hAnsi="Times New Roman"/>
                <w:color w:val="000000"/>
                <w:sz w:val="24"/>
                <w:szCs w:val="24"/>
                <w:lang w:eastAsia="ru-RU"/>
              </w:rPr>
              <w:t xml:space="preserve">або обмеження </w:t>
            </w:r>
            <w:r w:rsidRPr="0078696C">
              <w:rPr>
                <w:rFonts w:ascii="Times New Roman" w:eastAsia="Times New Roman" w:hAnsi="Times New Roman"/>
                <w:color w:val="000000"/>
                <w:sz w:val="24"/>
                <w:szCs w:val="24"/>
                <w:lang w:eastAsia="ru-RU"/>
              </w:rPr>
              <w:t>дострокової можливості виходу на пенсію</w:t>
            </w:r>
          </w:p>
        </w:tc>
        <w:tc>
          <w:tcPr>
            <w:tcW w:w="4624" w:type="dxa"/>
          </w:tcPr>
          <w:p w:rsidR="00206C9E" w:rsidRPr="0078696C" w:rsidRDefault="00206C9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Австрія, Бельгія, Греція, Данія, Іспанія, Італія, Кіпр, Люксембург, Мальта, Нідерланди, Польща, Португалія, Словенія, Угорщина, Фінляндія, Франція</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Збільшення бонусів і штрафів у випадках </w:t>
            </w:r>
            <w:r w:rsidR="00206C9E" w:rsidRPr="0078696C">
              <w:rPr>
                <w:rFonts w:ascii="Times New Roman" w:eastAsia="Times New Roman" w:hAnsi="Times New Roman"/>
                <w:color w:val="000000"/>
                <w:sz w:val="24"/>
                <w:szCs w:val="24"/>
                <w:lang w:eastAsia="ru-RU"/>
              </w:rPr>
              <w:t>більш пізнього чи раннього виходу на пенсію</w:t>
            </w:r>
          </w:p>
        </w:tc>
        <w:tc>
          <w:tcPr>
            <w:tcW w:w="4624" w:type="dxa"/>
          </w:tcPr>
          <w:p w:rsidR="00C458DE" w:rsidRPr="0078696C" w:rsidRDefault="00C458D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У різних формах п</w:t>
            </w:r>
            <w:r w:rsidR="0077195E" w:rsidRPr="0078696C">
              <w:rPr>
                <w:rFonts w:ascii="Times New Roman" w:eastAsia="Times New Roman" w:hAnsi="Times New Roman"/>
                <w:color w:val="000000"/>
                <w:sz w:val="24"/>
                <w:szCs w:val="24"/>
                <w:lang w:eastAsia="ru-RU"/>
              </w:rPr>
              <w:t xml:space="preserve">оширена у </w:t>
            </w:r>
          </w:p>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18 державах ЄС</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Зміна механізму первинного нарахування пенсії</w:t>
            </w:r>
            <w:r w:rsidR="005B412F" w:rsidRPr="0078696C">
              <w:rPr>
                <w:rFonts w:ascii="Times New Roman" w:eastAsia="Times New Roman" w:hAnsi="Times New Roman"/>
                <w:color w:val="000000"/>
                <w:sz w:val="24"/>
                <w:szCs w:val="24"/>
                <w:lang w:eastAsia="ru-RU"/>
              </w:rPr>
              <w:t xml:space="preserve"> (подовження періоду страхових пенсійних внесків)</w:t>
            </w:r>
          </w:p>
        </w:tc>
        <w:tc>
          <w:tcPr>
            <w:tcW w:w="4624" w:type="dxa"/>
          </w:tcPr>
          <w:p w:rsidR="00206C9E" w:rsidRPr="0078696C" w:rsidRDefault="009714E2"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Греція, </w:t>
            </w:r>
            <w:r w:rsidR="0077195E" w:rsidRPr="0078696C">
              <w:rPr>
                <w:rFonts w:ascii="Times New Roman" w:eastAsia="Times New Roman" w:hAnsi="Times New Roman"/>
                <w:color w:val="000000"/>
                <w:sz w:val="24"/>
                <w:szCs w:val="24"/>
                <w:lang w:eastAsia="ru-RU"/>
              </w:rPr>
              <w:t>Ірландія, Іспанія,</w:t>
            </w:r>
            <w:r w:rsidR="00206C9E" w:rsidRPr="0078696C">
              <w:rPr>
                <w:rFonts w:ascii="Times New Roman" w:eastAsia="Times New Roman" w:hAnsi="Times New Roman"/>
                <w:color w:val="000000"/>
                <w:sz w:val="24"/>
                <w:szCs w:val="24"/>
                <w:lang w:eastAsia="ru-RU"/>
              </w:rPr>
              <w:t xml:space="preserve"> Італія,</w:t>
            </w:r>
            <w:r w:rsidRPr="0078696C">
              <w:rPr>
                <w:rFonts w:ascii="Times New Roman" w:hAnsi="Times New Roman"/>
                <w:sz w:val="24"/>
                <w:szCs w:val="24"/>
              </w:rPr>
              <w:t xml:space="preserve">Кіпр, Латвія, Мальта, Польща, Словенія, </w:t>
            </w:r>
            <w:r w:rsidR="00206C9E" w:rsidRPr="0078696C">
              <w:rPr>
                <w:rFonts w:ascii="Times New Roman" w:eastAsia="Times New Roman" w:hAnsi="Times New Roman"/>
                <w:color w:val="000000"/>
                <w:sz w:val="24"/>
                <w:szCs w:val="24"/>
                <w:lang w:eastAsia="ru-RU"/>
              </w:rPr>
              <w:t>Чехія,</w:t>
            </w:r>
          </w:p>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Франція</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Зміна правил індексації пенсії </w:t>
            </w:r>
          </w:p>
        </w:tc>
        <w:tc>
          <w:tcPr>
            <w:tcW w:w="4624" w:type="dxa"/>
          </w:tcPr>
          <w:p w:rsidR="0077195E" w:rsidRPr="0078696C" w:rsidRDefault="009714E2"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Греція, </w:t>
            </w:r>
            <w:r w:rsidR="0077195E" w:rsidRPr="0078696C">
              <w:rPr>
                <w:rFonts w:ascii="Times New Roman" w:eastAsia="Times New Roman" w:hAnsi="Times New Roman"/>
                <w:color w:val="000000"/>
                <w:sz w:val="24"/>
                <w:szCs w:val="24"/>
                <w:lang w:eastAsia="ru-RU"/>
              </w:rPr>
              <w:t>Іспанія,</w:t>
            </w:r>
            <w:r w:rsidRPr="0078696C">
              <w:rPr>
                <w:rFonts w:ascii="Times New Roman" w:eastAsia="Times New Roman" w:hAnsi="Times New Roman"/>
                <w:color w:val="000000"/>
                <w:sz w:val="24"/>
                <w:szCs w:val="24"/>
                <w:lang w:eastAsia="ru-RU"/>
              </w:rPr>
              <w:t xml:space="preserve"> Кіпр,</w:t>
            </w:r>
            <w:r w:rsidR="00FB11B9" w:rsidRPr="0078696C">
              <w:rPr>
                <w:rFonts w:ascii="Times New Roman" w:eastAsia="Times New Roman" w:hAnsi="Times New Roman"/>
                <w:color w:val="000000"/>
                <w:sz w:val="24"/>
                <w:szCs w:val="24"/>
                <w:lang w:eastAsia="ru-RU"/>
              </w:rPr>
              <w:t xml:space="preserve"> Польща, </w:t>
            </w:r>
            <w:r w:rsidRPr="0078696C">
              <w:rPr>
                <w:rFonts w:ascii="Times New Roman" w:eastAsia="Times New Roman" w:hAnsi="Times New Roman"/>
                <w:color w:val="000000"/>
                <w:sz w:val="24"/>
                <w:szCs w:val="24"/>
                <w:lang w:eastAsia="ru-RU"/>
              </w:rPr>
              <w:t>Португалія, Хорватія</w:t>
            </w:r>
          </w:p>
        </w:tc>
      </w:tr>
      <w:tr w:rsidR="009714E2" w:rsidRPr="0078696C" w:rsidTr="00336B4C">
        <w:trPr>
          <w:jc w:val="center"/>
        </w:trPr>
        <w:tc>
          <w:tcPr>
            <w:tcW w:w="387" w:type="dxa"/>
          </w:tcPr>
          <w:p w:rsidR="009714E2" w:rsidRPr="0078696C" w:rsidRDefault="009714E2"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9714E2" w:rsidRPr="0078696C" w:rsidRDefault="009714E2"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Автоматична залежність </w:t>
            </w:r>
            <w:r w:rsidR="00C258F6" w:rsidRPr="0078696C">
              <w:rPr>
                <w:rFonts w:ascii="Times New Roman" w:eastAsia="Times New Roman" w:hAnsi="Times New Roman"/>
                <w:color w:val="000000"/>
                <w:sz w:val="24"/>
                <w:szCs w:val="24"/>
                <w:lang w:eastAsia="ru-RU"/>
              </w:rPr>
              <w:t>індексації пенсії від очікуваної тривалості життя</w:t>
            </w:r>
          </w:p>
        </w:tc>
        <w:tc>
          <w:tcPr>
            <w:tcW w:w="4624" w:type="dxa"/>
          </w:tcPr>
          <w:p w:rsidR="009714E2" w:rsidRPr="0078696C" w:rsidRDefault="00C258F6"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Греція, Данія, Італія, Кіпр, Нідерланди, Португалія, Словаччина</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7195E" w:rsidRPr="0078696C" w:rsidRDefault="0077195E"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Введення менш сприятливих правил валоризації пенсій</w:t>
            </w:r>
          </w:p>
        </w:tc>
        <w:tc>
          <w:tcPr>
            <w:tcW w:w="4624" w:type="dxa"/>
          </w:tcPr>
          <w:p w:rsidR="00FB11B9" w:rsidRPr="0078696C" w:rsidRDefault="00FB11B9"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Бельгія, </w:t>
            </w:r>
            <w:r w:rsidR="009714E2" w:rsidRPr="0078696C">
              <w:rPr>
                <w:rFonts w:ascii="Times New Roman" w:eastAsia="Times New Roman" w:hAnsi="Times New Roman"/>
                <w:color w:val="000000"/>
                <w:sz w:val="24"/>
                <w:szCs w:val="24"/>
                <w:lang w:eastAsia="ru-RU"/>
              </w:rPr>
              <w:t xml:space="preserve">Греція, </w:t>
            </w:r>
            <w:r w:rsidRPr="0078696C">
              <w:rPr>
                <w:rFonts w:ascii="Times New Roman" w:eastAsia="Times New Roman" w:hAnsi="Times New Roman"/>
                <w:color w:val="000000"/>
                <w:sz w:val="24"/>
                <w:szCs w:val="24"/>
                <w:lang w:eastAsia="ru-RU"/>
              </w:rPr>
              <w:t xml:space="preserve">Португалія, </w:t>
            </w:r>
            <w:r w:rsidR="009714E2" w:rsidRPr="0078696C">
              <w:rPr>
                <w:rFonts w:ascii="Times New Roman" w:eastAsia="Times New Roman" w:hAnsi="Times New Roman"/>
                <w:color w:val="000000"/>
                <w:sz w:val="24"/>
                <w:szCs w:val="24"/>
                <w:lang w:eastAsia="ru-RU"/>
              </w:rPr>
              <w:t>Румунія,</w:t>
            </w:r>
          </w:p>
          <w:p w:rsidR="0077195E" w:rsidRPr="0078696C" w:rsidRDefault="009714E2"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Франція, Хорватія</w:t>
            </w:r>
          </w:p>
        </w:tc>
      </w:tr>
      <w:tr w:rsidR="00744E8D" w:rsidRPr="0078696C" w:rsidTr="00336B4C">
        <w:trPr>
          <w:jc w:val="center"/>
        </w:trPr>
        <w:tc>
          <w:tcPr>
            <w:tcW w:w="387" w:type="dxa"/>
          </w:tcPr>
          <w:p w:rsidR="00744E8D" w:rsidRPr="0078696C" w:rsidRDefault="00744E8D"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44E8D" w:rsidRPr="0078696C" w:rsidRDefault="00A43721"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Спрощення умов для працюючого населення</w:t>
            </w:r>
          </w:p>
        </w:tc>
        <w:tc>
          <w:tcPr>
            <w:tcW w:w="4624" w:type="dxa"/>
          </w:tcPr>
          <w:p w:rsidR="00744E8D" w:rsidRPr="0078696C" w:rsidRDefault="00C258F6"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Бельгія, Данія, Ірландія, Іспанія, Фінляндія, Хорватія</w:t>
            </w:r>
          </w:p>
        </w:tc>
      </w:tr>
      <w:tr w:rsidR="00271FA4" w:rsidRPr="0078696C" w:rsidTr="00336B4C">
        <w:trPr>
          <w:jc w:val="center"/>
        </w:trPr>
        <w:tc>
          <w:tcPr>
            <w:tcW w:w="387" w:type="dxa"/>
          </w:tcPr>
          <w:p w:rsidR="00271FA4" w:rsidRPr="0078696C" w:rsidRDefault="00271FA4"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271FA4" w:rsidRPr="0078696C" w:rsidRDefault="00271FA4"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Скорочення розміру пенсій </w:t>
            </w:r>
          </w:p>
          <w:p w:rsidR="00271FA4" w:rsidRPr="0078696C" w:rsidRDefault="00271FA4"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(тимчасовий характер)</w:t>
            </w:r>
          </w:p>
        </w:tc>
        <w:tc>
          <w:tcPr>
            <w:tcW w:w="4624" w:type="dxa"/>
          </w:tcPr>
          <w:p w:rsidR="00271FA4" w:rsidRPr="0078696C" w:rsidRDefault="00336B4C"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Кіпр, Греція, Угорщина, Ірландія, Литва, Латвія, Португалія, Румунія, Словенія</w:t>
            </w:r>
          </w:p>
        </w:tc>
      </w:tr>
      <w:tr w:rsidR="00271FA4" w:rsidRPr="0078696C" w:rsidTr="00336B4C">
        <w:trPr>
          <w:jc w:val="center"/>
        </w:trPr>
        <w:tc>
          <w:tcPr>
            <w:tcW w:w="387" w:type="dxa"/>
          </w:tcPr>
          <w:p w:rsidR="00271FA4" w:rsidRPr="0078696C" w:rsidRDefault="00271FA4"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271FA4" w:rsidRPr="0078696C" w:rsidRDefault="00271FA4"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Припинення (зниження) індексації (тимчасовий характер)</w:t>
            </w:r>
          </w:p>
        </w:tc>
        <w:tc>
          <w:tcPr>
            <w:tcW w:w="4624" w:type="dxa"/>
          </w:tcPr>
          <w:p w:rsidR="00336B4C" w:rsidRPr="0078696C" w:rsidRDefault="00336B4C"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15 держав-членів</w:t>
            </w:r>
          </w:p>
          <w:p w:rsidR="00336B4C" w:rsidRPr="0078696C" w:rsidRDefault="00336B4C"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(у т.ч. Болгарія, Чехія, Греція, Фінляндія, Франція, Угорщина, Італія,</w:t>
            </w:r>
          </w:p>
          <w:p w:rsidR="00271FA4" w:rsidRPr="0078696C" w:rsidRDefault="00336B4C"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Латвія, Португалія, Румунія, Швеція)</w:t>
            </w:r>
          </w:p>
        </w:tc>
      </w:tr>
      <w:tr w:rsidR="0077195E" w:rsidRPr="0078696C" w:rsidTr="00336B4C">
        <w:trPr>
          <w:jc w:val="center"/>
        </w:trPr>
        <w:tc>
          <w:tcPr>
            <w:tcW w:w="387" w:type="dxa"/>
          </w:tcPr>
          <w:p w:rsidR="0077195E" w:rsidRPr="0078696C" w:rsidRDefault="0077195E" w:rsidP="00A95BFC">
            <w:pPr>
              <w:pStyle w:val="a3"/>
              <w:numPr>
                <w:ilvl w:val="0"/>
                <w:numId w:val="43"/>
              </w:numPr>
              <w:spacing w:after="0" w:line="240" w:lineRule="auto"/>
              <w:ind w:left="0" w:firstLine="0"/>
              <w:jc w:val="both"/>
              <w:rPr>
                <w:rFonts w:ascii="Times New Roman" w:eastAsia="Times New Roman" w:hAnsi="Times New Roman"/>
                <w:color w:val="000000"/>
                <w:sz w:val="24"/>
                <w:szCs w:val="24"/>
                <w:lang w:val="uk-UA" w:eastAsia="ru-RU"/>
              </w:rPr>
            </w:pPr>
          </w:p>
        </w:tc>
        <w:tc>
          <w:tcPr>
            <w:tcW w:w="4541" w:type="dxa"/>
          </w:tcPr>
          <w:p w:rsidR="00744E8D" w:rsidRPr="0078696C" w:rsidRDefault="00744E8D"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 xml:space="preserve">Оподаткування пенсій </w:t>
            </w:r>
          </w:p>
          <w:p w:rsidR="0077195E" w:rsidRPr="0078696C" w:rsidRDefault="00744E8D"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(тимчасовий характер)</w:t>
            </w:r>
          </w:p>
        </w:tc>
        <w:tc>
          <w:tcPr>
            <w:tcW w:w="4624" w:type="dxa"/>
          </w:tcPr>
          <w:p w:rsidR="00336B4C" w:rsidRPr="0078696C" w:rsidRDefault="00336B4C"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Кіпр, Данія, Греція, Ірландія,</w:t>
            </w:r>
          </w:p>
          <w:p w:rsidR="0077195E" w:rsidRPr="0078696C" w:rsidRDefault="00336B4C" w:rsidP="00336B4C">
            <w:pPr>
              <w:spacing w:after="0" w:line="240" w:lineRule="auto"/>
              <w:rPr>
                <w:rFonts w:ascii="Times New Roman" w:eastAsia="Times New Roman" w:hAnsi="Times New Roman"/>
                <w:color w:val="000000"/>
                <w:sz w:val="24"/>
                <w:szCs w:val="24"/>
                <w:lang w:eastAsia="ru-RU"/>
              </w:rPr>
            </w:pPr>
            <w:r w:rsidRPr="0078696C">
              <w:rPr>
                <w:rFonts w:ascii="Times New Roman" w:eastAsia="Times New Roman" w:hAnsi="Times New Roman"/>
                <w:color w:val="000000"/>
                <w:sz w:val="24"/>
                <w:szCs w:val="24"/>
                <w:lang w:eastAsia="ru-RU"/>
              </w:rPr>
              <w:t>Португалія, Румунія</w:t>
            </w:r>
          </w:p>
        </w:tc>
      </w:tr>
    </w:tbl>
    <w:p w:rsidR="00F252D8" w:rsidRDefault="00913015" w:rsidP="00CF4BEA">
      <w:pPr>
        <w:spacing w:after="0" w:line="360" w:lineRule="auto"/>
        <w:jc w:val="center"/>
        <w:rPr>
          <w:rFonts w:ascii="Times New Roman" w:eastAsia="Times New Roman" w:hAnsi="Times New Roman"/>
          <w:color w:val="000000"/>
          <w:sz w:val="28"/>
          <w:szCs w:val="28"/>
          <w:lang w:val="ru-RU" w:eastAsia="ru-RU"/>
        </w:rPr>
      </w:pPr>
      <w:r w:rsidRPr="0078696C">
        <w:rPr>
          <w:rFonts w:ascii="Times New Roman" w:eastAsia="Times New Roman" w:hAnsi="Times New Roman"/>
          <w:color w:val="000000"/>
          <w:sz w:val="28"/>
          <w:szCs w:val="28"/>
          <w:lang w:eastAsia="ru-RU"/>
        </w:rPr>
        <w:t xml:space="preserve">Джерело : </w:t>
      </w:r>
      <w:r w:rsidR="00F252D8">
        <w:rPr>
          <w:rFonts w:ascii="Times New Roman" w:eastAsia="Times New Roman" w:hAnsi="Times New Roman"/>
          <w:color w:val="000000"/>
          <w:sz w:val="28"/>
          <w:szCs w:val="28"/>
          <w:lang w:val="ru-RU" w:eastAsia="ru-RU"/>
        </w:rPr>
        <w:t>ск</w:t>
      </w:r>
      <w:r w:rsidR="00CF4BEA">
        <w:rPr>
          <w:rFonts w:ascii="Times New Roman" w:eastAsia="Times New Roman" w:hAnsi="Times New Roman"/>
          <w:color w:val="000000"/>
          <w:sz w:val="28"/>
          <w:szCs w:val="28"/>
          <w:lang w:eastAsia="ru-RU"/>
        </w:rPr>
        <w:t xml:space="preserve">ладено автором на основі </w:t>
      </w:r>
      <w:r w:rsidR="00F252D8" w:rsidRPr="00CF4BEA">
        <w:rPr>
          <w:rFonts w:ascii="Times New Roman" w:eastAsia="Times New Roman" w:hAnsi="Times New Roman"/>
          <w:color w:val="000000"/>
          <w:sz w:val="28"/>
          <w:szCs w:val="28"/>
          <w:lang w:val="ru-RU" w:eastAsia="ru-RU"/>
        </w:rPr>
        <w:t>[</w:t>
      </w:r>
      <w:r w:rsidR="0079583A">
        <w:rPr>
          <w:rFonts w:ascii="Times New Roman" w:eastAsia="Times New Roman" w:hAnsi="Times New Roman"/>
          <w:color w:val="000000"/>
          <w:sz w:val="28"/>
          <w:szCs w:val="28"/>
          <w:lang w:val="ru-RU" w:eastAsia="ru-RU"/>
        </w:rPr>
        <w:t>231; 271; 272</w:t>
      </w:r>
      <w:r w:rsidR="00F252D8" w:rsidRPr="00CF4BEA">
        <w:rPr>
          <w:rFonts w:ascii="Times New Roman" w:eastAsia="Times New Roman" w:hAnsi="Times New Roman"/>
          <w:color w:val="000000"/>
          <w:sz w:val="28"/>
          <w:szCs w:val="28"/>
          <w:lang w:val="ru-RU" w:eastAsia="ru-RU"/>
        </w:rPr>
        <w:t>]</w:t>
      </w:r>
    </w:p>
    <w:p w:rsidR="00CF4BEA" w:rsidRPr="00CF4BEA" w:rsidRDefault="00CF4BEA" w:rsidP="00CF4BEA">
      <w:pPr>
        <w:spacing w:after="0" w:line="360" w:lineRule="auto"/>
        <w:jc w:val="center"/>
        <w:rPr>
          <w:rFonts w:ascii="Times New Roman" w:eastAsia="Times New Roman" w:hAnsi="Times New Roman"/>
          <w:color w:val="000000"/>
          <w:sz w:val="8"/>
          <w:szCs w:val="8"/>
          <w:lang w:val="ru-RU" w:eastAsia="ru-RU"/>
        </w:rPr>
      </w:pPr>
    </w:p>
    <w:p w:rsidR="00925143" w:rsidRPr="0078696C" w:rsidRDefault="00913015" w:rsidP="00E467D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Як бачимо</w:t>
      </w:r>
      <w:r w:rsidR="00744E8D" w:rsidRPr="0078696C">
        <w:rPr>
          <w:rFonts w:ascii="Times New Roman" w:eastAsia="Times New Roman" w:hAnsi="Times New Roman"/>
          <w:color w:val="000000"/>
          <w:sz w:val="28"/>
          <w:szCs w:val="28"/>
          <w:lang w:eastAsia="ru-RU"/>
        </w:rPr>
        <w:t xml:space="preserve"> з даних таблиці 3.4</w:t>
      </w:r>
      <w:r w:rsidRPr="0078696C">
        <w:rPr>
          <w:rFonts w:ascii="Times New Roman" w:eastAsia="Times New Roman" w:hAnsi="Times New Roman"/>
          <w:color w:val="000000"/>
          <w:sz w:val="28"/>
          <w:szCs w:val="28"/>
          <w:lang w:eastAsia="ru-RU"/>
        </w:rPr>
        <w:t>, б</w:t>
      </w:r>
      <w:r w:rsidR="00925143" w:rsidRPr="0078696C">
        <w:rPr>
          <w:rFonts w:ascii="Times New Roman" w:eastAsia="Times New Roman" w:hAnsi="Times New Roman"/>
          <w:color w:val="000000"/>
          <w:sz w:val="28"/>
          <w:szCs w:val="28"/>
          <w:lang w:eastAsia="ru-RU"/>
        </w:rPr>
        <w:t xml:space="preserve">ільшість держав ЄС </w:t>
      </w:r>
      <w:r w:rsidR="00744E8D" w:rsidRPr="0078696C">
        <w:rPr>
          <w:rFonts w:ascii="Times New Roman" w:eastAsia="Times New Roman" w:hAnsi="Times New Roman"/>
          <w:color w:val="000000"/>
          <w:sz w:val="28"/>
          <w:szCs w:val="28"/>
          <w:lang w:eastAsia="ru-RU"/>
        </w:rPr>
        <w:t xml:space="preserve">у посткризовий період </w:t>
      </w:r>
      <w:r w:rsidR="00925143" w:rsidRPr="0078696C">
        <w:rPr>
          <w:rFonts w:ascii="Times New Roman" w:eastAsia="Times New Roman" w:hAnsi="Times New Roman"/>
          <w:color w:val="000000"/>
          <w:sz w:val="28"/>
          <w:szCs w:val="28"/>
          <w:lang w:eastAsia="ru-RU"/>
        </w:rPr>
        <w:t xml:space="preserve">запровадили для громадян додаткові стимули «відкладати на пенсію». Деякі країни-учасниці обмежили або повністю скасували можливість </w:t>
      </w:r>
      <w:r w:rsidRPr="0078696C">
        <w:rPr>
          <w:rFonts w:ascii="Times New Roman" w:eastAsia="Times New Roman" w:hAnsi="Times New Roman"/>
          <w:color w:val="000000"/>
          <w:sz w:val="28"/>
          <w:szCs w:val="28"/>
          <w:lang w:eastAsia="ru-RU"/>
        </w:rPr>
        <w:t xml:space="preserve">дострокового виходу на пенсію, </w:t>
      </w:r>
      <w:r w:rsidR="00744E8D" w:rsidRPr="0078696C">
        <w:rPr>
          <w:rFonts w:ascii="Times New Roman" w:eastAsia="Times New Roman" w:hAnsi="Times New Roman"/>
          <w:color w:val="000000"/>
          <w:sz w:val="28"/>
          <w:szCs w:val="28"/>
          <w:lang w:eastAsia="ru-RU"/>
        </w:rPr>
        <w:t>або ж</w:t>
      </w:r>
      <w:r w:rsidR="00C9262E">
        <w:rPr>
          <w:rFonts w:ascii="Times New Roman" w:eastAsia="Times New Roman" w:hAnsi="Times New Roman"/>
          <w:color w:val="000000"/>
          <w:sz w:val="28"/>
          <w:szCs w:val="28"/>
          <w:lang w:eastAsia="ru-RU"/>
        </w:rPr>
        <w:t xml:space="preserve"> </w:t>
      </w:r>
      <w:r w:rsidR="00925143" w:rsidRPr="0078696C">
        <w:rPr>
          <w:rFonts w:ascii="Times New Roman" w:eastAsia="Times New Roman" w:hAnsi="Times New Roman"/>
          <w:color w:val="000000"/>
          <w:sz w:val="28"/>
          <w:szCs w:val="28"/>
          <w:lang w:eastAsia="ru-RU"/>
        </w:rPr>
        <w:t xml:space="preserve">запровадили </w:t>
      </w:r>
      <w:r w:rsidRPr="0078696C">
        <w:rPr>
          <w:rFonts w:ascii="Times New Roman" w:eastAsia="Times New Roman" w:hAnsi="Times New Roman"/>
          <w:color w:val="000000"/>
          <w:sz w:val="28"/>
          <w:szCs w:val="28"/>
          <w:lang w:eastAsia="ru-RU"/>
        </w:rPr>
        <w:t>систему бонусів та «покарань» у випадку більш пізньог</w:t>
      </w:r>
      <w:r w:rsidR="00744E8D" w:rsidRPr="0078696C">
        <w:rPr>
          <w:rFonts w:ascii="Times New Roman" w:eastAsia="Times New Roman" w:hAnsi="Times New Roman"/>
          <w:color w:val="000000"/>
          <w:sz w:val="28"/>
          <w:szCs w:val="28"/>
          <w:lang w:eastAsia="ru-RU"/>
        </w:rPr>
        <w:t>о чи раннього виходу на пенсію, с</w:t>
      </w:r>
      <w:r w:rsidR="00925143" w:rsidRPr="0078696C">
        <w:rPr>
          <w:rFonts w:ascii="Times New Roman" w:eastAsia="Times New Roman" w:hAnsi="Times New Roman"/>
          <w:color w:val="000000"/>
          <w:sz w:val="28"/>
          <w:szCs w:val="28"/>
          <w:lang w:eastAsia="ru-RU"/>
        </w:rPr>
        <w:t>прости</w:t>
      </w:r>
      <w:r w:rsidR="00744E8D" w:rsidRPr="0078696C">
        <w:rPr>
          <w:rFonts w:ascii="Times New Roman" w:eastAsia="Times New Roman" w:hAnsi="Times New Roman"/>
          <w:color w:val="000000"/>
          <w:sz w:val="28"/>
          <w:szCs w:val="28"/>
          <w:lang w:eastAsia="ru-RU"/>
        </w:rPr>
        <w:t>ли</w:t>
      </w:r>
      <w:r w:rsidR="00C9262E">
        <w:rPr>
          <w:rFonts w:ascii="Times New Roman" w:eastAsia="Times New Roman" w:hAnsi="Times New Roman"/>
          <w:color w:val="000000"/>
          <w:sz w:val="28"/>
          <w:szCs w:val="28"/>
          <w:lang w:eastAsia="ru-RU"/>
        </w:rPr>
        <w:t xml:space="preserve"> </w:t>
      </w:r>
      <w:r w:rsidR="00925143" w:rsidRPr="0078696C">
        <w:rPr>
          <w:rFonts w:ascii="Times New Roman" w:eastAsia="Times New Roman" w:hAnsi="Times New Roman"/>
          <w:color w:val="000000"/>
          <w:sz w:val="28"/>
          <w:szCs w:val="28"/>
          <w:lang w:eastAsia="ru-RU"/>
        </w:rPr>
        <w:t>умови поєднання роботи та пенсійного забезпечення для працюючих пенсіонерів.</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Дослідження напрямків реформувань пенсійних систем країн ЄС </w:t>
      </w:r>
      <w:r w:rsidR="008F5E2F" w:rsidRPr="0078696C">
        <w:rPr>
          <w:rFonts w:ascii="Times New Roman" w:eastAsia="Times New Roman" w:hAnsi="Times New Roman"/>
          <w:color w:val="000000"/>
          <w:sz w:val="28"/>
          <w:szCs w:val="28"/>
          <w:lang w:eastAsia="ru-RU"/>
        </w:rPr>
        <w:t xml:space="preserve">з 90-х років ХХ ст. і до сьогодні </w:t>
      </w:r>
      <w:r w:rsidRPr="0078696C">
        <w:rPr>
          <w:rFonts w:ascii="Times New Roman" w:eastAsia="Times New Roman" w:hAnsi="Times New Roman"/>
          <w:color w:val="000000"/>
          <w:sz w:val="28"/>
          <w:szCs w:val="28"/>
          <w:lang w:eastAsia="ru-RU"/>
        </w:rPr>
        <w:t>дозволяє відзначити кілька загальних тенденцій:</w:t>
      </w:r>
    </w:p>
    <w:p w:rsidR="00634397" w:rsidRPr="0078696C" w:rsidRDefault="00543148" w:rsidP="0063439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1. </w:t>
      </w:r>
      <w:r w:rsidR="001A1588" w:rsidRPr="0078696C">
        <w:rPr>
          <w:rFonts w:ascii="Times New Roman" w:eastAsia="Times New Roman" w:hAnsi="Times New Roman"/>
          <w:i/>
          <w:color w:val="000000"/>
          <w:sz w:val="28"/>
          <w:szCs w:val="28"/>
          <w:lang w:eastAsia="ru-RU"/>
        </w:rPr>
        <w:t xml:space="preserve">Створення </w:t>
      </w:r>
      <w:r w:rsidRPr="0078696C">
        <w:rPr>
          <w:rFonts w:ascii="Times New Roman" w:eastAsia="Times New Roman" w:hAnsi="Times New Roman"/>
          <w:i/>
          <w:color w:val="000000"/>
          <w:sz w:val="28"/>
          <w:szCs w:val="28"/>
          <w:lang w:eastAsia="ru-RU"/>
        </w:rPr>
        <w:t>накопичувальних сист</w:t>
      </w:r>
      <w:r w:rsidR="00634397" w:rsidRPr="0078696C">
        <w:rPr>
          <w:rFonts w:ascii="Times New Roman" w:eastAsia="Times New Roman" w:hAnsi="Times New Roman"/>
          <w:i/>
          <w:color w:val="000000"/>
          <w:sz w:val="28"/>
          <w:szCs w:val="28"/>
          <w:lang w:eastAsia="ru-RU"/>
        </w:rPr>
        <w:t>ем</w:t>
      </w:r>
      <w:r w:rsidR="00634397" w:rsidRPr="0078696C">
        <w:rPr>
          <w:rFonts w:ascii="Times New Roman" w:eastAsia="Times New Roman" w:hAnsi="Times New Roman"/>
          <w:color w:val="000000"/>
          <w:sz w:val="28"/>
          <w:szCs w:val="28"/>
          <w:lang w:eastAsia="ru-RU"/>
        </w:rPr>
        <w:t xml:space="preserve"> при збереженні розподільної</w:t>
      </w:r>
      <w:r w:rsidRPr="0078696C">
        <w:rPr>
          <w:rFonts w:ascii="Times New Roman" w:eastAsia="Times New Roman" w:hAnsi="Times New Roman"/>
          <w:color w:val="000000"/>
          <w:sz w:val="28"/>
          <w:szCs w:val="28"/>
          <w:lang w:eastAsia="ru-RU"/>
        </w:rPr>
        <w:t xml:space="preserve">. </w:t>
      </w:r>
    </w:p>
    <w:p w:rsidR="009175B7" w:rsidRPr="0078696C" w:rsidRDefault="00E80BBF" w:rsidP="0063439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При цьому, збільшення частки накопичень може відбуватися на двох рівнях: за обов’язковим пенсійним страхуванням та за добровільним пенсійним забезпеченням.</w:t>
      </w:r>
    </w:p>
    <w:p w:rsidR="00F85C1C" w:rsidRPr="0078696C" w:rsidRDefault="009175B7" w:rsidP="00F85C1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Найбільша частка (20-30%) використання приватного пенсійного забезпечення при здійсненні поточних пенсійних виплат спостерігається у Великій Британії, Данії, Нідерландах та Ірландії. Найменший аналогічний показник – у Франції, Іспанії, Греції та Мальті. Першими країнами ЄС, які ввели приватне пенсійне забезпечення на початку другої половини ХХ ст., стали Нідерланди, Данія і Великобританія. Внаслідок цього, Нідерланди і Великобританія займають перші місця за обсягом коштів пенсійних фондів в </w:t>
      </w:r>
      <w:r w:rsidRPr="0078696C">
        <w:rPr>
          <w:rFonts w:ascii="Times New Roman" w:eastAsia="Times New Roman" w:hAnsi="Times New Roman"/>
          <w:color w:val="000000"/>
          <w:sz w:val="28"/>
          <w:szCs w:val="28"/>
          <w:lang w:eastAsia="ru-RU"/>
        </w:rPr>
        <w:lastRenderedPageBreak/>
        <w:t xml:space="preserve">процентах до ВВП (148,7 і 99,6% відповідно), а Данія – п’яте місце (42,1% ВВП) серед країн ЄС. Основна хвиля реформування ПС щодо включення приватного елементу (другий і третій рівень ПС) припала на кінець 90-х років ХХ ст. і початок 2000-х років і торкнулася таких країн ЄС, як Латвія (1996), Угорщина (1998), Хорватія і Польща (1999), Болгарія (2000), Естонія (2002), Словаччина (2004) і Румунія (2005) </w:t>
      </w:r>
      <w:r w:rsidR="00F85C1C" w:rsidRPr="0078696C">
        <w:rPr>
          <w:rStyle w:val="a8"/>
          <w:rFonts w:ascii="Times New Roman" w:eastAsia="Times New Roman" w:hAnsi="Times New Roman"/>
          <w:color w:val="000000"/>
          <w:sz w:val="28"/>
          <w:szCs w:val="28"/>
          <w:lang w:eastAsia="ru-RU"/>
        </w:rPr>
        <w:footnoteReference w:id="328"/>
      </w:r>
      <w:r w:rsidRPr="0078696C">
        <w:rPr>
          <w:rFonts w:ascii="Times New Roman" w:eastAsia="Times New Roman" w:hAnsi="Times New Roman"/>
          <w:color w:val="000000"/>
          <w:sz w:val="28"/>
          <w:szCs w:val="28"/>
          <w:lang w:eastAsia="ru-RU"/>
        </w:rPr>
        <w:t>.</w:t>
      </w:r>
    </w:p>
    <w:p w:rsidR="00543148" w:rsidRPr="0078696C" w:rsidRDefault="00634397" w:rsidP="00F85C1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Греція у 2010р. запровадила «базову пенсію» та реформувала перший компонент державної пенсійної системи (солідарну систему з визначеними пенсійними внесками). У 2012р. країна перейшла до другого (накопичувального) компонента державної пенсійної системи, а у травні 2016р. ухвалила нові пенсійні реформи, спрямовані на подальше скорочення пенсійних виплат </w:t>
      </w:r>
      <w:r w:rsidR="00D8248B" w:rsidRPr="0078696C">
        <w:rPr>
          <w:rStyle w:val="a8"/>
          <w:rFonts w:ascii="Times New Roman" w:eastAsia="Times New Roman" w:hAnsi="Times New Roman"/>
          <w:color w:val="000000"/>
          <w:sz w:val="28"/>
          <w:szCs w:val="28"/>
          <w:lang w:eastAsia="ru-RU"/>
        </w:rPr>
        <w:footnoteReference w:id="329"/>
      </w:r>
      <w:r w:rsidRPr="0078696C">
        <w:rPr>
          <w:rFonts w:ascii="Times New Roman" w:eastAsia="Times New Roman" w:hAnsi="Times New Roman"/>
          <w:color w:val="000000"/>
          <w:sz w:val="28"/>
          <w:szCs w:val="28"/>
          <w:lang w:eastAsia="ru-RU"/>
        </w:rPr>
        <w:t>.</w:t>
      </w:r>
    </w:p>
    <w:p w:rsidR="002B2B67" w:rsidRPr="0078696C" w:rsidRDefault="00543148" w:rsidP="002B2B6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Стратегічним напрямком реформування та трансформації пенсійних систем у більшості </w:t>
      </w:r>
      <w:r w:rsidR="008A2D95" w:rsidRPr="0078696C">
        <w:rPr>
          <w:rFonts w:ascii="Times New Roman" w:eastAsia="Times New Roman" w:hAnsi="Times New Roman"/>
          <w:color w:val="000000"/>
          <w:sz w:val="28"/>
          <w:szCs w:val="28"/>
          <w:lang w:eastAsia="ru-RU"/>
        </w:rPr>
        <w:t xml:space="preserve">перелічених країн </w:t>
      </w:r>
      <w:r w:rsidRPr="0078696C">
        <w:rPr>
          <w:rFonts w:ascii="Times New Roman" w:eastAsia="Times New Roman" w:hAnsi="Times New Roman"/>
          <w:color w:val="000000"/>
          <w:sz w:val="28"/>
          <w:szCs w:val="28"/>
          <w:lang w:eastAsia="ru-RU"/>
        </w:rPr>
        <w:t>було ослаблення першої складової державних пенсійних систем при зміцненні і посиленні її другої складової при активному сприянні розви</w:t>
      </w:r>
      <w:r w:rsidR="008A2D95" w:rsidRPr="0078696C">
        <w:rPr>
          <w:rFonts w:ascii="Times New Roman" w:eastAsia="Times New Roman" w:hAnsi="Times New Roman"/>
          <w:color w:val="000000"/>
          <w:sz w:val="28"/>
          <w:szCs w:val="28"/>
          <w:lang w:eastAsia="ru-RU"/>
        </w:rPr>
        <w:t xml:space="preserve">тку добровільного страхування. </w:t>
      </w:r>
    </w:p>
    <w:p w:rsidR="00617490" w:rsidRPr="0078696C" w:rsidRDefault="00617490" w:rsidP="0061749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Незважаючи на переваги функціонування накопичувальних систем, такі країни як Франція, Німеччина, Італія, Іспанія обрали шлях поступового реформування своїх пенсійних систем, до сьогодні не прийнявши рішення щодо введення обов’язкових накопичувальних компонентів у національні пенсійні системи. Системи пенсійного забезпечення в цих країнах організовані за розподільною моделлю, а пенсійні накопичення формуються добровільно.</w:t>
      </w:r>
    </w:p>
    <w:p w:rsidR="008A2D95" w:rsidRPr="0078696C" w:rsidRDefault="008A2D95" w:rsidP="00AE5AA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Розвиток додаткового пенсійного забезпечення, на думку ЄК, є істотним етапом формування гідного пенсійного забезпечення для громадян ЄС, так як на цьому етапі створюються осо</w:t>
      </w:r>
      <w:r w:rsidR="00AE5AAC" w:rsidRPr="0078696C">
        <w:rPr>
          <w:rFonts w:ascii="Times New Roman" w:eastAsia="Times New Roman" w:hAnsi="Times New Roman"/>
          <w:color w:val="000000"/>
          <w:sz w:val="28"/>
          <w:szCs w:val="28"/>
          <w:lang w:eastAsia="ru-RU"/>
        </w:rPr>
        <w:t xml:space="preserve">бисті заощадження громадян, які </w:t>
      </w:r>
      <w:r w:rsidRPr="0078696C">
        <w:rPr>
          <w:rFonts w:ascii="Times New Roman" w:eastAsia="Times New Roman" w:hAnsi="Times New Roman"/>
          <w:color w:val="000000"/>
          <w:sz w:val="28"/>
          <w:szCs w:val="28"/>
          <w:lang w:eastAsia="ru-RU"/>
        </w:rPr>
        <w:t>є власністю і не можуть бути задіяні в перерозподілі доходів між поколіннями, що свідчить про відсутність демографічних</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ризиків. В якості стимулів для участі громадян в </w:t>
      </w:r>
      <w:r w:rsidRPr="0078696C">
        <w:rPr>
          <w:rFonts w:ascii="Times New Roman" w:eastAsia="Times New Roman" w:hAnsi="Times New Roman"/>
          <w:color w:val="000000"/>
          <w:sz w:val="28"/>
          <w:szCs w:val="28"/>
          <w:lang w:eastAsia="ru-RU"/>
        </w:rPr>
        <w:lastRenderedPageBreak/>
        <w:t>добровільному пенсійному забезпеченні можуть виступати фінансові та податкові послаблення, а також забез</w:t>
      </w:r>
      <w:r w:rsidR="00AE5AAC" w:rsidRPr="0078696C">
        <w:rPr>
          <w:rFonts w:ascii="Times New Roman" w:eastAsia="Times New Roman" w:hAnsi="Times New Roman"/>
          <w:color w:val="000000"/>
          <w:sz w:val="28"/>
          <w:szCs w:val="28"/>
          <w:lang w:eastAsia="ru-RU"/>
        </w:rPr>
        <w:t>пе</w:t>
      </w:r>
      <w:r w:rsidRPr="0078696C">
        <w:rPr>
          <w:rFonts w:ascii="Times New Roman" w:eastAsia="Times New Roman" w:hAnsi="Times New Roman"/>
          <w:color w:val="000000"/>
          <w:sz w:val="28"/>
          <w:szCs w:val="28"/>
          <w:lang w:eastAsia="ru-RU"/>
        </w:rPr>
        <w:t>чення адекватного рівня прибутковості добровільних внесків</w:t>
      </w:r>
      <w:r w:rsidR="00AE5AAC" w:rsidRPr="0078696C">
        <w:rPr>
          <w:rStyle w:val="a8"/>
          <w:rFonts w:ascii="Times New Roman" w:eastAsia="Times New Roman" w:hAnsi="Times New Roman"/>
          <w:color w:val="000000"/>
          <w:sz w:val="28"/>
          <w:szCs w:val="28"/>
          <w:lang w:eastAsia="ru-RU"/>
        </w:rPr>
        <w:footnoteReference w:id="330"/>
      </w:r>
      <w:r w:rsidRPr="0078696C">
        <w:rPr>
          <w:rFonts w:ascii="Times New Roman" w:eastAsia="Times New Roman" w:hAnsi="Times New Roman"/>
          <w:color w:val="000000"/>
          <w:sz w:val="28"/>
          <w:szCs w:val="28"/>
          <w:lang w:eastAsia="ru-RU"/>
        </w:rPr>
        <w:t>.</w:t>
      </w:r>
    </w:p>
    <w:p w:rsidR="00AE5AAC" w:rsidRPr="0078696C" w:rsidRDefault="00AE5AAC" w:rsidP="00AE5AA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Таким чином, починаючи з 1990-х років в країнах ЄС було проведено масштабне реформування національних пенсійних систем, спрямоване на введення приватного пенсійного забезпечення, в тому числі другого рівня.</w:t>
      </w:r>
    </w:p>
    <w:p w:rsidR="00AE5AAC" w:rsidRPr="0078696C" w:rsidRDefault="00AE5AAC" w:rsidP="001A158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Досвід Нідерландів, Данії та Великобританії, які довели фінансову </w:t>
      </w:r>
      <w:r w:rsidR="001A1588" w:rsidRPr="0078696C">
        <w:rPr>
          <w:rFonts w:ascii="Times New Roman" w:eastAsia="Times New Roman" w:hAnsi="Times New Roman"/>
          <w:color w:val="000000"/>
          <w:sz w:val="28"/>
          <w:szCs w:val="28"/>
          <w:lang w:eastAsia="ru-RU"/>
        </w:rPr>
        <w:t xml:space="preserve">незалежність та </w:t>
      </w:r>
      <w:r w:rsidRPr="0078696C">
        <w:rPr>
          <w:rFonts w:ascii="Times New Roman" w:eastAsia="Times New Roman" w:hAnsi="Times New Roman"/>
          <w:color w:val="000000"/>
          <w:sz w:val="28"/>
          <w:szCs w:val="28"/>
          <w:lang w:eastAsia="ru-RU"/>
        </w:rPr>
        <w:t>стійкість своїх пенсійних си</w:t>
      </w:r>
      <w:r w:rsidR="001A1588" w:rsidRPr="0078696C">
        <w:rPr>
          <w:rFonts w:ascii="Times New Roman" w:eastAsia="Times New Roman" w:hAnsi="Times New Roman"/>
          <w:color w:val="000000"/>
          <w:sz w:val="28"/>
          <w:szCs w:val="28"/>
          <w:lang w:eastAsia="ru-RU"/>
        </w:rPr>
        <w:t>с</w:t>
      </w:r>
      <w:r w:rsidRPr="0078696C">
        <w:rPr>
          <w:rFonts w:ascii="Times New Roman" w:eastAsia="Times New Roman" w:hAnsi="Times New Roman"/>
          <w:color w:val="000000"/>
          <w:sz w:val="28"/>
          <w:szCs w:val="28"/>
          <w:lang w:eastAsia="ru-RU"/>
        </w:rPr>
        <w:t>тем, може бути використаний і в Україні при введенні накопичувального</w:t>
      </w:r>
      <w:r w:rsidR="001A1588" w:rsidRPr="0078696C">
        <w:rPr>
          <w:rFonts w:ascii="Times New Roman" w:eastAsia="Times New Roman" w:hAnsi="Times New Roman"/>
          <w:color w:val="000000"/>
          <w:sz w:val="28"/>
          <w:szCs w:val="28"/>
          <w:lang w:eastAsia="ru-RU"/>
        </w:rPr>
        <w:t xml:space="preserve"> рівня пенсійного забезпечення та</w:t>
      </w:r>
      <w:r w:rsidRPr="0078696C">
        <w:rPr>
          <w:rFonts w:ascii="Times New Roman" w:eastAsia="Times New Roman" w:hAnsi="Times New Roman"/>
          <w:color w:val="000000"/>
          <w:sz w:val="28"/>
          <w:szCs w:val="28"/>
          <w:lang w:eastAsia="ru-RU"/>
        </w:rPr>
        <w:t xml:space="preserve"> підвищ</w:t>
      </w:r>
      <w:r w:rsidR="001A1588" w:rsidRPr="0078696C">
        <w:rPr>
          <w:rFonts w:ascii="Times New Roman" w:eastAsia="Times New Roman" w:hAnsi="Times New Roman"/>
          <w:color w:val="000000"/>
          <w:sz w:val="28"/>
          <w:szCs w:val="28"/>
          <w:lang w:eastAsia="ru-RU"/>
        </w:rPr>
        <w:t xml:space="preserve">ення </w:t>
      </w:r>
      <w:r w:rsidRPr="0078696C">
        <w:rPr>
          <w:rFonts w:ascii="Times New Roman" w:eastAsia="Times New Roman" w:hAnsi="Times New Roman"/>
          <w:color w:val="000000"/>
          <w:sz w:val="28"/>
          <w:szCs w:val="28"/>
          <w:lang w:eastAsia="ru-RU"/>
        </w:rPr>
        <w:t>самостійн</w:t>
      </w:r>
      <w:r w:rsidR="001A1588" w:rsidRPr="0078696C">
        <w:rPr>
          <w:rFonts w:ascii="Times New Roman" w:eastAsia="Times New Roman" w:hAnsi="Times New Roman"/>
          <w:color w:val="000000"/>
          <w:sz w:val="28"/>
          <w:szCs w:val="28"/>
          <w:lang w:eastAsia="ru-RU"/>
        </w:rPr>
        <w:t>ості</w:t>
      </w:r>
      <w:r w:rsidRPr="0078696C">
        <w:rPr>
          <w:rFonts w:ascii="Times New Roman" w:eastAsia="Times New Roman" w:hAnsi="Times New Roman"/>
          <w:color w:val="000000"/>
          <w:sz w:val="28"/>
          <w:szCs w:val="28"/>
          <w:lang w:eastAsia="ru-RU"/>
        </w:rPr>
        <w:t xml:space="preserve"> пенсійної системи</w:t>
      </w:r>
      <w:r w:rsidR="001A1588" w:rsidRPr="0078696C">
        <w:rPr>
          <w:rFonts w:ascii="Times New Roman" w:eastAsia="Times New Roman" w:hAnsi="Times New Roman"/>
          <w:color w:val="000000"/>
          <w:sz w:val="28"/>
          <w:szCs w:val="28"/>
          <w:lang w:eastAsia="ru-RU"/>
        </w:rPr>
        <w:t xml:space="preserve"> в цілому.</w:t>
      </w:r>
    </w:p>
    <w:p w:rsidR="005B4D85" w:rsidRPr="0078696C" w:rsidRDefault="005B4D85" w:rsidP="0061749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 окремих країнах відбувається повна заміна існуючого пенсійного забезпечення на систему приватного страхування, при якому спостерігається перехід від розподільного до накопичувального пенсійного забезпечення, що спричинює, в свою чергу, реформування податкової системи, податкового регулювання та тарифної політики. Надаючи серйозні податкові пільги та поступово перекладаючи відповідальність за обсяги пенсії на громадян, держава залучає, тим самим, працюючих у систему добровільних накопичувальних пенсійних систему. Цей складний процес не притаманний країнам-членам ЄС, а відбувається у США та Швейцарії </w:t>
      </w:r>
      <w:r w:rsidRPr="0078696C">
        <w:rPr>
          <w:rStyle w:val="a8"/>
          <w:rFonts w:ascii="Times New Roman" w:eastAsia="Times New Roman" w:hAnsi="Times New Roman"/>
          <w:color w:val="000000"/>
          <w:sz w:val="28"/>
          <w:szCs w:val="28"/>
          <w:lang w:eastAsia="ru-RU"/>
        </w:rPr>
        <w:footnoteReference w:id="331"/>
      </w:r>
      <w:r w:rsidR="00617490" w:rsidRPr="0078696C">
        <w:rPr>
          <w:rFonts w:ascii="Times New Roman" w:eastAsia="Times New Roman" w:hAnsi="Times New Roman"/>
          <w:color w:val="000000"/>
          <w:sz w:val="28"/>
          <w:szCs w:val="28"/>
          <w:lang w:eastAsia="ru-RU"/>
        </w:rPr>
        <w:t>.</w:t>
      </w:r>
    </w:p>
    <w:p w:rsidR="001A158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2. </w:t>
      </w:r>
      <w:r w:rsidR="001A1588" w:rsidRPr="0078696C">
        <w:rPr>
          <w:rFonts w:ascii="Times New Roman" w:eastAsia="Times New Roman" w:hAnsi="Times New Roman"/>
          <w:i/>
          <w:color w:val="000000"/>
          <w:sz w:val="28"/>
          <w:szCs w:val="28"/>
          <w:lang w:eastAsia="ru-RU"/>
        </w:rPr>
        <w:t>Збільшення тривалості трудової діяльності громадян</w:t>
      </w:r>
      <w:r w:rsidR="001A1588" w:rsidRPr="0078696C">
        <w:rPr>
          <w:rFonts w:ascii="Times New Roman" w:eastAsia="Times New Roman" w:hAnsi="Times New Roman"/>
          <w:color w:val="000000"/>
          <w:sz w:val="28"/>
          <w:szCs w:val="28"/>
          <w:lang w:eastAsia="ru-RU"/>
        </w:rPr>
        <w:t xml:space="preserve">. Така </w:t>
      </w:r>
      <w:r w:rsidR="00CD34E4" w:rsidRPr="0078696C">
        <w:rPr>
          <w:rFonts w:ascii="Times New Roman" w:eastAsia="Times New Roman" w:hAnsi="Times New Roman"/>
          <w:color w:val="000000"/>
          <w:sz w:val="28"/>
          <w:szCs w:val="28"/>
          <w:lang w:eastAsia="ru-RU"/>
        </w:rPr>
        <w:t>мета</w:t>
      </w:r>
      <w:r w:rsidR="001A1588" w:rsidRPr="0078696C">
        <w:rPr>
          <w:rFonts w:ascii="Times New Roman" w:eastAsia="Times New Roman" w:hAnsi="Times New Roman"/>
          <w:color w:val="000000"/>
          <w:sz w:val="28"/>
          <w:szCs w:val="28"/>
          <w:lang w:eastAsia="ru-RU"/>
        </w:rPr>
        <w:t xml:space="preserve"> в різних кр</w:t>
      </w:r>
      <w:r w:rsidR="00CD34E4" w:rsidRPr="0078696C">
        <w:rPr>
          <w:rFonts w:ascii="Times New Roman" w:eastAsia="Times New Roman" w:hAnsi="Times New Roman"/>
          <w:color w:val="000000"/>
          <w:sz w:val="28"/>
          <w:szCs w:val="28"/>
          <w:lang w:eastAsia="ru-RU"/>
        </w:rPr>
        <w:t>аїнах ЄС досягається по-різному: шляхом підвищення пенсійного віку, стимулюванням до трудової зайнятості після пенсійного віку, скороченням частки дострокового пенсійного забезпечення.</w:t>
      </w:r>
    </w:p>
    <w:p w:rsidR="00CD34E4" w:rsidRPr="0078696C" w:rsidRDefault="00CD34E4" w:rsidP="00CD34E4">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 Італії, Чехії та Франції засобом досягнення збільшення тривалості трудового життя служить зростання мінімального трудового стажу, в Португалії населення стимулюється до накопичень, від суми яких залежить </w:t>
      </w:r>
      <w:r w:rsidRPr="0078696C">
        <w:rPr>
          <w:rFonts w:ascii="Times New Roman" w:eastAsia="Times New Roman" w:hAnsi="Times New Roman"/>
          <w:color w:val="000000"/>
          <w:sz w:val="28"/>
          <w:szCs w:val="28"/>
          <w:lang w:eastAsia="ru-RU"/>
        </w:rPr>
        <w:lastRenderedPageBreak/>
        <w:t xml:space="preserve">розмір встановлюється пенсії, інші країни ЄС досягають цієї мети </w:t>
      </w:r>
      <w:r w:rsidRPr="0078696C">
        <w:rPr>
          <w:rFonts w:ascii="Times New Roman" w:eastAsia="Times New Roman" w:hAnsi="Times New Roman"/>
          <w:i/>
          <w:color w:val="000000"/>
          <w:sz w:val="28"/>
          <w:szCs w:val="28"/>
          <w:lang w:eastAsia="ru-RU"/>
        </w:rPr>
        <w:t>за рахунок збільшення віку виходу на пенсію</w:t>
      </w:r>
      <w:r w:rsidRPr="0078696C">
        <w:rPr>
          <w:rStyle w:val="a8"/>
          <w:rFonts w:ascii="Times New Roman" w:eastAsia="Times New Roman" w:hAnsi="Times New Roman"/>
          <w:color w:val="000000"/>
          <w:sz w:val="28"/>
          <w:szCs w:val="28"/>
          <w:lang w:eastAsia="ru-RU"/>
        </w:rPr>
        <w:footnoteReference w:id="332"/>
      </w:r>
      <w:r w:rsidRPr="0078696C">
        <w:rPr>
          <w:rFonts w:ascii="Times New Roman" w:eastAsia="Times New Roman" w:hAnsi="Times New Roman"/>
          <w:color w:val="000000"/>
          <w:sz w:val="28"/>
          <w:szCs w:val="28"/>
          <w:lang w:eastAsia="ru-RU"/>
        </w:rPr>
        <w:t>.</w:t>
      </w:r>
    </w:p>
    <w:p w:rsidR="00CD34E4" w:rsidRPr="0078696C" w:rsidRDefault="00CD34E4" w:rsidP="009B2B72">
      <w:pPr>
        <w:spacing w:after="0" w:line="240" w:lineRule="auto"/>
        <w:ind w:firstLine="142"/>
        <w:jc w:val="center"/>
        <w:rPr>
          <w:rFonts w:ascii="Times New Roman" w:eastAsia="Times New Roman" w:hAnsi="Times New Roman"/>
          <w:b/>
          <w:color w:val="000000"/>
          <w:sz w:val="28"/>
          <w:szCs w:val="28"/>
          <w:lang w:eastAsia="ru-RU"/>
        </w:rPr>
      </w:pPr>
      <w:r w:rsidRPr="0078696C">
        <w:rPr>
          <w:rFonts w:ascii="Times New Roman" w:eastAsia="Times New Roman" w:hAnsi="Times New Roman"/>
          <w:b/>
          <w:color w:val="000000"/>
          <w:sz w:val="28"/>
          <w:szCs w:val="28"/>
          <w:lang w:eastAsia="ru-RU"/>
        </w:rPr>
        <w:t xml:space="preserve">Таблиця </w:t>
      </w:r>
      <w:r w:rsidR="000119C6" w:rsidRPr="0078696C">
        <w:rPr>
          <w:rFonts w:ascii="Times New Roman" w:eastAsia="Times New Roman" w:hAnsi="Times New Roman"/>
          <w:b/>
          <w:color w:val="000000"/>
          <w:sz w:val="28"/>
          <w:szCs w:val="28"/>
          <w:lang w:eastAsia="ru-RU"/>
        </w:rPr>
        <w:t xml:space="preserve">3.5 Тривалість життя та пенсійний вік </w:t>
      </w:r>
      <w:r w:rsidR="00BE7395" w:rsidRPr="0078696C">
        <w:rPr>
          <w:rFonts w:ascii="Times New Roman" w:eastAsia="Times New Roman" w:hAnsi="Times New Roman"/>
          <w:b/>
          <w:color w:val="000000"/>
          <w:sz w:val="28"/>
          <w:szCs w:val="28"/>
          <w:lang w:eastAsia="ru-RU"/>
        </w:rPr>
        <w:t xml:space="preserve">в країнах ЄС </w:t>
      </w:r>
    </w:p>
    <w:tbl>
      <w:tblPr>
        <w:tblStyle w:val="ae"/>
        <w:tblW w:w="9781" w:type="dxa"/>
        <w:tblInd w:w="-34" w:type="dxa"/>
        <w:tblLayout w:type="fixed"/>
        <w:tblLook w:val="04A0"/>
      </w:tblPr>
      <w:tblGrid>
        <w:gridCol w:w="1397"/>
        <w:gridCol w:w="1397"/>
        <w:gridCol w:w="1397"/>
        <w:gridCol w:w="1398"/>
        <w:gridCol w:w="1397"/>
        <w:gridCol w:w="1397"/>
        <w:gridCol w:w="1398"/>
      </w:tblGrid>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Країна</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Пенсійний вік для жінок</w:t>
            </w:r>
          </w:p>
        </w:tc>
        <w:tc>
          <w:tcPr>
            <w:tcW w:w="1397" w:type="dxa"/>
          </w:tcPr>
          <w:p w:rsidR="008A064E" w:rsidRPr="0078696C" w:rsidRDefault="008A064E" w:rsidP="008A064E">
            <w:pPr>
              <w:spacing w:after="0" w:line="240" w:lineRule="auto"/>
              <w:ind w:left="-76" w:firstLine="76"/>
              <w:contextualSpacing/>
              <w:jc w:val="center"/>
              <w:rPr>
                <w:rFonts w:ascii="Times New Roman" w:eastAsia="Times New Roman" w:hAnsi="Times New Roman"/>
                <w:color w:val="000000"/>
                <w:lang w:eastAsia="ru-RU"/>
              </w:rPr>
            </w:pPr>
            <w:r w:rsidRPr="0078696C">
              <w:rPr>
                <w:rFonts w:ascii="Times New Roman" w:eastAsia="Times New Roman" w:hAnsi="Times New Roman"/>
                <w:color w:val="000000"/>
                <w:lang w:eastAsia="ru-RU"/>
              </w:rPr>
              <w:t>Пенсійний вік для чоловіків</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Середня тривалість життя жінок</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Середня тривалість життя чоловіків</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Середня тривалість життя після пенсії (жінки)</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Середня тривалість життя після пенсії (чоловіки)</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Австрія</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83</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23</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Бельгія</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83</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18</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11</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Болгарія</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63</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69</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17</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Велика Британія</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82</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22</w:t>
            </w:r>
          </w:p>
        </w:tc>
        <w:tc>
          <w:tcPr>
            <w:tcW w:w="1398" w:type="dxa"/>
          </w:tcPr>
          <w:p w:rsidR="008A064E" w:rsidRPr="0078696C" w:rsidRDefault="00177FF6"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Греція</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58-65</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58-65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82</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17-24</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12-17</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Данія</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65-67</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65-67</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81</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14-16</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9-11</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Естонія</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60,5</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63</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79</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18,5</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4</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Ірландія</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65-66</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65-66</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81</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15-16</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10-11</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Іспанія</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C96299"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84</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19</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Італія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57-65</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57-65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83</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18-26</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12-20</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Кіпр</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81</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16</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11</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Латвія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78</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16</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Литва</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80</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70</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20</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7,5</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Люксембург</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83</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18</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11</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Мальта</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61</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81</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21</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16</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Нідерланди</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82</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77</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17</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Німеччина</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82</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17</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11</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Польща</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79</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73</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19</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Португалія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82</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75</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17</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10</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Румунія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58</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63</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76</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69</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18</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Словаччина</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55-59</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80</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71</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21-25</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9</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Словенія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61</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63</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81</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73</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20</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10</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Угорщина</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78</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69</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16</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Фінляндія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62-68</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62-68</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83</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75</w:t>
            </w:r>
          </w:p>
        </w:tc>
        <w:tc>
          <w:tcPr>
            <w:tcW w:w="1397" w:type="dxa"/>
          </w:tcPr>
          <w:p w:rsidR="008A064E" w:rsidRPr="0078696C" w:rsidRDefault="00B912D1" w:rsidP="00B912D1">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15-21</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7-13</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Франція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84</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78</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24</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18</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Хорватія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60</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65</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79</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72</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19</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Чехія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56-60</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61 р.10 міс.</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80</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74</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20-24</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 р. 2 міс.</w:t>
            </w:r>
          </w:p>
        </w:tc>
      </w:tr>
      <w:tr w:rsidR="008A064E" w:rsidRPr="0078696C" w:rsidTr="008A064E">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Швеція</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61-67</w:t>
            </w:r>
          </w:p>
        </w:tc>
        <w:tc>
          <w:tcPr>
            <w:tcW w:w="1397" w:type="dxa"/>
          </w:tcPr>
          <w:p w:rsidR="008A064E" w:rsidRPr="0078696C" w:rsidRDefault="008061E2"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61-67</w:t>
            </w:r>
          </w:p>
        </w:tc>
        <w:tc>
          <w:tcPr>
            <w:tcW w:w="1398"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83</w:t>
            </w:r>
          </w:p>
        </w:tc>
        <w:tc>
          <w:tcPr>
            <w:tcW w:w="1397" w:type="dxa"/>
          </w:tcPr>
          <w:p w:rsidR="008A064E" w:rsidRPr="0078696C" w:rsidRDefault="008A064E"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79</w:t>
            </w:r>
          </w:p>
        </w:tc>
        <w:tc>
          <w:tcPr>
            <w:tcW w:w="1397"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16-22</w:t>
            </w:r>
          </w:p>
        </w:tc>
        <w:tc>
          <w:tcPr>
            <w:tcW w:w="1398" w:type="dxa"/>
          </w:tcPr>
          <w:p w:rsidR="008A064E" w:rsidRPr="0078696C" w:rsidRDefault="00B912D1" w:rsidP="008A064E">
            <w:pPr>
              <w:spacing w:after="0" w:line="240" w:lineRule="auto"/>
              <w:ind w:left="-76" w:firstLine="76"/>
              <w:contextualSpacing/>
              <w:jc w:val="both"/>
              <w:rPr>
                <w:rFonts w:ascii="Times New Roman" w:eastAsia="Times New Roman" w:hAnsi="Times New Roman"/>
                <w:color w:val="000000"/>
                <w:lang w:eastAsia="ru-RU"/>
              </w:rPr>
            </w:pPr>
            <w:r w:rsidRPr="0078696C">
              <w:rPr>
                <w:rFonts w:ascii="Times New Roman" w:eastAsia="Times New Roman" w:hAnsi="Times New Roman"/>
                <w:color w:val="000000"/>
                <w:lang w:eastAsia="ru-RU"/>
              </w:rPr>
              <w:t>12-18</w:t>
            </w:r>
          </w:p>
        </w:tc>
      </w:tr>
    </w:tbl>
    <w:p w:rsidR="00CF4BEA" w:rsidRDefault="008061E2" w:rsidP="00CF4BEA">
      <w:pPr>
        <w:spacing w:after="0" w:line="240" w:lineRule="auto"/>
        <w:jc w:val="center"/>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Джерело : [</w:t>
      </w:r>
      <w:r w:rsidR="00CF4BEA">
        <w:rPr>
          <w:rFonts w:ascii="Times New Roman" w:eastAsia="Times New Roman" w:hAnsi="Times New Roman"/>
          <w:color w:val="000000"/>
          <w:sz w:val="28"/>
          <w:szCs w:val="28"/>
          <w:lang w:eastAsia="ru-RU"/>
        </w:rPr>
        <w:t>складено</w:t>
      </w:r>
      <w:r w:rsidRPr="0078696C">
        <w:rPr>
          <w:rFonts w:ascii="Times New Roman" w:eastAsia="Times New Roman" w:hAnsi="Times New Roman"/>
          <w:color w:val="000000"/>
          <w:sz w:val="28"/>
          <w:szCs w:val="28"/>
          <w:lang w:eastAsia="ru-RU"/>
        </w:rPr>
        <w:t xml:space="preserve"> автором</w:t>
      </w:r>
      <w:r w:rsidR="00CF4BEA">
        <w:rPr>
          <w:rFonts w:ascii="Times New Roman" w:eastAsia="Times New Roman" w:hAnsi="Times New Roman"/>
          <w:color w:val="000000"/>
          <w:sz w:val="28"/>
          <w:szCs w:val="28"/>
          <w:lang w:eastAsia="ru-RU"/>
        </w:rPr>
        <w:t xml:space="preserve"> на основі офіційних даних </w:t>
      </w:r>
    </w:p>
    <w:p w:rsidR="00BE7395" w:rsidRDefault="00CF4BEA" w:rsidP="00CF4BEA">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щодо пенсійного віку та тривалості життя в країнах ЄС</w:t>
      </w:r>
      <w:r w:rsidR="008061E2" w:rsidRPr="0078696C">
        <w:rPr>
          <w:rFonts w:ascii="Times New Roman" w:eastAsia="Times New Roman" w:hAnsi="Times New Roman"/>
          <w:color w:val="000000"/>
          <w:sz w:val="28"/>
          <w:szCs w:val="28"/>
          <w:lang w:eastAsia="ru-RU"/>
        </w:rPr>
        <w:t>]</w:t>
      </w:r>
    </w:p>
    <w:p w:rsidR="00CF4BEA" w:rsidRPr="00CF4BEA" w:rsidRDefault="00CF4BEA" w:rsidP="00CF4BEA">
      <w:pPr>
        <w:spacing w:after="0" w:line="240" w:lineRule="auto"/>
        <w:jc w:val="center"/>
        <w:rPr>
          <w:rFonts w:ascii="Times New Roman" w:eastAsia="Times New Roman" w:hAnsi="Times New Roman"/>
          <w:color w:val="000000"/>
          <w:sz w:val="14"/>
          <w:szCs w:val="14"/>
          <w:lang w:eastAsia="ru-RU"/>
        </w:rPr>
      </w:pPr>
    </w:p>
    <w:p w:rsidR="007D0131" w:rsidRPr="0078696C" w:rsidRDefault="008061E2"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До прикладу, в</w:t>
      </w:r>
      <w:r w:rsidR="007D0131" w:rsidRPr="0078696C">
        <w:rPr>
          <w:rFonts w:ascii="Times New Roman" w:eastAsia="Times New Roman" w:hAnsi="Times New Roman"/>
          <w:color w:val="000000"/>
          <w:sz w:val="28"/>
          <w:szCs w:val="28"/>
          <w:lang w:eastAsia="ru-RU"/>
        </w:rPr>
        <w:t xml:space="preserve"> Україн</w:t>
      </w:r>
      <w:r w:rsidRPr="0078696C">
        <w:rPr>
          <w:rFonts w:ascii="Times New Roman" w:eastAsia="Times New Roman" w:hAnsi="Times New Roman"/>
          <w:color w:val="000000"/>
          <w:sz w:val="28"/>
          <w:szCs w:val="28"/>
          <w:lang w:eastAsia="ru-RU"/>
        </w:rPr>
        <w:t>і</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загальний пенсійний вік для жінок та чоловіків складає 60 років (для чоловіків-державних службовців – 62 роки) при середній тривалості життя для чоловіків – 62 роки, для жінок – 75 </w:t>
      </w:r>
      <w:r w:rsidR="00B912D1" w:rsidRPr="0078696C">
        <w:rPr>
          <w:rFonts w:ascii="Times New Roman" w:eastAsia="Times New Roman" w:hAnsi="Times New Roman"/>
          <w:color w:val="000000"/>
          <w:sz w:val="28"/>
          <w:szCs w:val="28"/>
          <w:lang w:eastAsia="ru-RU"/>
        </w:rPr>
        <w:t>років.</w:t>
      </w:r>
    </w:p>
    <w:p w:rsidR="00E97762" w:rsidRPr="0078696C" w:rsidRDefault="00E97762"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Як показують дані таблиці 3.5, найдовша тривалість життя пенсіонера на заслуженому відпочинку </w:t>
      </w:r>
      <w:r w:rsidR="005D18EB" w:rsidRPr="0078696C">
        <w:rPr>
          <w:rFonts w:ascii="Times New Roman" w:eastAsia="Times New Roman" w:hAnsi="Times New Roman"/>
          <w:color w:val="000000"/>
          <w:sz w:val="28"/>
          <w:szCs w:val="28"/>
          <w:lang w:eastAsia="ru-RU"/>
        </w:rPr>
        <w:t xml:space="preserve">у жінок в Австрії, Великій Британії, Італії, </w:t>
      </w:r>
      <w:r w:rsidR="005D18EB" w:rsidRPr="0078696C">
        <w:rPr>
          <w:rFonts w:ascii="Times New Roman" w:eastAsia="Times New Roman" w:hAnsi="Times New Roman"/>
          <w:color w:val="000000"/>
          <w:sz w:val="28"/>
          <w:szCs w:val="28"/>
          <w:lang w:eastAsia="ru-RU"/>
        </w:rPr>
        <w:lastRenderedPageBreak/>
        <w:t>Словаччині, Чехії(понад 20 років), а найкоротша – у чоловіків в Естонії та Латвії (менше 5 років).</w:t>
      </w:r>
    </w:p>
    <w:p w:rsidR="0056712F" w:rsidRPr="0078696C" w:rsidRDefault="00B912D1" w:rsidP="0056712F">
      <w:pPr>
        <w:spacing w:after="0" w:line="360" w:lineRule="auto"/>
        <w:ind w:firstLine="709"/>
        <w:jc w:val="both"/>
      </w:pPr>
      <w:r w:rsidRPr="0078696C">
        <w:rPr>
          <w:rFonts w:ascii="Times New Roman" w:eastAsia="Times New Roman" w:hAnsi="Times New Roman"/>
          <w:color w:val="000000"/>
          <w:sz w:val="28"/>
          <w:szCs w:val="28"/>
          <w:lang w:eastAsia="ru-RU"/>
        </w:rPr>
        <w:t xml:space="preserve">За останні 20 років пенсійний вік був підвищений </w:t>
      </w:r>
      <w:r w:rsidR="00E6424A" w:rsidRPr="0078696C">
        <w:rPr>
          <w:rFonts w:ascii="Times New Roman" w:eastAsia="Times New Roman" w:hAnsi="Times New Roman"/>
          <w:color w:val="000000"/>
          <w:sz w:val="28"/>
          <w:szCs w:val="28"/>
          <w:lang w:eastAsia="ru-RU"/>
        </w:rPr>
        <w:t xml:space="preserve">майже в усіх країнах ЄС. При цьому, до 2060 року прогнозується максимальне зростання пенсійного віку у Чехії (до 69,3 років), Словаччині (до 67,8 років) і Данії (до 72,5 років). </w:t>
      </w:r>
      <w:r w:rsidR="00A314C2" w:rsidRPr="0078696C">
        <w:rPr>
          <w:rFonts w:ascii="Times New Roman" w:eastAsia="Times New Roman" w:hAnsi="Times New Roman"/>
          <w:color w:val="000000"/>
          <w:sz w:val="28"/>
          <w:szCs w:val="28"/>
          <w:lang w:eastAsia="ru-RU"/>
        </w:rPr>
        <w:t>Також, пенсійний вік зросте в Італії – до 70 років, в Німеччині – до 67,</w:t>
      </w:r>
      <w:r w:rsidR="00A314C2" w:rsidRPr="0078696C">
        <w:rPr>
          <w:rFonts w:ascii="Times New Roman" w:eastAsia="Times New Roman" w:hAnsi="Times New Roman"/>
          <w:color w:val="000000"/>
          <w:sz w:val="28"/>
          <w:szCs w:val="28"/>
          <w:lang w:eastAsia="ru-RU"/>
        </w:rPr>
        <w:br/>
        <w:t xml:space="preserve"> Словенії – до 65. </w:t>
      </w:r>
      <w:r w:rsidR="00E6424A" w:rsidRPr="0078696C">
        <w:rPr>
          <w:rFonts w:ascii="Times New Roman" w:eastAsia="Times New Roman" w:hAnsi="Times New Roman"/>
          <w:color w:val="000000"/>
          <w:sz w:val="28"/>
          <w:szCs w:val="28"/>
          <w:lang w:eastAsia="ru-RU"/>
        </w:rPr>
        <w:t>У Люксембурзі, Фінляндії і Швеції зростання відсутнє. В ЄС спостерігається тенденція зрівнювання пенсійного віку у чоловіків і жінок. Диференціація за гендерною ознакою до 2060 р</w:t>
      </w:r>
      <w:r w:rsidR="00291040" w:rsidRPr="0078696C">
        <w:rPr>
          <w:rFonts w:ascii="Times New Roman" w:eastAsia="Times New Roman" w:hAnsi="Times New Roman"/>
          <w:color w:val="000000"/>
          <w:sz w:val="28"/>
          <w:szCs w:val="28"/>
          <w:lang w:eastAsia="ru-RU"/>
        </w:rPr>
        <w:t>.,</w:t>
      </w:r>
      <w:r w:rsidR="00E6424A" w:rsidRPr="0078696C">
        <w:rPr>
          <w:rFonts w:ascii="Times New Roman" w:eastAsia="Times New Roman" w:hAnsi="Times New Roman"/>
          <w:color w:val="000000"/>
          <w:sz w:val="28"/>
          <w:szCs w:val="28"/>
          <w:lang w:eastAsia="ru-RU"/>
        </w:rPr>
        <w:t xml:space="preserve"> яка складе 2 роки, прогнозуєт</w:t>
      </w:r>
      <w:r w:rsidR="0056712F" w:rsidRPr="0078696C">
        <w:rPr>
          <w:rFonts w:ascii="Times New Roman" w:eastAsia="Times New Roman" w:hAnsi="Times New Roman"/>
          <w:color w:val="000000"/>
          <w:sz w:val="28"/>
          <w:szCs w:val="28"/>
          <w:lang w:eastAsia="ru-RU"/>
        </w:rPr>
        <w:t xml:space="preserve">ься тільки в Болгарії і Румунії </w:t>
      </w:r>
      <w:r w:rsidR="0056712F" w:rsidRPr="0078696C">
        <w:rPr>
          <w:rStyle w:val="a8"/>
          <w:rFonts w:ascii="Times New Roman" w:eastAsia="Times New Roman" w:hAnsi="Times New Roman"/>
          <w:color w:val="000000"/>
          <w:sz w:val="28"/>
          <w:szCs w:val="28"/>
          <w:lang w:eastAsia="ru-RU"/>
        </w:rPr>
        <w:footnoteReference w:id="333"/>
      </w:r>
      <w:r w:rsidR="0056712F" w:rsidRPr="0078696C">
        <w:rPr>
          <w:rFonts w:ascii="Times New Roman" w:eastAsia="Times New Roman" w:hAnsi="Times New Roman"/>
          <w:color w:val="000000"/>
          <w:sz w:val="28"/>
          <w:szCs w:val="28"/>
          <w:lang w:eastAsia="ru-RU"/>
        </w:rPr>
        <w:t>. Уряди</w:t>
      </w:r>
      <w:r w:rsidR="00E6424A" w:rsidRPr="0078696C">
        <w:rPr>
          <w:rFonts w:ascii="Times New Roman" w:eastAsia="Times New Roman" w:hAnsi="Times New Roman"/>
          <w:color w:val="000000"/>
          <w:sz w:val="28"/>
          <w:szCs w:val="28"/>
          <w:lang w:eastAsia="ru-RU"/>
        </w:rPr>
        <w:t xml:space="preserve"> Данії, Італії, Греції та Угорщини </w:t>
      </w:r>
      <w:r w:rsidR="0056712F" w:rsidRPr="0078696C">
        <w:rPr>
          <w:rFonts w:ascii="Times New Roman" w:eastAsia="Times New Roman" w:hAnsi="Times New Roman"/>
          <w:color w:val="000000"/>
          <w:sz w:val="28"/>
          <w:szCs w:val="28"/>
          <w:lang w:eastAsia="ru-RU"/>
        </w:rPr>
        <w:t>д</w:t>
      </w:r>
      <w:r w:rsidR="00E6424A" w:rsidRPr="0078696C">
        <w:rPr>
          <w:rFonts w:ascii="Times New Roman" w:eastAsia="Times New Roman" w:hAnsi="Times New Roman"/>
          <w:color w:val="000000"/>
          <w:sz w:val="28"/>
          <w:szCs w:val="28"/>
          <w:lang w:eastAsia="ru-RU"/>
        </w:rPr>
        <w:t>о 2020 р</w:t>
      </w:r>
      <w:r w:rsidR="0056712F" w:rsidRPr="0078696C">
        <w:rPr>
          <w:rFonts w:ascii="Times New Roman" w:eastAsia="Times New Roman" w:hAnsi="Times New Roman"/>
          <w:color w:val="000000"/>
          <w:sz w:val="28"/>
          <w:szCs w:val="28"/>
          <w:lang w:eastAsia="ru-RU"/>
        </w:rPr>
        <w:t>.</w:t>
      </w:r>
      <w:r w:rsidR="00E6424A" w:rsidRPr="0078696C">
        <w:rPr>
          <w:rFonts w:ascii="Times New Roman" w:eastAsia="Times New Roman" w:hAnsi="Times New Roman"/>
          <w:color w:val="000000"/>
          <w:sz w:val="28"/>
          <w:szCs w:val="28"/>
          <w:lang w:eastAsia="ru-RU"/>
        </w:rPr>
        <w:t xml:space="preserve"> планують запустити механізм прив'язки пенсійного віку до прогнозованої тривалості життя, який дозволить знизити фінансове навантаження на пенсійні системи зазначених </w:t>
      </w:r>
      <w:r w:rsidR="0056712F" w:rsidRPr="0078696C">
        <w:rPr>
          <w:rFonts w:ascii="Times New Roman" w:eastAsia="Times New Roman" w:hAnsi="Times New Roman"/>
          <w:color w:val="000000"/>
          <w:sz w:val="28"/>
          <w:szCs w:val="28"/>
          <w:lang w:eastAsia="ru-RU"/>
        </w:rPr>
        <w:t xml:space="preserve">країн </w:t>
      </w:r>
      <w:r w:rsidR="0056712F" w:rsidRPr="0078696C">
        <w:rPr>
          <w:rStyle w:val="a8"/>
          <w:rFonts w:ascii="Times New Roman" w:eastAsia="Times New Roman" w:hAnsi="Times New Roman"/>
          <w:color w:val="000000"/>
          <w:sz w:val="28"/>
          <w:szCs w:val="28"/>
          <w:lang w:eastAsia="ru-RU"/>
        </w:rPr>
        <w:footnoteReference w:id="334"/>
      </w:r>
      <w:r w:rsidR="00E6424A" w:rsidRPr="0078696C">
        <w:rPr>
          <w:rFonts w:ascii="Times New Roman" w:eastAsia="Times New Roman" w:hAnsi="Times New Roman"/>
          <w:color w:val="000000"/>
          <w:sz w:val="28"/>
          <w:szCs w:val="28"/>
          <w:lang w:eastAsia="ru-RU"/>
        </w:rPr>
        <w:t>.</w:t>
      </w:r>
    </w:p>
    <w:p w:rsidR="00A15655" w:rsidRPr="0078696C" w:rsidRDefault="00A15655" w:rsidP="00C80FD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На підставі аналізу встановленого законодавством пенсійного віку в країнах ЄС для жінок і чоловіків у порівнянні з середньою тривалістю життя, було зроблено висновок, що підвищення пенсійного віку є більш ефективним порівняно із підвищенням податків, утриманням низького рівня розміру пенсій, які мають негативні соціально-економічні наслідки </w:t>
      </w:r>
      <w:r w:rsidRPr="0078696C">
        <w:rPr>
          <w:rStyle w:val="a8"/>
          <w:rFonts w:ascii="Times New Roman" w:eastAsia="Times New Roman" w:hAnsi="Times New Roman"/>
          <w:color w:val="000000"/>
          <w:sz w:val="28"/>
          <w:szCs w:val="28"/>
          <w:lang w:eastAsia="ru-RU"/>
        </w:rPr>
        <w:footnoteReference w:id="335"/>
      </w:r>
      <w:r w:rsidR="00C80FDD">
        <w:rPr>
          <w:rFonts w:ascii="Times New Roman" w:eastAsia="Times New Roman" w:hAnsi="Times New Roman"/>
          <w:color w:val="000000"/>
          <w:sz w:val="28"/>
          <w:szCs w:val="28"/>
          <w:lang w:eastAsia="ru-RU"/>
        </w:rPr>
        <w:t>.</w:t>
      </w:r>
    </w:p>
    <w:p w:rsidR="00E6424A" w:rsidRPr="0078696C" w:rsidRDefault="00E6424A" w:rsidP="0056712F">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За рахунок реалізації підвищення пенсійного віку в країнах ЄС, на думку ЄК, витрати на утримання пенсійних систем до 2060 р</w:t>
      </w:r>
      <w:r w:rsidR="0056712F"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зменшаться на 1,75% ВВП (в середньому по ЄС), що дозволить підвищити фінансову стійкість націона</w:t>
      </w:r>
      <w:r w:rsidR="0056712F" w:rsidRPr="0078696C">
        <w:rPr>
          <w:rFonts w:ascii="Times New Roman" w:eastAsia="Times New Roman" w:hAnsi="Times New Roman"/>
          <w:color w:val="000000"/>
          <w:sz w:val="28"/>
          <w:szCs w:val="28"/>
          <w:lang w:eastAsia="ru-RU"/>
        </w:rPr>
        <w:t xml:space="preserve">льних пенсійних систем Європейського Союзу </w:t>
      </w:r>
      <w:r w:rsidR="0056712F" w:rsidRPr="0078696C">
        <w:rPr>
          <w:rStyle w:val="a8"/>
          <w:rFonts w:ascii="Times New Roman" w:eastAsia="Times New Roman" w:hAnsi="Times New Roman"/>
          <w:color w:val="000000"/>
          <w:sz w:val="28"/>
          <w:szCs w:val="28"/>
          <w:lang w:eastAsia="ru-RU"/>
        </w:rPr>
        <w:footnoteReference w:id="336"/>
      </w:r>
      <w:r w:rsidRPr="0078696C">
        <w:rPr>
          <w:rFonts w:ascii="Times New Roman" w:eastAsia="Times New Roman" w:hAnsi="Times New Roman"/>
          <w:color w:val="000000"/>
          <w:sz w:val="28"/>
          <w:szCs w:val="28"/>
          <w:lang w:eastAsia="ru-RU"/>
        </w:rPr>
        <w:t>.</w:t>
      </w:r>
    </w:p>
    <w:p w:rsidR="001A1588" w:rsidRPr="0078696C" w:rsidRDefault="0056712F" w:rsidP="00BE1544">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Отже, при впровадженні пенсійних реформ у більшості держав було проведено підвищення пенсійного віку, при цьому спостерігалася тенденція на зрівняння пенсійних вікових груп чоловіків і жінок. Однак, проведений аналіз </w:t>
      </w:r>
      <w:r w:rsidRPr="0078696C">
        <w:rPr>
          <w:rFonts w:ascii="Times New Roman" w:eastAsia="Times New Roman" w:hAnsi="Times New Roman"/>
          <w:color w:val="000000"/>
          <w:sz w:val="28"/>
          <w:szCs w:val="28"/>
          <w:lang w:eastAsia="ru-RU"/>
        </w:rPr>
        <w:lastRenderedPageBreak/>
        <w:t>тенденцій підвищення пенсійного віку свідчить про те, що деякі із країн</w:t>
      </w:r>
      <w:r w:rsidR="000C42F1">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поступово </w:t>
      </w:r>
      <w:r w:rsidR="00B912D1" w:rsidRPr="0078696C">
        <w:rPr>
          <w:rFonts w:ascii="Times New Roman" w:eastAsia="Times New Roman" w:hAnsi="Times New Roman"/>
          <w:color w:val="000000"/>
          <w:sz w:val="28"/>
          <w:szCs w:val="28"/>
          <w:lang w:eastAsia="ru-RU"/>
        </w:rPr>
        <w:t>наближаються до межі, коли ліміт збільшення пенсійного віку для населення може бути вичерпаний.</w:t>
      </w:r>
    </w:p>
    <w:p w:rsidR="00D369FF" w:rsidRPr="0078696C" w:rsidRDefault="00A15655" w:rsidP="00D369FF">
      <w:pPr>
        <w:spacing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Окрім підвищення пенсійного віку, збільшення тривалості трудової участі можливе за рахунок </w:t>
      </w:r>
      <w:r w:rsidRPr="0078696C">
        <w:rPr>
          <w:rFonts w:ascii="Times New Roman" w:eastAsia="Times New Roman" w:hAnsi="Times New Roman"/>
          <w:i/>
          <w:color w:val="000000"/>
          <w:sz w:val="28"/>
          <w:szCs w:val="28"/>
          <w:lang w:eastAsia="ru-RU"/>
        </w:rPr>
        <w:t>стимулюванням громадян до трудової зайнятості після пенсійного віку</w:t>
      </w:r>
      <w:r w:rsidRPr="0078696C">
        <w:rPr>
          <w:rFonts w:ascii="Times New Roman" w:eastAsia="Times New Roman" w:hAnsi="Times New Roman"/>
          <w:color w:val="000000"/>
          <w:sz w:val="28"/>
          <w:szCs w:val="28"/>
          <w:lang w:eastAsia="ru-RU"/>
        </w:rPr>
        <w:t xml:space="preserve">. </w:t>
      </w:r>
    </w:p>
    <w:p w:rsidR="00A15655" w:rsidRPr="0078696C" w:rsidRDefault="00D369FF" w:rsidP="00D369FF">
      <w:pPr>
        <w:spacing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Реалізація таких заходів можлива за умови створення умов праці для літніх працівників, що має передбачати додаткові робочі місця та відповідні освітні програми в частині підвищення кваліфікації і професійної підготовки. Так, наприклад, в Німеччині понад 30% компаній використовує працю літніх працівників, які, як правило, виконують функції наставників молодих співробітників і передають свій професійний досвід за допомогою взаємодії в проектних групах, а 15% компаній проводить професійну підготовку літніх працівників </w:t>
      </w:r>
      <w:r w:rsidRPr="0078696C">
        <w:rPr>
          <w:rStyle w:val="a8"/>
          <w:rFonts w:ascii="Times New Roman" w:eastAsia="Times New Roman" w:hAnsi="Times New Roman"/>
          <w:color w:val="000000"/>
          <w:sz w:val="28"/>
          <w:szCs w:val="28"/>
          <w:lang w:eastAsia="ru-RU"/>
        </w:rPr>
        <w:footnoteReference w:id="337"/>
      </w:r>
      <w:r w:rsidRPr="0078696C">
        <w:rPr>
          <w:rFonts w:ascii="Times New Roman" w:eastAsia="Times New Roman" w:hAnsi="Times New Roman"/>
          <w:color w:val="000000"/>
          <w:sz w:val="28"/>
          <w:szCs w:val="28"/>
          <w:lang w:eastAsia="ru-RU"/>
        </w:rPr>
        <w:t xml:space="preserve">. В Іспанії та Франції передбачене підвищене пенсійне забезпечення для працівників, котрі виходять на пенсію після досягнення пенсійного віку, а в Швеції для літніх працівників існує пільговий податковий режим відрахувань </w:t>
      </w:r>
      <w:r w:rsidR="00507891" w:rsidRPr="0078696C">
        <w:rPr>
          <w:rStyle w:val="a8"/>
          <w:rFonts w:ascii="Times New Roman" w:eastAsia="Times New Roman" w:hAnsi="Times New Roman"/>
          <w:color w:val="000000"/>
          <w:sz w:val="28"/>
          <w:szCs w:val="28"/>
          <w:lang w:eastAsia="ru-RU"/>
        </w:rPr>
        <w:footnoteReference w:id="338"/>
      </w:r>
      <w:r w:rsidRPr="0078696C">
        <w:rPr>
          <w:rFonts w:ascii="Times New Roman" w:eastAsia="Times New Roman" w:hAnsi="Times New Roman"/>
          <w:color w:val="000000"/>
          <w:sz w:val="28"/>
          <w:szCs w:val="28"/>
          <w:lang w:eastAsia="ru-RU"/>
        </w:rPr>
        <w:t>.</w:t>
      </w:r>
    </w:p>
    <w:p w:rsidR="00FB36BD" w:rsidRPr="0078696C" w:rsidRDefault="00FB36BD" w:rsidP="00FB36BD">
      <w:pPr>
        <w:spacing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Ще одним заходом збільшення тривалості трудового життя в ЄС є </w:t>
      </w:r>
      <w:r w:rsidRPr="0078696C">
        <w:rPr>
          <w:rFonts w:ascii="Times New Roman" w:eastAsia="Times New Roman" w:hAnsi="Times New Roman"/>
          <w:i/>
          <w:color w:val="000000"/>
          <w:sz w:val="28"/>
          <w:szCs w:val="28"/>
          <w:lang w:eastAsia="ru-RU"/>
        </w:rPr>
        <w:t xml:space="preserve">скорочення частки використання населенням дострокового пенсійного забезпечення </w:t>
      </w:r>
      <w:r w:rsidRPr="0078696C">
        <w:rPr>
          <w:rFonts w:ascii="Times New Roman" w:eastAsia="Times New Roman" w:hAnsi="Times New Roman"/>
          <w:color w:val="000000"/>
          <w:sz w:val="28"/>
          <w:szCs w:val="28"/>
          <w:lang w:eastAsia="ru-RU"/>
        </w:rPr>
        <w:t xml:space="preserve">та відповідних пільг. Ця проблема може виникнути в країнах з фіксованим трудовим стажем. В Австрії в 2013 р достроковий вихід на пенсію був можливий при трудовому стажі тривалістю 38 років. Тобто, в 60 років чоловік міг вийти на пенсію, тоді як стандартний вік виходу на пенсію був </w:t>
      </w:r>
      <w:r w:rsidRPr="0078696C">
        <w:rPr>
          <w:rFonts w:ascii="Times New Roman" w:eastAsia="Times New Roman" w:hAnsi="Times New Roman"/>
          <w:color w:val="000000"/>
          <w:sz w:val="28"/>
          <w:szCs w:val="28"/>
          <w:lang w:eastAsia="ru-RU"/>
        </w:rPr>
        <w:br/>
        <w:t xml:space="preserve">65 років. Аналогічні ситуації мали місце в Бельгії, Данії, Фінляндії, Нідерландах, Німеччині та Іспанії </w:t>
      </w:r>
      <w:r w:rsidRPr="0078696C">
        <w:rPr>
          <w:rStyle w:val="a8"/>
          <w:rFonts w:ascii="Times New Roman" w:eastAsia="Times New Roman" w:hAnsi="Times New Roman"/>
          <w:color w:val="000000"/>
          <w:sz w:val="28"/>
          <w:szCs w:val="28"/>
          <w:lang w:eastAsia="ru-RU"/>
        </w:rPr>
        <w:footnoteReference w:id="339"/>
      </w:r>
      <w:r w:rsidRPr="0078696C">
        <w:rPr>
          <w:rFonts w:ascii="Times New Roman" w:eastAsia="Times New Roman" w:hAnsi="Times New Roman"/>
          <w:color w:val="000000"/>
          <w:sz w:val="28"/>
          <w:szCs w:val="28"/>
          <w:lang w:eastAsia="ru-RU"/>
        </w:rPr>
        <w:t>.</w:t>
      </w:r>
    </w:p>
    <w:p w:rsidR="00FB36BD" w:rsidRPr="0078696C" w:rsidRDefault="00FB36BD" w:rsidP="00FB36BD">
      <w:pPr>
        <w:spacing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Найбільша по ЄС частка зайнятих людей у віці від 55 до 64 років в Швеції (71%), а найменша – на Мальті (30%). При цьому, середній такий </w:t>
      </w:r>
      <w:r w:rsidRPr="0078696C">
        <w:rPr>
          <w:rFonts w:ascii="Times New Roman" w:eastAsia="Times New Roman" w:hAnsi="Times New Roman"/>
          <w:color w:val="000000"/>
          <w:sz w:val="28"/>
          <w:szCs w:val="28"/>
          <w:lang w:eastAsia="ru-RU"/>
        </w:rPr>
        <w:lastRenderedPageBreak/>
        <w:t xml:space="preserve">показник по ЄС менше 50% й істотно диференційований за чоловіками </w:t>
      </w:r>
      <w:r w:rsidRPr="0078696C">
        <w:rPr>
          <w:rFonts w:ascii="Times New Roman" w:eastAsia="Times New Roman" w:hAnsi="Times New Roman"/>
          <w:color w:val="000000"/>
          <w:sz w:val="28"/>
          <w:szCs w:val="28"/>
          <w:lang w:eastAsia="ru-RU"/>
        </w:rPr>
        <w:br/>
        <w:t xml:space="preserve">(54,6 % зайнятих) і жінками (38,6%). При достроковому виході на пенсію ПС позбавляється надходжень і одночасно несе витрати. Раніше це було можливо за рахунок великої кількості учасників пенсійної системи і малої кількості осіб, які отримували пенсію </w:t>
      </w:r>
      <w:r w:rsidRPr="0078696C">
        <w:rPr>
          <w:rStyle w:val="a8"/>
          <w:rFonts w:ascii="Times New Roman" w:eastAsia="Times New Roman" w:hAnsi="Times New Roman"/>
          <w:color w:val="000000"/>
          <w:sz w:val="28"/>
          <w:szCs w:val="28"/>
          <w:lang w:eastAsia="ru-RU"/>
        </w:rPr>
        <w:footnoteReference w:id="340"/>
      </w:r>
      <w:r w:rsidRPr="0078696C">
        <w:rPr>
          <w:rFonts w:ascii="Times New Roman" w:eastAsia="Times New Roman" w:hAnsi="Times New Roman"/>
          <w:color w:val="000000"/>
          <w:sz w:val="28"/>
          <w:szCs w:val="28"/>
          <w:lang w:eastAsia="ru-RU"/>
        </w:rPr>
        <w:t>.</w:t>
      </w:r>
    </w:p>
    <w:p w:rsidR="00BE1544" w:rsidRPr="0078696C" w:rsidRDefault="00FB36BD" w:rsidP="00A17084">
      <w:pPr>
        <w:spacing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 зв'язку з цим у Великобританії, Швеції, Польщі, Ірландії та Угорщин</w:t>
      </w:r>
      <w:r w:rsidR="00A17084" w:rsidRPr="0078696C">
        <w:rPr>
          <w:rFonts w:ascii="Times New Roman" w:eastAsia="Times New Roman" w:hAnsi="Times New Roman"/>
          <w:color w:val="000000"/>
          <w:sz w:val="28"/>
          <w:szCs w:val="28"/>
          <w:lang w:eastAsia="ru-RU"/>
        </w:rPr>
        <w:t>і</w:t>
      </w:r>
      <w:r w:rsidRPr="0078696C">
        <w:rPr>
          <w:rFonts w:ascii="Times New Roman" w:eastAsia="Times New Roman" w:hAnsi="Times New Roman"/>
          <w:color w:val="000000"/>
          <w:sz w:val="28"/>
          <w:szCs w:val="28"/>
          <w:lang w:eastAsia="ru-RU"/>
        </w:rPr>
        <w:t xml:space="preserve"> можливість дострокового пенсійного забезпечення скасували. У Бельгії був збільшений розмір внесків роботодавців щодо дострокових пенсійних схем. У Португалії та Данії опція </w:t>
      </w:r>
      <w:r w:rsidR="00A17084" w:rsidRPr="0078696C">
        <w:rPr>
          <w:rFonts w:ascii="Times New Roman" w:eastAsia="Times New Roman" w:hAnsi="Times New Roman"/>
          <w:color w:val="000000"/>
          <w:sz w:val="28"/>
          <w:szCs w:val="28"/>
          <w:lang w:eastAsia="ru-RU"/>
        </w:rPr>
        <w:t>щодо</w:t>
      </w:r>
      <w:r w:rsidRPr="0078696C">
        <w:rPr>
          <w:rFonts w:ascii="Times New Roman" w:eastAsia="Times New Roman" w:hAnsi="Times New Roman"/>
          <w:color w:val="000000"/>
          <w:sz w:val="28"/>
          <w:szCs w:val="28"/>
          <w:lang w:eastAsia="ru-RU"/>
        </w:rPr>
        <w:t xml:space="preserve"> виходу на дострокове пенсійне забезпечення </w:t>
      </w:r>
      <w:r w:rsidR="00A17084" w:rsidRPr="0078696C">
        <w:rPr>
          <w:rFonts w:ascii="Times New Roman" w:eastAsia="Times New Roman" w:hAnsi="Times New Roman"/>
          <w:color w:val="000000"/>
          <w:sz w:val="28"/>
          <w:szCs w:val="28"/>
          <w:lang w:eastAsia="ru-RU"/>
        </w:rPr>
        <w:t xml:space="preserve">була </w:t>
      </w:r>
      <w:r w:rsidRPr="0078696C">
        <w:rPr>
          <w:rFonts w:ascii="Times New Roman" w:eastAsia="Times New Roman" w:hAnsi="Times New Roman"/>
          <w:color w:val="000000"/>
          <w:sz w:val="28"/>
          <w:szCs w:val="28"/>
          <w:lang w:eastAsia="ru-RU"/>
        </w:rPr>
        <w:t>припинена, в Греції з 53 років до 60 років підвищено</w:t>
      </w:r>
      <w:r w:rsidR="00A17084" w:rsidRPr="0078696C">
        <w:rPr>
          <w:rFonts w:ascii="Times New Roman" w:eastAsia="Times New Roman" w:hAnsi="Times New Roman"/>
          <w:color w:val="000000"/>
          <w:sz w:val="28"/>
          <w:szCs w:val="28"/>
          <w:lang w:eastAsia="ru-RU"/>
        </w:rPr>
        <w:t xml:space="preserve"> вік для дострокового виходу на </w:t>
      </w:r>
      <w:r w:rsidRPr="0078696C">
        <w:rPr>
          <w:rFonts w:ascii="Times New Roman" w:eastAsia="Times New Roman" w:hAnsi="Times New Roman"/>
          <w:color w:val="000000"/>
          <w:sz w:val="28"/>
          <w:szCs w:val="28"/>
          <w:lang w:eastAsia="ru-RU"/>
        </w:rPr>
        <w:t xml:space="preserve">пенсію, а в Італії </w:t>
      </w:r>
      <w:r w:rsidR="00A17084"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знижені ви</w:t>
      </w:r>
      <w:r w:rsidR="00A17084" w:rsidRPr="0078696C">
        <w:rPr>
          <w:rFonts w:ascii="Times New Roman" w:eastAsia="Times New Roman" w:hAnsi="Times New Roman"/>
          <w:color w:val="000000"/>
          <w:sz w:val="28"/>
          <w:szCs w:val="28"/>
          <w:lang w:eastAsia="ru-RU"/>
        </w:rPr>
        <w:t>плати для дострокових пенсіонері</w:t>
      </w:r>
      <w:r w:rsidRPr="0078696C">
        <w:rPr>
          <w:rFonts w:ascii="Times New Roman" w:eastAsia="Times New Roman" w:hAnsi="Times New Roman"/>
          <w:color w:val="000000"/>
          <w:sz w:val="28"/>
          <w:szCs w:val="28"/>
          <w:lang w:eastAsia="ru-RU"/>
        </w:rPr>
        <w:t>в</w:t>
      </w:r>
      <w:r w:rsidR="00A17084" w:rsidRPr="0078696C">
        <w:rPr>
          <w:rStyle w:val="a8"/>
          <w:rFonts w:ascii="Times New Roman" w:eastAsia="Times New Roman" w:hAnsi="Times New Roman"/>
          <w:color w:val="000000"/>
          <w:sz w:val="28"/>
          <w:szCs w:val="28"/>
          <w:lang w:eastAsia="ru-RU"/>
        </w:rPr>
        <w:footnoteReference w:id="341"/>
      </w:r>
      <w:r w:rsidR="00A17084" w:rsidRPr="0078696C">
        <w:rPr>
          <w:rFonts w:ascii="Times New Roman" w:eastAsia="Times New Roman" w:hAnsi="Times New Roman"/>
          <w:color w:val="000000"/>
          <w:sz w:val="28"/>
          <w:szCs w:val="28"/>
          <w:lang w:eastAsia="ru-RU"/>
        </w:rPr>
        <w:t>. Т</w:t>
      </w:r>
      <w:r w:rsidRPr="0078696C">
        <w:rPr>
          <w:rFonts w:ascii="Times New Roman" w:eastAsia="Times New Roman" w:hAnsi="Times New Roman"/>
          <w:color w:val="000000"/>
          <w:sz w:val="28"/>
          <w:szCs w:val="28"/>
          <w:lang w:eastAsia="ru-RU"/>
        </w:rPr>
        <w:t>акі</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заходи призвели до зрос</w:t>
      </w:r>
      <w:r w:rsidR="00A17084" w:rsidRPr="0078696C">
        <w:rPr>
          <w:rFonts w:ascii="Times New Roman" w:eastAsia="Times New Roman" w:hAnsi="Times New Roman"/>
          <w:color w:val="000000"/>
          <w:sz w:val="28"/>
          <w:szCs w:val="28"/>
          <w:lang w:eastAsia="ru-RU"/>
        </w:rPr>
        <w:t xml:space="preserve">тання частки зайнятих людей у </w:t>
      </w:r>
      <w:r w:rsidRPr="0078696C">
        <w:rPr>
          <w:rFonts w:ascii="Times New Roman" w:eastAsia="Times New Roman" w:hAnsi="Times New Roman"/>
          <w:color w:val="000000"/>
          <w:sz w:val="28"/>
          <w:szCs w:val="28"/>
          <w:lang w:eastAsia="ru-RU"/>
        </w:rPr>
        <w:t xml:space="preserve">віці від 55 до </w:t>
      </w:r>
      <w:r w:rsidR="00A17084" w:rsidRPr="0078696C">
        <w:rPr>
          <w:rFonts w:ascii="Times New Roman" w:eastAsia="Times New Roman" w:hAnsi="Times New Roman"/>
          <w:color w:val="000000"/>
          <w:sz w:val="28"/>
          <w:szCs w:val="28"/>
          <w:lang w:eastAsia="ru-RU"/>
        </w:rPr>
        <w:br/>
      </w:r>
      <w:r w:rsidRPr="0078696C">
        <w:rPr>
          <w:rFonts w:ascii="Times New Roman" w:eastAsia="Times New Roman" w:hAnsi="Times New Roman"/>
          <w:color w:val="000000"/>
          <w:sz w:val="28"/>
          <w:szCs w:val="28"/>
          <w:lang w:eastAsia="ru-RU"/>
        </w:rPr>
        <w:t>64 років в період з 2001 по 2010 р</w:t>
      </w:r>
      <w:r w:rsidR="00A17084" w:rsidRPr="0078696C">
        <w:rPr>
          <w:rFonts w:ascii="Times New Roman" w:eastAsia="Times New Roman" w:hAnsi="Times New Roman"/>
          <w:color w:val="000000"/>
          <w:sz w:val="28"/>
          <w:szCs w:val="28"/>
          <w:lang w:eastAsia="ru-RU"/>
        </w:rPr>
        <w:t>ік</w:t>
      </w:r>
      <w:r w:rsidRPr="0078696C">
        <w:rPr>
          <w:rFonts w:ascii="Times New Roman" w:eastAsia="Times New Roman" w:hAnsi="Times New Roman"/>
          <w:color w:val="000000"/>
          <w:sz w:val="28"/>
          <w:szCs w:val="28"/>
          <w:lang w:eastAsia="ru-RU"/>
        </w:rPr>
        <w:t xml:space="preserve"> з 37,7% до 46,3%.</w:t>
      </w:r>
      <w:r w:rsidR="00A17084" w:rsidRPr="0078696C">
        <w:rPr>
          <w:rStyle w:val="a8"/>
          <w:rFonts w:ascii="Times New Roman" w:eastAsia="Times New Roman" w:hAnsi="Times New Roman"/>
          <w:color w:val="000000"/>
          <w:sz w:val="28"/>
          <w:szCs w:val="28"/>
          <w:lang w:eastAsia="ru-RU"/>
        </w:rPr>
        <w:footnoteReference w:id="342"/>
      </w:r>
    </w:p>
    <w:p w:rsidR="009C6D51" w:rsidRPr="0078696C" w:rsidRDefault="00BE064B" w:rsidP="00BE064B">
      <w:pPr>
        <w:spacing w:line="360" w:lineRule="auto"/>
        <w:ind w:firstLine="709"/>
        <w:contextualSpacing/>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Таким чином, реформування європейських пенсійних систем в частині збільшення часу трудової активності є одним з головних напрямків політики ЄС в галузі пенсійного забезпечення, метою якого є залучення додаткового фінансування </w:t>
      </w:r>
      <w:r w:rsidR="004608AC" w:rsidRPr="0078696C">
        <w:rPr>
          <w:rFonts w:ascii="Times New Roman" w:eastAsia="Times New Roman" w:hAnsi="Times New Roman"/>
          <w:color w:val="000000"/>
          <w:sz w:val="28"/>
          <w:szCs w:val="28"/>
          <w:lang w:eastAsia="ru-RU"/>
        </w:rPr>
        <w:t>та</w:t>
      </w:r>
      <w:r w:rsidRPr="0078696C">
        <w:rPr>
          <w:rFonts w:ascii="Times New Roman" w:eastAsia="Times New Roman" w:hAnsi="Times New Roman"/>
          <w:color w:val="000000"/>
          <w:sz w:val="28"/>
          <w:szCs w:val="28"/>
          <w:lang w:eastAsia="ru-RU"/>
        </w:rPr>
        <w:t xml:space="preserve"> виконання прийнятих перед населенням зобов'язань. При цьому</w:t>
      </w:r>
      <w:r w:rsidR="004608AC"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розглянуті заходи можуть створювати дискримінаційні умови для </w:t>
      </w:r>
      <w:r w:rsidR="004608AC" w:rsidRPr="0078696C">
        <w:rPr>
          <w:rFonts w:ascii="Times New Roman" w:eastAsia="Times New Roman" w:hAnsi="Times New Roman"/>
          <w:color w:val="000000"/>
          <w:sz w:val="28"/>
          <w:szCs w:val="28"/>
          <w:lang w:eastAsia="ru-RU"/>
        </w:rPr>
        <w:t>осіб</w:t>
      </w:r>
      <w:r w:rsidRPr="0078696C">
        <w:rPr>
          <w:rFonts w:ascii="Times New Roman" w:eastAsia="Times New Roman" w:hAnsi="Times New Roman"/>
          <w:color w:val="000000"/>
          <w:sz w:val="28"/>
          <w:szCs w:val="28"/>
          <w:lang w:eastAsia="ru-RU"/>
        </w:rPr>
        <w:t xml:space="preserve"> різного віку, а також підривати довіру </w:t>
      </w:r>
      <w:r w:rsidR="004608AC" w:rsidRPr="0078696C">
        <w:rPr>
          <w:rFonts w:ascii="Times New Roman" w:eastAsia="Times New Roman" w:hAnsi="Times New Roman"/>
          <w:color w:val="000000"/>
          <w:sz w:val="28"/>
          <w:szCs w:val="28"/>
          <w:lang w:eastAsia="ru-RU"/>
        </w:rPr>
        <w:t>населення</w:t>
      </w:r>
      <w:r w:rsidRPr="0078696C">
        <w:rPr>
          <w:rFonts w:ascii="Times New Roman" w:eastAsia="Times New Roman" w:hAnsi="Times New Roman"/>
          <w:color w:val="000000"/>
          <w:sz w:val="28"/>
          <w:szCs w:val="28"/>
          <w:lang w:eastAsia="ru-RU"/>
        </w:rPr>
        <w:t xml:space="preserve"> до державного апарату внаслідок невиконання зобов'язань, гарантованих </w:t>
      </w:r>
      <w:r w:rsidR="004608AC" w:rsidRPr="0078696C">
        <w:rPr>
          <w:rFonts w:ascii="Times New Roman" w:eastAsia="Times New Roman" w:hAnsi="Times New Roman"/>
          <w:color w:val="000000"/>
          <w:sz w:val="28"/>
          <w:szCs w:val="28"/>
          <w:lang w:eastAsia="ru-RU"/>
        </w:rPr>
        <w:t xml:space="preserve">громадянам </w:t>
      </w:r>
      <w:r w:rsidRPr="0078696C">
        <w:rPr>
          <w:rFonts w:ascii="Times New Roman" w:eastAsia="Times New Roman" w:hAnsi="Times New Roman"/>
          <w:color w:val="000000"/>
          <w:sz w:val="28"/>
          <w:szCs w:val="28"/>
          <w:lang w:eastAsia="ru-RU"/>
        </w:rPr>
        <w:t>на момент вступу в систему пенсійного страхування.</w:t>
      </w:r>
    </w:p>
    <w:p w:rsidR="004608AC" w:rsidRPr="0078696C" w:rsidRDefault="0061365A" w:rsidP="00E3034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3. </w:t>
      </w:r>
      <w:r w:rsidR="004608AC" w:rsidRPr="0078696C">
        <w:rPr>
          <w:rFonts w:ascii="Times New Roman" w:eastAsia="Times New Roman" w:hAnsi="Times New Roman"/>
          <w:i/>
          <w:color w:val="000000"/>
          <w:sz w:val="28"/>
          <w:szCs w:val="28"/>
          <w:lang w:eastAsia="ru-RU"/>
        </w:rPr>
        <w:t xml:space="preserve">Проведення коригуючих змін в рамках діючих пенсійних систем, </w:t>
      </w:r>
      <w:r w:rsidR="004608AC" w:rsidRPr="0078696C">
        <w:rPr>
          <w:rFonts w:ascii="Times New Roman" w:eastAsia="Times New Roman" w:hAnsi="Times New Roman"/>
          <w:color w:val="000000"/>
          <w:sz w:val="28"/>
          <w:szCs w:val="28"/>
          <w:lang w:eastAsia="ru-RU"/>
        </w:rPr>
        <w:t xml:space="preserve">серед яких: </w:t>
      </w:r>
      <w:r w:rsidR="00AD6580" w:rsidRPr="0078696C">
        <w:rPr>
          <w:rFonts w:ascii="Times New Roman" w:eastAsia="Times New Roman" w:hAnsi="Times New Roman"/>
          <w:color w:val="000000"/>
          <w:sz w:val="28"/>
          <w:szCs w:val="28"/>
          <w:lang w:eastAsia="ru-RU"/>
        </w:rPr>
        <w:t xml:space="preserve">запровадження додаткових стимулів для пенсійних відрахувань; </w:t>
      </w:r>
      <w:r w:rsidR="00E3034B" w:rsidRPr="0078696C">
        <w:rPr>
          <w:rFonts w:ascii="Times New Roman" w:eastAsia="Times New Roman" w:hAnsi="Times New Roman"/>
          <w:color w:val="000000"/>
          <w:sz w:val="28"/>
          <w:szCs w:val="28"/>
          <w:lang w:eastAsia="ru-RU"/>
        </w:rPr>
        <w:t>збільшення тривалості періоду сплати внесків, який враховується при нарахуванні пенсії</w:t>
      </w:r>
      <w:r w:rsidR="004608AC" w:rsidRPr="0078696C">
        <w:rPr>
          <w:rFonts w:ascii="Times New Roman" w:eastAsia="Times New Roman" w:hAnsi="Times New Roman"/>
          <w:color w:val="000000"/>
          <w:sz w:val="28"/>
          <w:szCs w:val="28"/>
          <w:lang w:eastAsia="ru-RU"/>
        </w:rPr>
        <w:t xml:space="preserve">; </w:t>
      </w:r>
      <w:r w:rsidR="00E3034B" w:rsidRPr="0078696C">
        <w:rPr>
          <w:rFonts w:ascii="Times New Roman" w:eastAsia="Times New Roman" w:hAnsi="Times New Roman"/>
          <w:color w:val="000000"/>
          <w:sz w:val="28"/>
          <w:szCs w:val="28"/>
          <w:lang w:eastAsia="ru-RU"/>
        </w:rPr>
        <w:t xml:space="preserve">зміна правил проведення індексації та валоризації пенсій </w:t>
      </w:r>
      <w:r w:rsidR="00AD6580" w:rsidRPr="0078696C">
        <w:rPr>
          <w:rFonts w:ascii="Times New Roman" w:eastAsia="Times New Roman" w:hAnsi="Times New Roman"/>
          <w:color w:val="000000"/>
          <w:sz w:val="28"/>
          <w:szCs w:val="28"/>
          <w:lang w:eastAsia="ru-RU"/>
        </w:rPr>
        <w:t>тощо.</w:t>
      </w:r>
    </w:p>
    <w:p w:rsidR="00AD6580" w:rsidRPr="0078696C" w:rsidRDefault="00AD6580" w:rsidP="0075454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 xml:space="preserve">Аналіз зовнішніх і внутрішніх факторів розвитку пенсійних систем доводить, що створення умов довгострокового сталого розвитку пенсійної системи не повинно зводитися до одного фактору, яким би очевидним він не здавався. Наприклад, збільшення пенсійного віку пропорційно до зростаючої чисельності непрацездатного населення </w:t>
      </w:r>
      <w:r w:rsidR="0075454C" w:rsidRPr="0078696C">
        <w:rPr>
          <w:rFonts w:ascii="Times New Roman" w:eastAsia="Times New Roman" w:hAnsi="Times New Roman"/>
          <w:color w:val="000000"/>
          <w:sz w:val="28"/>
          <w:szCs w:val="28"/>
          <w:lang w:eastAsia="ru-RU"/>
        </w:rPr>
        <w:t xml:space="preserve">не вирішить питання </w:t>
      </w:r>
      <w:r w:rsidRPr="0078696C">
        <w:rPr>
          <w:rFonts w:ascii="Times New Roman" w:eastAsia="Times New Roman" w:hAnsi="Times New Roman"/>
          <w:color w:val="000000"/>
          <w:sz w:val="28"/>
          <w:szCs w:val="28"/>
          <w:lang w:eastAsia="ru-RU"/>
        </w:rPr>
        <w:t>демографічн</w:t>
      </w:r>
      <w:r w:rsidR="0075454C" w:rsidRPr="0078696C">
        <w:rPr>
          <w:rFonts w:ascii="Times New Roman" w:eastAsia="Times New Roman" w:hAnsi="Times New Roman"/>
          <w:color w:val="000000"/>
          <w:sz w:val="28"/>
          <w:szCs w:val="28"/>
          <w:lang w:eastAsia="ru-RU"/>
        </w:rPr>
        <w:t xml:space="preserve">ої кризи пенсійної системи та не створить необхідних умов для повноцінного реформування пенсійної системи, так як </w:t>
      </w:r>
      <w:r w:rsidRPr="0078696C">
        <w:rPr>
          <w:rFonts w:ascii="Times New Roman" w:eastAsia="Times New Roman" w:hAnsi="Times New Roman"/>
          <w:color w:val="000000"/>
          <w:sz w:val="28"/>
          <w:szCs w:val="28"/>
          <w:lang w:eastAsia="ru-RU"/>
        </w:rPr>
        <w:t>будь-які спроби «лінійного» регулювання за допомогою одного фактора приречені на невдачу</w:t>
      </w:r>
      <w:r w:rsidR="0075454C" w:rsidRPr="0078696C">
        <w:rPr>
          <w:rFonts w:ascii="Times New Roman" w:eastAsia="Times New Roman" w:hAnsi="Times New Roman"/>
          <w:color w:val="000000"/>
          <w:sz w:val="28"/>
          <w:szCs w:val="28"/>
          <w:lang w:eastAsia="ru-RU"/>
        </w:rPr>
        <w:t>.</w:t>
      </w:r>
    </w:p>
    <w:p w:rsidR="009C1F1A" w:rsidRPr="0078696C" w:rsidRDefault="00AD6580" w:rsidP="009C1F1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Суттєвою ознакою реформування пенсійного забезпечення в розвинених країнах, на відміну від країн, що розвиваються, є переважно коригувальний характер більшості нововведень</w:t>
      </w:r>
      <w:r w:rsidR="009C1F1A" w:rsidRPr="0078696C">
        <w:rPr>
          <w:rFonts w:ascii="Times New Roman" w:eastAsia="Times New Roman" w:hAnsi="Times New Roman"/>
          <w:color w:val="000000"/>
          <w:sz w:val="28"/>
          <w:szCs w:val="28"/>
          <w:lang w:eastAsia="ru-RU"/>
        </w:rPr>
        <w:t xml:space="preserve">, спрямований на забезпеченняфінансової стійкості пенсійної системи та її адаптації до мінливих викликів сьогодення. </w:t>
      </w:r>
    </w:p>
    <w:p w:rsidR="009C1F1A" w:rsidRPr="0078696C" w:rsidRDefault="009C1F1A" w:rsidP="00C9332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Пенсійні виплати характеризуються дуже значн</w:t>
      </w:r>
      <w:r w:rsidR="00C9332A" w:rsidRPr="0078696C">
        <w:rPr>
          <w:rFonts w:ascii="Times New Roman" w:eastAsia="Times New Roman" w:hAnsi="Times New Roman"/>
          <w:color w:val="000000"/>
          <w:sz w:val="28"/>
          <w:szCs w:val="28"/>
          <w:lang w:eastAsia="ru-RU"/>
        </w:rPr>
        <w:t xml:space="preserve">ою та дедалі зростаючою часткою </w:t>
      </w:r>
      <w:r w:rsidRPr="0078696C">
        <w:rPr>
          <w:rFonts w:ascii="Times New Roman" w:eastAsia="Times New Roman" w:hAnsi="Times New Roman"/>
          <w:color w:val="000000"/>
          <w:sz w:val="28"/>
          <w:szCs w:val="28"/>
          <w:lang w:eastAsia="ru-RU"/>
        </w:rPr>
        <w:t>державних витрат: у середньому в ЄС вона складає понад 10% ВВП і може зрости</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до 12,5% ВВП у 2060р. Хоча країни-члени стика</w:t>
      </w:r>
      <w:r w:rsidR="00C9332A" w:rsidRPr="0078696C">
        <w:rPr>
          <w:rFonts w:ascii="Times New Roman" w:eastAsia="Times New Roman" w:hAnsi="Times New Roman"/>
          <w:color w:val="000000"/>
          <w:sz w:val="28"/>
          <w:szCs w:val="28"/>
          <w:lang w:eastAsia="ru-RU"/>
        </w:rPr>
        <w:t>ються з аналогічними демографіч</w:t>
      </w:r>
      <w:r w:rsidRPr="0078696C">
        <w:rPr>
          <w:rFonts w:ascii="Times New Roman" w:eastAsia="Times New Roman" w:hAnsi="Times New Roman"/>
          <w:color w:val="000000"/>
          <w:sz w:val="28"/>
          <w:szCs w:val="28"/>
          <w:lang w:eastAsia="ru-RU"/>
        </w:rPr>
        <w:t>ними проблемами, частка їх бюджетних витрат на державні пенсії варіюється в</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широкому діапазоні – від 7% ВВП в Ірландії та Литві до</w:t>
      </w:r>
      <w:r w:rsidR="00C9332A" w:rsidRPr="0078696C">
        <w:rPr>
          <w:rFonts w:ascii="Times New Roman" w:eastAsia="Times New Roman" w:hAnsi="Times New Roman"/>
          <w:color w:val="000000"/>
          <w:sz w:val="28"/>
          <w:szCs w:val="28"/>
          <w:lang w:eastAsia="ru-RU"/>
        </w:rPr>
        <w:t xml:space="preserve"> 16% в Італії і Греції. Заг</w:t>
      </w:r>
      <w:r w:rsidRPr="0078696C">
        <w:rPr>
          <w:rFonts w:ascii="Times New Roman" w:eastAsia="Times New Roman" w:hAnsi="Times New Roman"/>
          <w:color w:val="000000"/>
          <w:sz w:val="28"/>
          <w:szCs w:val="28"/>
          <w:lang w:eastAsia="ru-RU"/>
        </w:rPr>
        <w:t>рози фінансовій стійкості пенсійного забезпечення пов’язані з тим, що до 2060р.прогнозна тривалість життя європейців зросте на 5-7 років, і майже третина населення</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ЄС буде віком 65 років і старші</w:t>
      </w:r>
      <w:r w:rsidR="00C9332A" w:rsidRPr="0078696C">
        <w:rPr>
          <w:rStyle w:val="a8"/>
          <w:rFonts w:ascii="Times New Roman" w:eastAsia="Times New Roman" w:hAnsi="Times New Roman"/>
          <w:color w:val="000000"/>
          <w:sz w:val="28"/>
          <w:szCs w:val="28"/>
          <w:lang w:eastAsia="ru-RU"/>
        </w:rPr>
        <w:footnoteReference w:id="343"/>
      </w:r>
      <w:r w:rsidRPr="0078696C">
        <w:rPr>
          <w:rFonts w:ascii="Times New Roman" w:eastAsia="Times New Roman" w:hAnsi="Times New Roman"/>
          <w:color w:val="000000"/>
          <w:sz w:val="28"/>
          <w:szCs w:val="28"/>
          <w:lang w:eastAsia="ru-RU"/>
        </w:rPr>
        <w:t>.</w:t>
      </w:r>
    </w:p>
    <w:p w:rsidR="009C1F1A" w:rsidRPr="0078696C" w:rsidRDefault="009C1F1A" w:rsidP="009E315D">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Більшість країн запровадили або збі</w:t>
      </w:r>
      <w:r w:rsidR="009E315D" w:rsidRPr="0078696C">
        <w:rPr>
          <w:rFonts w:ascii="Times New Roman" w:eastAsia="Times New Roman" w:hAnsi="Times New Roman"/>
          <w:color w:val="000000"/>
          <w:sz w:val="28"/>
          <w:szCs w:val="28"/>
          <w:lang w:eastAsia="ru-RU"/>
        </w:rPr>
        <w:t>льшили бонуси і штрафи у випад</w:t>
      </w:r>
      <w:r w:rsidRPr="0078696C">
        <w:rPr>
          <w:rFonts w:ascii="Times New Roman" w:eastAsia="Times New Roman" w:hAnsi="Times New Roman"/>
          <w:color w:val="000000"/>
          <w:sz w:val="28"/>
          <w:szCs w:val="28"/>
          <w:lang w:eastAsia="ru-RU"/>
        </w:rPr>
        <w:t>ках виходу на пенсію, відповідно, після та до досягнення пенсійного віку</w:t>
      </w:r>
      <w:r w:rsidR="009E315D" w:rsidRPr="0078696C">
        <w:rPr>
          <w:rFonts w:ascii="Times New Roman" w:eastAsia="Times New Roman" w:hAnsi="Times New Roman"/>
          <w:color w:val="000000"/>
          <w:sz w:val="28"/>
          <w:szCs w:val="28"/>
          <w:lang w:eastAsia="ru-RU"/>
        </w:rPr>
        <w:t>, що створило сприятливі умови для відстрочки віку виходу на пенсію з боку громадян</w:t>
      </w:r>
      <w:r w:rsidR="000F65C3"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У деяких країнах, наприклад, Іспанії, більш простими</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стали умови поєднання роботи та пенсійного забезпечення для працюючих пенсіонерів</w:t>
      </w:r>
      <w:r w:rsidR="000F65C3" w:rsidRPr="0078696C">
        <w:rPr>
          <w:rStyle w:val="a8"/>
          <w:rFonts w:ascii="Times New Roman" w:eastAsia="Times New Roman" w:hAnsi="Times New Roman"/>
          <w:color w:val="000000"/>
          <w:sz w:val="28"/>
          <w:szCs w:val="28"/>
          <w:lang w:eastAsia="ru-RU"/>
        </w:rPr>
        <w:footnoteReference w:id="344"/>
      </w:r>
      <w:r w:rsidRPr="0078696C">
        <w:rPr>
          <w:rFonts w:ascii="Times New Roman" w:eastAsia="Times New Roman" w:hAnsi="Times New Roman"/>
          <w:color w:val="000000"/>
          <w:sz w:val="28"/>
          <w:szCs w:val="28"/>
          <w:lang w:eastAsia="ru-RU"/>
        </w:rPr>
        <w:t>.</w:t>
      </w:r>
    </w:p>
    <w:p w:rsidR="009C1F1A" w:rsidRPr="0078696C" w:rsidRDefault="009C1F1A" w:rsidP="00C9332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Ряд країн ЄС змінили підходи до розрахунку розм</w:t>
      </w:r>
      <w:r w:rsidR="009E315D" w:rsidRPr="0078696C">
        <w:rPr>
          <w:rFonts w:ascii="Times New Roman" w:eastAsia="Times New Roman" w:hAnsi="Times New Roman"/>
          <w:color w:val="000000"/>
          <w:sz w:val="28"/>
          <w:szCs w:val="28"/>
          <w:lang w:eastAsia="ru-RU"/>
        </w:rPr>
        <w:t xml:space="preserve">іру вперше призначуваної пенсії </w:t>
      </w:r>
      <w:r w:rsidRPr="0078696C">
        <w:rPr>
          <w:rFonts w:ascii="Times New Roman" w:eastAsia="Times New Roman" w:hAnsi="Times New Roman"/>
          <w:color w:val="000000"/>
          <w:sz w:val="28"/>
          <w:szCs w:val="28"/>
          <w:lang w:eastAsia="ru-RU"/>
        </w:rPr>
        <w:t>та індексації пенсій. Наприклад, Чехія, Ірландія, Ісп</w:t>
      </w:r>
      <w:r w:rsidR="00C9332A" w:rsidRPr="0078696C">
        <w:rPr>
          <w:rFonts w:ascii="Times New Roman" w:eastAsia="Times New Roman" w:hAnsi="Times New Roman"/>
          <w:color w:val="000000"/>
          <w:sz w:val="28"/>
          <w:szCs w:val="28"/>
          <w:lang w:eastAsia="ru-RU"/>
        </w:rPr>
        <w:t>анія та Франція збільшили трива</w:t>
      </w:r>
      <w:r w:rsidRPr="0078696C">
        <w:rPr>
          <w:rFonts w:ascii="Times New Roman" w:eastAsia="Times New Roman" w:hAnsi="Times New Roman"/>
          <w:color w:val="000000"/>
          <w:sz w:val="28"/>
          <w:szCs w:val="28"/>
          <w:lang w:eastAsia="ru-RU"/>
        </w:rPr>
        <w:t>лість періоду сплати внесків, який враховується при нарахуванні пенсії. Оскільки цей</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період подовжився, то рівень заміщення пенсією доходу, який працівник отримував</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до виходу на пенсію, знизився. Це відбувається тому, що в основу розрахунку розміру</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пенсії тепер включається більше років страхового стажу, а</w:t>
      </w:r>
      <w:r w:rsidR="00C9332A" w:rsidRPr="0078696C">
        <w:rPr>
          <w:rFonts w:ascii="Times New Roman" w:eastAsia="Times New Roman" w:hAnsi="Times New Roman"/>
          <w:color w:val="000000"/>
          <w:sz w:val="28"/>
          <w:szCs w:val="28"/>
          <w:lang w:eastAsia="ru-RU"/>
        </w:rPr>
        <w:t xml:space="preserve"> не тільки ті роки, коли праців</w:t>
      </w:r>
      <w:r w:rsidRPr="0078696C">
        <w:rPr>
          <w:rFonts w:ascii="Times New Roman" w:eastAsia="Times New Roman" w:hAnsi="Times New Roman"/>
          <w:color w:val="000000"/>
          <w:sz w:val="28"/>
          <w:szCs w:val="28"/>
          <w:lang w:eastAsia="ru-RU"/>
        </w:rPr>
        <w:t>ник отримував найвищу зарплату</w:t>
      </w:r>
      <w:r w:rsidR="00C578A4" w:rsidRPr="0078696C">
        <w:rPr>
          <w:rStyle w:val="a8"/>
          <w:rFonts w:ascii="Times New Roman" w:eastAsia="Times New Roman" w:hAnsi="Times New Roman"/>
          <w:color w:val="000000"/>
          <w:sz w:val="28"/>
          <w:szCs w:val="28"/>
          <w:lang w:eastAsia="ru-RU"/>
        </w:rPr>
        <w:footnoteReference w:id="345"/>
      </w:r>
      <w:r w:rsidRPr="0078696C">
        <w:rPr>
          <w:rFonts w:ascii="Times New Roman" w:eastAsia="Times New Roman" w:hAnsi="Times New Roman"/>
          <w:color w:val="000000"/>
          <w:sz w:val="28"/>
          <w:szCs w:val="28"/>
          <w:lang w:eastAsia="ru-RU"/>
        </w:rPr>
        <w:t>.</w:t>
      </w:r>
    </w:p>
    <w:p w:rsidR="00C9332A" w:rsidRPr="0078696C" w:rsidRDefault="00C9332A" w:rsidP="00C9332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 умовах інфляції пенсійні виплати не встигають за зростанням цін, тому існують різні форми індексації трудових доходів і соціальних виплат, у тому числі і пенсій. Вперше принцип систематичної адаптації пенсій до змін цін був прописаний у пенсійному законі Данії </w:t>
      </w:r>
      <w:r w:rsidRPr="0078696C">
        <w:rPr>
          <w:rFonts w:ascii="Times New Roman" w:eastAsia="Times New Roman" w:hAnsi="Times New Roman"/>
          <w:color w:val="000000"/>
          <w:sz w:val="28"/>
          <w:szCs w:val="28"/>
          <w:vertAlign w:val="superscript"/>
          <w:lang w:eastAsia="ru-RU"/>
        </w:rPr>
        <w:footnoteReference w:id="346"/>
      </w:r>
      <w:r w:rsidRPr="0078696C">
        <w:rPr>
          <w:rFonts w:ascii="Times New Roman" w:eastAsia="Times New Roman" w:hAnsi="Times New Roman"/>
          <w:color w:val="000000"/>
          <w:sz w:val="28"/>
          <w:szCs w:val="28"/>
          <w:lang w:eastAsia="ru-RU"/>
        </w:rPr>
        <w:t xml:space="preserve">. Після Другої світової війни він став застосовуватися в інших розвинутих країнах. У Швеції індексацію пенсій проводять відповідно до зміни зростання споживчих цін, а в Німеччині і Австрії така індексація здійснюється на основі індексу чистих доходів. У Франції індексація пенсій відбувається з урахуванням складного індексу, в якому враховуються обидва показники </w:t>
      </w:r>
      <w:r w:rsidRPr="0078696C">
        <w:rPr>
          <w:rStyle w:val="a8"/>
          <w:rFonts w:ascii="Times New Roman" w:eastAsia="Times New Roman" w:hAnsi="Times New Roman"/>
          <w:color w:val="000000"/>
          <w:sz w:val="28"/>
          <w:szCs w:val="28"/>
          <w:lang w:eastAsia="ru-RU"/>
        </w:rPr>
        <w:footnoteReference w:id="347"/>
      </w:r>
      <w:r w:rsidRPr="0078696C">
        <w:rPr>
          <w:rFonts w:ascii="Times New Roman" w:eastAsia="Times New Roman" w:hAnsi="Times New Roman"/>
          <w:color w:val="000000"/>
          <w:sz w:val="28"/>
          <w:szCs w:val="28"/>
          <w:lang w:eastAsia="ru-RU"/>
        </w:rPr>
        <w:t>.</w:t>
      </w:r>
    </w:p>
    <w:p w:rsidR="000F65C3" w:rsidRPr="0078696C" w:rsidRDefault="009C1F1A" w:rsidP="00C9332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 ході останніх реформ більшість держав ЄС змін</w:t>
      </w:r>
      <w:r w:rsidR="00C9332A" w:rsidRPr="0078696C">
        <w:rPr>
          <w:rFonts w:ascii="Times New Roman" w:eastAsia="Times New Roman" w:hAnsi="Times New Roman"/>
          <w:color w:val="000000"/>
          <w:sz w:val="28"/>
          <w:szCs w:val="28"/>
          <w:lang w:eastAsia="ru-RU"/>
        </w:rPr>
        <w:t>или правила проведення індекса</w:t>
      </w:r>
      <w:r w:rsidRPr="0078696C">
        <w:rPr>
          <w:rFonts w:ascii="Times New Roman" w:eastAsia="Times New Roman" w:hAnsi="Times New Roman"/>
          <w:color w:val="000000"/>
          <w:sz w:val="28"/>
          <w:szCs w:val="28"/>
          <w:lang w:eastAsia="ru-RU"/>
        </w:rPr>
        <w:t>ції пенсій (наприклад, Португалія, Іспанія, Польща, Хорватія, Кіпр, Греція) у бік</w:t>
      </w:r>
      <w:r w:rsidR="00C9262E">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заниження зміни в динаміці номінальної заробітної п</w:t>
      </w:r>
      <w:r w:rsidR="00C9332A" w:rsidRPr="0078696C">
        <w:rPr>
          <w:rFonts w:ascii="Times New Roman" w:eastAsia="Times New Roman" w:hAnsi="Times New Roman"/>
          <w:color w:val="000000"/>
          <w:sz w:val="28"/>
          <w:szCs w:val="28"/>
          <w:lang w:eastAsia="ru-RU"/>
        </w:rPr>
        <w:t>лати</w:t>
      </w:r>
      <w:r w:rsidR="00C9332A" w:rsidRPr="0078696C">
        <w:rPr>
          <w:rStyle w:val="a8"/>
          <w:rFonts w:ascii="Times New Roman" w:eastAsia="Times New Roman" w:hAnsi="Times New Roman"/>
          <w:color w:val="000000"/>
          <w:sz w:val="28"/>
          <w:szCs w:val="28"/>
          <w:lang w:eastAsia="ru-RU"/>
        </w:rPr>
        <w:footnoteReference w:id="348"/>
      </w:r>
      <w:r w:rsidR="00C9332A" w:rsidRPr="0078696C">
        <w:rPr>
          <w:rFonts w:ascii="Times New Roman" w:eastAsia="Times New Roman" w:hAnsi="Times New Roman"/>
          <w:color w:val="000000"/>
          <w:sz w:val="28"/>
          <w:szCs w:val="28"/>
          <w:lang w:eastAsia="ru-RU"/>
        </w:rPr>
        <w:t xml:space="preserve">. </w:t>
      </w:r>
    </w:p>
    <w:p w:rsidR="009C1F1A" w:rsidRPr="0078696C" w:rsidRDefault="00C9332A" w:rsidP="00C9332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Таким чином, пенсії індек</w:t>
      </w:r>
      <w:r w:rsidR="009C1F1A" w:rsidRPr="0078696C">
        <w:rPr>
          <w:rFonts w:ascii="Times New Roman" w:eastAsia="Times New Roman" w:hAnsi="Times New Roman"/>
          <w:color w:val="000000"/>
          <w:sz w:val="28"/>
          <w:szCs w:val="28"/>
          <w:lang w:eastAsia="ru-RU"/>
        </w:rPr>
        <w:t>суються у меншій відповідності темпам зростання заробітної плати, аніж раніше.</w:t>
      </w:r>
    </w:p>
    <w:p w:rsidR="00543148" w:rsidRPr="0078696C" w:rsidRDefault="00C9332A" w:rsidP="005929D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Крім цього, </w:t>
      </w:r>
      <w:r w:rsidR="0006174D" w:rsidRPr="0078696C">
        <w:rPr>
          <w:rFonts w:ascii="Times New Roman" w:eastAsia="Times New Roman" w:hAnsi="Times New Roman"/>
          <w:color w:val="000000"/>
          <w:sz w:val="28"/>
          <w:szCs w:val="28"/>
          <w:lang w:eastAsia="ru-RU"/>
        </w:rPr>
        <w:t xml:space="preserve">стали менш сприятливими правила валоризації пенсій (валоризація (англ. valorization) – сукупність заходів, спрямованих на штучне </w:t>
      </w:r>
      <w:r w:rsidR="0006174D" w:rsidRPr="0078696C">
        <w:rPr>
          <w:rFonts w:ascii="Times New Roman" w:eastAsia="Times New Roman" w:hAnsi="Times New Roman"/>
          <w:color w:val="000000"/>
          <w:sz w:val="28"/>
          <w:szCs w:val="28"/>
          <w:lang w:eastAsia="ru-RU"/>
        </w:rPr>
        <w:lastRenderedPageBreak/>
        <w:t>підвищення ціни товару, курсу цінних паперів, національних паперових</w:t>
      </w:r>
      <w:r w:rsidR="0006174D" w:rsidRPr="0078696C">
        <w:rPr>
          <w:rFonts w:ascii="Times New Roman" w:eastAsia="Times New Roman" w:hAnsi="Times New Roman"/>
          <w:color w:val="000000"/>
          <w:sz w:val="28"/>
          <w:szCs w:val="28"/>
          <w:lang w:eastAsia="ru-RU"/>
        </w:rPr>
        <w:br/>
        <w:t xml:space="preserve">грошей </w:t>
      </w:r>
      <w:r w:rsidR="0006174D" w:rsidRPr="0078696C">
        <w:rPr>
          <w:rStyle w:val="a8"/>
          <w:rFonts w:ascii="Times New Roman" w:eastAsia="Times New Roman" w:hAnsi="Times New Roman"/>
          <w:color w:val="000000"/>
          <w:sz w:val="28"/>
          <w:szCs w:val="28"/>
          <w:lang w:eastAsia="ru-RU"/>
        </w:rPr>
        <w:footnoteReference w:id="349"/>
      </w:r>
      <w:r w:rsidR="0006174D" w:rsidRPr="0078696C">
        <w:rPr>
          <w:rFonts w:ascii="Times New Roman" w:eastAsia="Times New Roman" w:hAnsi="Times New Roman"/>
          <w:color w:val="000000"/>
          <w:sz w:val="28"/>
          <w:szCs w:val="28"/>
          <w:lang w:eastAsia="ru-RU"/>
        </w:rPr>
        <w:t>)</w:t>
      </w:r>
      <w:r w:rsidR="009C1F1A" w:rsidRPr="0078696C">
        <w:rPr>
          <w:rFonts w:ascii="Times New Roman" w:eastAsia="Times New Roman" w:hAnsi="Times New Roman"/>
          <w:color w:val="000000"/>
          <w:sz w:val="28"/>
          <w:szCs w:val="28"/>
          <w:lang w:eastAsia="ru-RU"/>
        </w:rPr>
        <w:t>.</w:t>
      </w:r>
      <w:r w:rsidR="00C9262E">
        <w:rPr>
          <w:rFonts w:ascii="Times New Roman" w:eastAsia="Times New Roman" w:hAnsi="Times New Roman"/>
          <w:color w:val="000000"/>
          <w:sz w:val="28"/>
          <w:szCs w:val="28"/>
          <w:lang w:eastAsia="ru-RU"/>
        </w:rPr>
        <w:t xml:space="preserve"> </w:t>
      </w:r>
      <w:r w:rsidR="009C1F1A" w:rsidRPr="0078696C">
        <w:rPr>
          <w:rFonts w:ascii="Times New Roman" w:eastAsia="Times New Roman" w:hAnsi="Times New Roman"/>
          <w:color w:val="000000"/>
          <w:sz w:val="28"/>
          <w:szCs w:val="28"/>
          <w:lang w:eastAsia="ru-RU"/>
        </w:rPr>
        <w:t>Деякі країни ЄС</w:t>
      </w:r>
      <w:r w:rsidRPr="0078696C">
        <w:rPr>
          <w:rFonts w:ascii="Times New Roman" w:eastAsia="Times New Roman" w:hAnsi="Times New Roman"/>
          <w:color w:val="000000"/>
          <w:sz w:val="28"/>
          <w:szCs w:val="28"/>
          <w:lang w:eastAsia="ru-RU"/>
        </w:rPr>
        <w:t xml:space="preserve"> вирішили відмовитися від ураху</w:t>
      </w:r>
      <w:r w:rsidR="009C1F1A" w:rsidRPr="0078696C">
        <w:rPr>
          <w:rFonts w:ascii="Times New Roman" w:eastAsia="Times New Roman" w:hAnsi="Times New Roman"/>
          <w:color w:val="000000"/>
          <w:sz w:val="28"/>
          <w:szCs w:val="28"/>
          <w:lang w:eastAsia="ru-RU"/>
        </w:rPr>
        <w:t>вання динаміки заробітних плат під ча</w:t>
      </w:r>
      <w:r w:rsidR="005A30E5" w:rsidRPr="0078696C">
        <w:rPr>
          <w:rFonts w:ascii="Times New Roman" w:eastAsia="Times New Roman" w:hAnsi="Times New Roman"/>
          <w:color w:val="000000"/>
          <w:sz w:val="28"/>
          <w:szCs w:val="28"/>
          <w:lang w:eastAsia="ru-RU"/>
        </w:rPr>
        <w:t xml:space="preserve">с проведення валоризації пенсій, тобто відмовились від індексації страхових внесків, сплачених протягом трудового життя працівника. </w:t>
      </w:r>
      <w:r w:rsidR="009C1F1A" w:rsidRPr="0078696C">
        <w:rPr>
          <w:rFonts w:ascii="Times New Roman" w:eastAsia="Times New Roman" w:hAnsi="Times New Roman"/>
          <w:color w:val="000000"/>
          <w:sz w:val="28"/>
          <w:szCs w:val="28"/>
          <w:lang w:eastAsia="ru-RU"/>
        </w:rPr>
        <w:t>Вони перейшли</w:t>
      </w:r>
      <w:r w:rsidR="000C42F1">
        <w:rPr>
          <w:rFonts w:ascii="Times New Roman" w:eastAsia="Times New Roman" w:hAnsi="Times New Roman"/>
          <w:color w:val="000000"/>
          <w:sz w:val="28"/>
          <w:szCs w:val="28"/>
          <w:lang w:eastAsia="ru-RU"/>
        </w:rPr>
        <w:t xml:space="preserve"> </w:t>
      </w:r>
      <w:r w:rsidR="009C1F1A" w:rsidRPr="0078696C">
        <w:rPr>
          <w:rFonts w:ascii="Times New Roman" w:eastAsia="Times New Roman" w:hAnsi="Times New Roman"/>
          <w:color w:val="000000"/>
          <w:sz w:val="28"/>
          <w:szCs w:val="28"/>
          <w:lang w:eastAsia="ru-RU"/>
        </w:rPr>
        <w:t>на врахування або динаміки цін (наприклад, Франція,</w:t>
      </w:r>
      <w:r w:rsidRPr="0078696C">
        <w:rPr>
          <w:rFonts w:ascii="Times New Roman" w:eastAsia="Times New Roman" w:hAnsi="Times New Roman"/>
          <w:color w:val="000000"/>
          <w:sz w:val="28"/>
          <w:szCs w:val="28"/>
          <w:lang w:eastAsia="ru-RU"/>
        </w:rPr>
        <w:t xml:space="preserve"> Бельгія, Португалія), або поєд</w:t>
      </w:r>
      <w:r w:rsidR="009C1F1A" w:rsidRPr="0078696C">
        <w:rPr>
          <w:rFonts w:ascii="Times New Roman" w:eastAsia="Times New Roman" w:hAnsi="Times New Roman"/>
          <w:color w:val="000000"/>
          <w:sz w:val="28"/>
          <w:szCs w:val="28"/>
          <w:lang w:eastAsia="ru-RU"/>
        </w:rPr>
        <w:t>нання показників динаміки цін і зарплат (наприклад, Греція, Хорватія, Румунія та</w:t>
      </w:r>
      <w:r w:rsidR="00C9262E">
        <w:rPr>
          <w:rFonts w:ascii="Times New Roman" w:eastAsia="Times New Roman" w:hAnsi="Times New Roman"/>
          <w:color w:val="000000"/>
          <w:sz w:val="28"/>
          <w:szCs w:val="28"/>
          <w:lang w:eastAsia="ru-RU"/>
        </w:rPr>
        <w:t xml:space="preserve"> </w:t>
      </w:r>
      <w:r w:rsidR="009C1F1A" w:rsidRPr="0078696C">
        <w:rPr>
          <w:rFonts w:ascii="Times New Roman" w:eastAsia="Times New Roman" w:hAnsi="Times New Roman"/>
          <w:color w:val="000000"/>
          <w:sz w:val="28"/>
          <w:szCs w:val="28"/>
          <w:lang w:eastAsia="ru-RU"/>
        </w:rPr>
        <w:t>Фінляндія)</w:t>
      </w:r>
      <w:r w:rsidR="0006174D" w:rsidRPr="0078696C">
        <w:rPr>
          <w:rStyle w:val="a8"/>
          <w:rFonts w:ascii="Times New Roman" w:eastAsia="Times New Roman" w:hAnsi="Times New Roman"/>
          <w:color w:val="000000"/>
          <w:sz w:val="28"/>
          <w:szCs w:val="28"/>
          <w:lang w:eastAsia="ru-RU"/>
        </w:rPr>
        <w:footnoteReference w:id="350"/>
      </w:r>
      <w:r w:rsidR="009C1F1A" w:rsidRPr="0078696C">
        <w:rPr>
          <w:rFonts w:ascii="Times New Roman" w:eastAsia="Times New Roman" w:hAnsi="Times New Roman"/>
          <w:color w:val="000000"/>
          <w:sz w:val="28"/>
          <w:szCs w:val="28"/>
          <w:lang w:eastAsia="ru-RU"/>
        </w:rPr>
        <w:t>.</w:t>
      </w:r>
    </w:p>
    <w:p w:rsidR="00543148" w:rsidRPr="0078696C" w:rsidRDefault="00543148" w:rsidP="00543148">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Отже, аналіз розвитку європейських пенсійних систем дозволив визначити, що основними </w:t>
      </w:r>
      <w:r w:rsidR="005929D0" w:rsidRPr="0078696C">
        <w:rPr>
          <w:rFonts w:ascii="Times New Roman" w:eastAsia="Times New Roman" w:hAnsi="Times New Roman"/>
          <w:color w:val="000000"/>
          <w:sz w:val="28"/>
          <w:szCs w:val="28"/>
          <w:lang w:eastAsia="ru-RU"/>
        </w:rPr>
        <w:t>напрямками пенсійних реформ</w:t>
      </w:r>
      <w:r w:rsidRPr="0078696C">
        <w:rPr>
          <w:rFonts w:ascii="Times New Roman" w:eastAsia="Times New Roman" w:hAnsi="Times New Roman"/>
          <w:color w:val="000000"/>
          <w:sz w:val="28"/>
          <w:szCs w:val="28"/>
          <w:lang w:eastAsia="ru-RU"/>
        </w:rPr>
        <w:t xml:space="preserve"> є підвищення пенсійного віку, підвищення розміру відрахувань до державних пенсійних фондів та стимулювання населення до участі у приватних системах пенсійного забезпечення, що скорочує зобов'язання держав та послаблює навантаження на солідарні системи.</w:t>
      </w:r>
    </w:p>
    <w:p w:rsidR="005929D0" w:rsidRPr="0078696C" w:rsidRDefault="005929D0" w:rsidP="005929D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Фактично, результатом реформування пенсійної системи у більшості розвинених країн є поєднання керованої державою пенсійної системи із корпоративними пенсійними планами (тобто порядком управління та розміщення накопичених пенсійних внесків), розташованими в приватному управлінні, та з особистими ощадними пенсійними рахунками для задоволення більш високих потреб груп населення з середніми і високими доходами. </w:t>
      </w:r>
    </w:p>
    <w:p w:rsidR="00543148" w:rsidRPr="0078696C" w:rsidRDefault="005B4D85" w:rsidP="00DC2AB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Загальна тенденція всіх реформ пенсійних систем європейських країн – це поступовий перехід від зрівняльних систем до індивідуально-накопичувальних, які засновані на принципах особистої відповідальності за своє матеріальне забезпечення в старості і на капіталізації тих коштів, які працівник надає пенсійним фондам. Однак, державні «солідарні» схеми продовжують існувати, хоча і в значно скороченому вигляді.</w:t>
      </w:r>
    </w:p>
    <w:p w:rsidR="00687AB9" w:rsidRPr="0078696C" w:rsidRDefault="00687AB9" w:rsidP="00DC2ABC">
      <w:pPr>
        <w:spacing w:after="0" w:line="360" w:lineRule="auto"/>
        <w:ind w:firstLine="709"/>
        <w:jc w:val="both"/>
        <w:rPr>
          <w:rFonts w:ascii="Times New Roman" w:eastAsia="Times New Roman" w:hAnsi="Times New Roman"/>
          <w:color w:val="000000"/>
          <w:sz w:val="28"/>
          <w:szCs w:val="28"/>
          <w:lang w:eastAsia="ru-RU"/>
        </w:rPr>
      </w:pPr>
    </w:p>
    <w:p w:rsidR="00543148" w:rsidRPr="0078696C" w:rsidRDefault="00394715" w:rsidP="00375967">
      <w:pPr>
        <w:spacing w:after="0" w:line="360" w:lineRule="auto"/>
        <w:ind w:firstLine="709"/>
        <w:jc w:val="both"/>
        <w:rPr>
          <w:rFonts w:ascii="Times New Roman" w:hAnsi="Times New Roman"/>
          <w:b/>
          <w:color w:val="000000"/>
          <w:sz w:val="28"/>
          <w:szCs w:val="28"/>
        </w:rPr>
      </w:pPr>
      <w:r w:rsidRPr="0078696C">
        <w:rPr>
          <w:rFonts w:ascii="Times New Roman" w:hAnsi="Times New Roman"/>
          <w:b/>
          <w:color w:val="000000"/>
          <w:sz w:val="28"/>
          <w:szCs w:val="28"/>
        </w:rPr>
        <w:lastRenderedPageBreak/>
        <w:t>3.3</w:t>
      </w:r>
      <w:r w:rsidR="007122C2" w:rsidRPr="0078696C">
        <w:rPr>
          <w:rFonts w:ascii="Times New Roman" w:hAnsi="Times New Roman"/>
          <w:b/>
          <w:color w:val="000000"/>
          <w:sz w:val="28"/>
          <w:szCs w:val="28"/>
        </w:rPr>
        <w:t xml:space="preserve"> Запровадження нових підходів</w:t>
      </w:r>
      <w:r w:rsidR="00C9262E">
        <w:rPr>
          <w:rFonts w:ascii="Times New Roman" w:hAnsi="Times New Roman"/>
          <w:b/>
          <w:color w:val="000000"/>
          <w:sz w:val="28"/>
          <w:szCs w:val="28"/>
        </w:rPr>
        <w:t xml:space="preserve"> </w:t>
      </w:r>
      <w:r w:rsidR="00844BF7" w:rsidRPr="0078696C">
        <w:rPr>
          <w:rFonts w:ascii="Times New Roman" w:hAnsi="Times New Roman"/>
          <w:b/>
          <w:color w:val="000000"/>
          <w:sz w:val="28"/>
          <w:szCs w:val="28"/>
        </w:rPr>
        <w:t>до</w:t>
      </w:r>
      <w:r w:rsidR="00543148" w:rsidRPr="0078696C">
        <w:rPr>
          <w:rFonts w:ascii="Times New Roman" w:hAnsi="Times New Roman"/>
          <w:b/>
          <w:color w:val="000000"/>
          <w:sz w:val="28"/>
          <w:szCs w:val="28"/>
        </w:rPr>
        <w:t xml:space="preserve"> державного управління системою пенсійного забезпечення в процесі реалізації євроінтеграційної політики України</w:t>
      </w:r>
    </w:p>
    <w:p w:rsidR="00543148" w:rsidRPr="0078696C" w:rsidRDefault="00543148" w:rsidP="00375967">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 даний час у всіх країнах світу, які проводять відповідальну соціальну політику, здійснюється пошук ефективних моделей національних пенсійних систем. Необхідність перетворень інститутів пенсійного забезпечення в різних державах обумовлена</w:t>
      </w:r>
      <w:r w:rsidR="00C9262E">
        <w:rPr>
          <w:rFonts w:ascii="Times New Roman" w:hAnsi="Times New Roman"/>
          <w:color w:val="000000"/>
          <w:sz w:val="28"/>
          <w:szCs w:val="28"/>
        </w:rPr>
        <w:t xml:space="preserve"> </w:t>
      </w:r>
      <w:r w:rsidRPr="0078696C">
        <w:rPr>
          <w:rFonts w:ascii="Times New Roman" w:hAnsi="Times New Roman"/>
          <w:color w:val="000000"/>
          <w:sz w:val="28"/>
          <w:szCs w:val="28"/>
        </w:rPr>
        <w:t>факторами демографічного, а також макроекономічного характеру. В якості основної причини кризи системи державного пенсійного забезпечення прийнято розглядати швидке старіння населення розвинених країн, про що ми вже писали в одному з попередніх розділів дисертаційного дослідження. Якщо брати за приклад країни Західної Європи, то в більшості з них, як показують статистичні дані, з 1970-х років відбувалося безперервне скорочення народжуваності, що здійснило вплив на чисельне співвідношення пенсіонерів і працюючих громадян. У ситуації, що склалася, розподільні пенсійні системи зіштовхнулися з проблемою забезпеченості державних пенсійних зобов'язань, що обумовлює необхідність реформування пенсійних систем.</w:t>
      </w:r>
    </w:p>
    <w:p w:rsidR="00CF15B8" w:rsidRPr="0078696C" w:rsidRDefault="007E08CC" w:rsidP="00375967">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 свою чергу, варто зазначити, що на сучасному етапі в країнах Євросоюзу відсутні єдині стандарти соціальної політики – кожна з країн зберігає власну національну компетенцію регулювання. На сьогодні можна говорити лише про координацію соціальних програм, здійснюваних державами-членами, і лише потім про перерозподіл обмежених фінансових ресурсів для здійснення цих програм, які сприятимуть розвитку інтеграції в цілому.</w:t>
      </w:r>
    </w:p>
    <w:p w:rsidR="007E08CC" w:rsidRPr="0078696C" w:rsidRDefault="00CB560F" w:rsidP="00375967">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Проведення у</w:t>
      </w:r>
      <w:r w:rsidR="00D511BF" w:rsidRPr="0078696C">
        <w:rPr>
          <w:rFonts w:ascii="Times New Roman" w:hAnsi="Times New Roman"/>
          <w:color w:val="000000"/>
          <w:sz w:val="28"/>
          <w:szCs w:val="28"/>
        </w:rPr>
        <w:t>ніфік</w:t>
      </w:r>
      <w:r w:rsidRPr="0078696C">
        <w:rPr>
          <w:rFonts w:ascii="Times New Roman" w:hAnsi="Times New Roman"/>
          <w:color w:val="000000"/>
          <w:sz w:val="28"/>
          <w:szCs w:val="28"/>
        </w:rPr>
        <w:t>ації</w:t>
      </w:r>
      <w:r w:rsidR="00D511BF" w:rsidRPr="0078696C">
        <w:rPr>
          <w:rFonts w:ascii="Times New Roman" w:hAnsi="Times New Roman"/>
          <w:color w:val="000000"/>
          <w:sz w:val="28"/>
          <w:szCs w:val="28"/>
        </w:rPr>
        <w:t xml:space="preserve"> європейського законодавства у сфері соціального захисту, на думку </w:t>
      </w:r>
      <w:r w:rsidR="00CF031B">
        <w:rPr>
          <w:rFonts w:ascii="Times New Roman" w:hAnsi="Times New Roman"/>
          <w:color w:val="000000"/>
          <w:sz w:val="28"/>
          <w:szCs w:val="28"/>
        </w:rPr>
        <w:t>професора В.</w:t>
      </w:r>
      <w:r w:rsidR="00C9262E">
        <w:rPr>
          <w:rFonts w:ascii="Times New Roman" w:hAnsi="Times New Roman"/>
          <w:color w:val="000000"/>
          <w:sz w:val="28"/>
          <w:szCs w:val="28"/>
        </w:rPr>
        <w:t> </w:t>
      </w:r>
      <w:r w:rsidRPr="0078696C">
        <w:rPr>
          <w:rFonts w:ascii="Times New Roman" w:hAnsi="Times New Roman"/>
          <w:color w:val="000000"/>
          <w:sz w:val="28"/>
          <w:szCs w:val="28"/>
        </w:rPr>
        <w:t>Анторопова</w:t>
      </w:r>
      <w:r w:rsidR="00D511BF" w:rsidRPr="0078696C">
        <w:rPr>
          <w:rFonts w:ascii="Times New Roman" w:hAnsi="Times New Roman"/>
          <w:color w:val="000000"/>
          <w:sz w:val="28"/>
          <w:szCs w:val="28"/>
        </w:rPr>
        <w:t>, навряд чи можлив</w:t>
      </w:r>
      <w:r w:rsidRPr="0078696C">
        <w:rPr>
          <w:rFonts w:ascii="Times New Roman" w:hAnsi="Times New Roman"/>
          <w:color w:val="000000"/>
          <w:sz w:val="28"/>
          <w:szCs w:val="28"/>
        </w:rPr>
        <w:t>е</w:t>
      </w:r>
      <w:r w:rsidR="00D511BF" w:rsidRPr="0078696C">
        <w:rPr>
          <w:rFonts w:ascii="Times New Roman" w:hAnsi="Times New Roman"/>
          <w:color w:val="000000"/>
          <w:sz w:val="28"/>
          <w:szCs w:val="28"/>
        </w:rPr>
        <w:t xml:space="preserve"> в найближчому майбутньому в зв'язку з істотними відмінностями в соціальних стандартах різних держав. Це пов'язано </w:t>
      </w:r>
      <w:r w:rsidRPr="0078696C">
        <w:rPr>
          <w:rFonts w:ascii="Times New Roman" w:hAnsi="Times New Roman"/>
          <w:color w:val="000000"/>
          <w:sz w:val="28"/>
          <w:szCs w:val="28"/>
        </w:rPr>
        <w:t xml:space="preserve">з тим, що країни ЄС, </w:t>
      </w:r>
      <w:r w:rsidR="00D511BF" w:rsidRPr="0078696C">
        <w:rPr>
          <w:rFonts w:ascii="Times New Roman" w:hAnsi="Times New Roman"/>
          <w:color w:val="000000"/>
          <w:sz w:val="28"/>
          <w:szCs w:val="28"/>
        </w:rPr>
        <w:t>як і раніше</w:t>
      </w:r>
      <w:r w:rsidRPr="0078696C">
        <w:rPr>
          <w:rFonts w:ascii="Times New Roman" w:hAnsi="Times New Roman"/>
          <w:color w:val="000000"/>
          <w:sz w:val="28"/>
          <w:szCs w:val="28"/>
        </w:rPr>
        <w:t>,</w:t>
      </w:r>
      <w:r w:rsidR="00D511BF" w:rsidRPr="0078696C">
        <w:rPr>
          <w:rFonts w:ascii="Times New Roman" w:hAnsi="Times New Roman"/>
          <w:color w:val="000000"/>
          <w:sz w:val="28"/>
          <w:szCs w:val="28"/>
        </w:rPr>
        <w:t xml:space="preserve"> знаходяться на різних рівнях економічного розвитку, тому соціальні витрати в </w:t>
      </w:r>
      <w:r w:rsidR="00D511BF" w:rsidRPr="0078696C">
        <w:rPr>
          <w:rFonts w:ascii="Times New Roman" w:hAnsi="Times New Roman"/>
          <w:color w:val="000000"/>
          <w:sz w:val="28"/>
          <w:szCs w:val="28"/>
        </w:rPr>
        <w:lastRenderedPageBreak/>
        <w:t>розрахунку на душу населення, виражені в абсолютних показниках, розрізняються в кілька разів</w:t>
      </w:r>
      <w:r w:rsidRPr="0078696C">
        <w:rPr>
          <w:rStyle w:val="a8"/>
          <w:rFonts w:ascii="Times New Roman" w:hAnsi="Times New Roman"/>
          <w:color w:val="000000"/>
          <w:sz w:val="28"/>
          <w:szCs w:val="28"/>
        </w:rPr>
        <w:footnoteReference w:id="351"/>
      </w:r>
      <w:r w:rsidR="00D511BF" w:rsidRPr="0078696C">
        <w:rPr>
          <w:rFonts w:ascii="Times New Roman" w:hAnsi="Times New Roman"/>
          <w:color w:val="000000"/>
          <w:sz w:val="28"/>
          <w:szCs w:val="28"/>
        </w:rPr>
        <w:t>.</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Аналіз європейського досвіду політики, спрямованої на перетворення інститутів пенсійного забезпечення, дозволяє виділити три основні напрями таких пе</w:t>
      </w:r>
      <w:r w:rsidR="00375967" w:rsidRPr="0078696C">
        <w:rPr>
          <w:rFonts w:ascii="Times New Roman" w:hAnsi="Times New Roman"/>
          <w:color w:val="000000"/>
          <w:sz w:val="28"/>
          <w:szCs w:val="28"/>
        </w:rPr>
        <w:t>ретворень.</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Перший напрям – так званим параметричний підхід до реформування пенсійної системи, що передбачає модифікацію окремих компонентів існуючої системи пенсійного забезпечення. Сюди, як правило, відносяться такі зміни як: підвищення пенсійного віку і скасування тих чи інших пільг, пов'язаних з пенсійним забезпеченням, збільшення ставки пенсійних внесків, трудового стажу для о</w:t>
      </w:r>
      <w:r w:rsidR="00375967" w:rsidRPr="0078696C">
        <w:rPr>
          <w:rFonts w:ascii="Times New Roman" w:hAnsi="Times New Roman"/>
          <w:color w:val="000000"/>
          <w:sz w:val="28"/>
          <w:szCs w:val="28"/>
        </w:rPr>
        <w:t>тримання права на пенсію і т.д.</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Другий підхід до реформування пенсійної системи передбачає збереження основ розподільчої системи з введенням накопичувального компоненту: в цьому випадку паралельно з модернізацією окремих елементів солідарної системи здійснюється поступове впровадження накопичувальної частини, що відбувається за допомогою визначення частки пенсійних внесків, що капіталізуєть</w:t>
      </w:r>
      <w:r w:rsidR="00375967" w:rsidRPr="0078696C">
        <w:rPr>
          <w:rFonts w:ascii="Times New Roman" w:hAnsi="Times New Roman"/>
          <w:color w:val="000000"/>
          <w:sz w:val="28"/>
          <w:szCs w:val="28"/>
        </w:rPr>
        <w:t>ся на накопичувальних рахунках.</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І, нарешті, третій підхід передбачає перехід на повністю накопичувальну систему, що включає передачу прав розпорядження пенсійними коштами приватним пенсійним фондам</w:t>
      </w:r>
      <w:r w:rsidRPr="0078696C">
        <w:rPr>
          <w:rStyle w:val="a8"/>
          <w:rFonts w:ascii="Times New Roman" w:hAnsi="Times New Roman"/>
          <w:color w:val="000000"/>
          <w:sz w:val="28"/>
          <w:szCs w:val="28"/>
        </w:rPr>
        <w:footnoteReference w:id="352"/>
      </w:r>
      <w:r w:rsidRPr="0078696C">
        <w:rPr>
          <w:rFonts w:ascii="Times New Roman" w:hAnsi="Times New Roman"/>
          <w:color w:val="000000"/>
          <w:sz w:val="28"/>
          <w:szCs w:val="28"/>
        </w:rPr>
        <w:t>.</w:t>
      </w:r>
    </w:p>
    <w:p w:rsidR="00543148" w:rsidRPr="0078696C" w:rsidRDefault="00543148" w:rsidP="002659A4">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Параметричний підхід до реформування системи пенсійного забезпечення характерний для розвинених капіталістичних держав, де політичні еліти намагаються адаптувати пенсійні системи до мінливих умов за рахунок коригування ставок пенсійних внесків, обмеження зростання зобов'язань перед пенсіонерами, поліпшення співвідношення між чисельністю пенсіонерів і працівників</w:t>
      </w:r>
      <w:r w:rsidR="00375967" w:rsidRPr="0078696C">
        <w:rPr>
          <w:rFonts w:ascii="Times New Roman" w:hAnsi="Times New Roman"/>
          <w:color w:val="000000"/>
          <w:sz w:val="28"/>
          <w:szCs w:val="28"/>
        </w:rPr>
        <w:t>.</w:t>
      </w:r>
      <w:r w:rsidR="009953B9">
        <w:rPr>
          <w:rFonts w:ascii="Times New Roman" w:hAnsi="Times New Roman"/>
          <w:color w:val="000000"/>
          <w:sz w:val="28"/>
          <w:szCs w:val="28"/>
        </w:rPr>
        <w:t xml:space="preserve"> </w:t>
      </w:r>
      <w:r w:rsidRPr="0078696C">
        <w:rPr>
          <w:rFonts w:ascii="Times New Roman" w:hAnsi="Times New Roman"/>
          <w:color w:val="000000"/>
          <w:sz w:val="28"/>
          <w:szCs w:val="28"/>
        </w:rPr>
        <w:t>Другий напрямок перетворень систем</w:t>
      </w:r>
      <w:r w:rsidR="009953B9">
        <w:rPr>
          <w:rFonts w:ascii="Times New Roman" w:hAnsi="Times New Roman"/>
          <w:color w:val="000000"/>
          <w:sz w:val="28"/>
          <w:szCs w:val="28"/>
        </w:rPr>
        <w:t xml:space="preserve"> </w:t>
      </w:r>
      <w:r w:rsidRPr="0078696C">
        <w:rPr>
          <w:rFonts w:ascii="Times New Roman" w:hAnsi="Times New Roman"/>
          <w:color w:val="000000"/>
          <w:sz w:val="28"/>
          <w:szCs w:val="28"/>
        </w:rPr>
        <w:t xml:space="preserve">пенсійного забезпечення реалізується переважно в країнах, що розвиваються,де існуючий розподільчий механізм пенсійних систем виявляється неспроможним забезпечити для </w:t>
      </w:r>
      <w:r w:rsidRPr="0078696C">
        <w:rPr>
          <w:rFonts w:ascii="Times New Roman" w:hAnsi="Times New Roman"/>
          <w:color w:val="000000"/>
          <w:sz w:val="28"/>
          <w:szCs w:val="28"/>
        </w:rPr>
        <w:lastRenderedPageBreak/>
        <w:t>громадян прийнятний рівень життя після вих</w:t>
      </w:r>
      <w:r w:rsidR="00375967" w:rsidRPr="0078696C">
        <w:rPr>
          <w:rFonts w:ascii="Times New Roman" w:hAnsi="Times New Roman"/>
          <w:color w:val="000000"/>
          <w:sz w:val="28"/>
          <w:szCs w:val="28"/>
        </w:rPr>
        <w:t>оду на пенсію.</w:t>
      </w:r>
      <w:r w:rsidR="009953B9">
        <w:rPr>
          <w:rFonts w:ascii="Times New Roman" w:hAnsi="Times New Roman"/>
          <w:color w:val="000000"/>
          <w:sz w:val="28"/>
          <w:szCs w:val="28"/>
        </w:rPr>
        <w:t xml:space="preserve"> </w:t>
      </w:r>
      <w:r w:rsidRPr="0078696C">
        <w:rPr>
          <w:rFonts w:ascii="Times New Roman" w:hAnsi="Times New Roman"/>
          <w:color w:val="000000"/>
          <w:sz w:val="28"/>
          <w:szCs w:val="28"/>
        </w:rPr>
        <w:t xml:space="preserve">Що ж стосується третього напряму, який передбачає перехід на повністю накопичувальну пенсійну систему, то він характерний для країн Латинської Америки кінця </w:t>
      </w:r>
      <w:r w:rsidR="00DC2ABC" w:rsidRPr="0078696C">
        <w:rPr>
          <w:rFonts w:ascii="Times New Roman" w:hAnsi="Times New Roman"/>
          <w:color w:val="000000"/>
          <w:sz w:val="28"/>
          <w:szCs w:val="28"/>
        </w:rPr>
        <w:br/>
      </w:r>
      <w:r w:rsidRPr="0078696C">
        <w:rPr>
          <w:rFonts w:ascii="Times New Roman" w:hAnsi="Times New Roman"/>
          <w:color w:val="000000"/>
          <w:sz w:val="28"/>
          <w:szCs w:val="28"/>
        </w:rPr>
        <w:t>XX століття, де було здійснено впровадження виключно накопичувального механізму пенсійного забезпечення, проте в даний час в цих країнах відбувається згортання накопичувальних програм, а стійкість даної системи все більше ставиться під сумнів як країнами, які обрали розглянутий шлях реформування пенсійної системи, так і світовою спільнотою в цілому</w:t>
      </w:r>
      <w:r w:rsidR="002659A4" w:rsidRPr="0078696C">
        <w:rPr>
          <w:rStyle w:val="a8"/>
          <w:rFonts w:ascii="Times New Roman" w:hAnsi="Times New Roman"/>
          <w:color w:val="000000"/>
          <w:sz w:val="28"/>
          <w:szCs w:val="28"/>
        </w:rPr>
        <w:footnoteReference w:id="353"/>
      </w:r>
      <w:r w:rsidRPr="0078696C">
        <w:rPr>
          <w:rFonts w:ascii="Times New Roman" w:hAnsi="Times New Roman"/>
          <w:color w:val="000000"/>
          <w:sz w:val="28"/>
          <w:szCs w:val="28"/>
        </w:rPr>
        <w:t>.</w:t>
      </w:r>
    </w:p>
    <w:p w:rsidR="00707B74"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 даний час, як показує аналіз інституційних перетворень пенсійних систем європейських країн, політика більшості держав в пенсійній сфері характеризується орієнтацією на розширення додаткового пенсійного забезпечення, яке знаходиться в Україні на початковій стадії розвитку. З урахуванням даної обставини доцільним є теоретичне вивчення та практичне застосування досвіду зарубіжних країн у частині, що стосується розвитку сфери недержавного пенсійного забезпечення, що передбачає врахування соціальних наслідків реалізації конкретних законів, спрямованих на створення даних інститутів. </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Як зазначає Р. Рафікова, основна тенденція розвитку сучасних пенсійних інститутів в світі полягає в тому, що пріоритетне значення тут набуває принцип забезпечення старості на основі індивідуальної капіталізації коштів, яка, в свою чергу, відчуває на собі регулюючий і стимулюючий вплив з боку держави</w:t>
      </w:r>
      <w:r w:rsidR="00DC2ABC" w:rsidRPr="0078696C">
        <w:rPr>
          <w:rFonts w:ascii="Times New Roman" w:hAnsi="Times New Roman"/>
          <w:color w:val="000000"/>
          <w:sz w:val="28"/>
          <w:szCs w:val="28"/>
        </w:rPr>
        <w:t>.</w:t>
      </w:r>
      <w:r w:rsidRPr="0078696C">
        <w:rPr>
          <w:rFonts w:ascii="Times New Roman" w:hAnsi="Times New Roman"/>
          <w:color w:val="000000"/>
          <w:sz w:val="28"/>
          <w:szCs w:val="28"/>
        </w:rPr>
        <w:t xml:space="preserve">  Роль держави у функціонуванні пенсійних систем в розвинутих капіталістичних державах зводиться до формування і вдосконалення нормативно-правової основи діяльності пенсійних інститутів, створення необхідних умов для дії даної системи на практиці</w:t>
      </w:r>
      <w:r w:rsidR="0023756B" w:rsidRPr="0078696C">
        <w:rPr>
          <w:rStyle w:val="a8"/>
          <w:rFonts w:ascii="Times New Roman" w:hAnsi="Times New Roman"/>
          <w:color w:val="000000"/>
          <w:sz w:val="28"/>
          <w:szCs w:val="28"/>
        </w:rPr>
        <w:footnoteReference w:id="354"/>
      </w:r>
      <w:r w:rsidRPr="0078696C">
        <w:rPr>
          <w:rFonts w:ascii="Times New Roman" w:hAnsi="Times New Roman"/>
          <w:color w:val="000000"/>
          <w:sz w:val="28"/>
          <w:szCs w:val="28"/>
        </w:rPr>
        <w:t>.</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Реформування пенсійних інститутів в західних державах на сучасному етапі здійснюється на основі паралельного розвитку двох пенсійних систем, їх нормативно-правової бази: державної, яка гарантує </w:t>
      </w:r>
      <w:r w:rsidR="004F024C" w:rsidRPr="0078696C">
        <w:rPr>
          <w:rFonts w:ascii="Times New Roman" w:hAnsi="Times New Roman"/>
          <w:color w:val="000000"/>
          <w:sz w:val="28"/>
          <w:szCs w:val="28"/>
        </w:rPr>
        <w:t xml:space="preserve">пенсійне забезпечення для </w:t>
      </w:r>
      <w:r w:rsidR="004F024C" w:rsidRPr="0078696C">
        <w:rPr>
          <w:rFonts w:ascii="Times New Roman" w:hAnsi="Times New Roman"/>
          <w:color w:val="000000"/>
          <w:sz w:val="28"/>
          <w:szCs w:val="28"/>
        </w:rPr>
        <w:lastRenderedPageBreak/>
        <w:t>всіх (</w:t>
      </w:r>
      <w:r w:rsidRPr="0078696C">
        <w:rPr>
          <w:rFonts w:ascii="Times New Roman" w:hAnsi="Times New Roman"/>
          <w:color w:val="000000"/>
          <w:sz w:val="28"/>
          <w:szCs w:val="28"/>
        </w:rPr>
        <w:t>або практично всі</w:t>
      </w:r>
      <w:r w:rsidR="004F024C" w:rsidRPr="0078696C">
        <w:rPr>
          <w:rFonts w:ascii="Times New Roman" w:hAnsi="Times New Roman"/>
          <w:color w:val="000000"/>
          <w:sz w:val="28"/>
          <w:szCs w:val="28"/>
        </w:rPr>
        <w:t>х)</w:t>
      </w:r>
      <w:r w:rsidRPr="0078696C">
        <w:rPr>
          <w:rFonts w:ascii="Times New Roman" w:hAnsi="Times New Roman"/>
          <w:color w:val="000000"/>
          <w:sz w:val="28"/>
          <w:szCs w:val="28"/>
        </w:rPr>
        <w:t xml:space="preserve"> громадян на досить скромному за мірками цих країн рівні, і недержавної, яка передбачає додаткові надбавки до пенсій для працівників, а також різних категорій самозайнятого населення. Мова в даному випадку йде про особливий підхід до реформування інститутів пенсійного забезпечення, спрямован</w:t>
      </w:r>
      <w:r w:rsidR="004F024C" w:rsidRPr="0078696C">
        <w:rPr>
          <w:rFonts w:ascii="Times New Roman" w:hAnsi="Times New Roman"/>
          <w:color w:val="000000"/>
          <w:sz w:val="28"/>
          <w:szCs w:val="28"/>
        </w:rPr>
        <w:t>ий</w:t>
      </w:r>
      <w:r w:rsidRPr="0078696C">
        <w:rPr>
          <w:rFonts w:ascii="Times New Roman" w:hAnsi="Times New Roman"/>
          <w:color w:val="000000"/>
          <w:sz w:val="28"/>
          <w:szCs w:val="28"/>
        </w:rPr>
        <w:t xml:space="preserve"> на створення дуалістичної пенсійної системи. Розглядаючи інституційну основу недержавного пенсійного страхування в країнах Європи, слід зазначити, що її складають переважно недержавні пенсійні фонди і страхові компанії. Функціонування пенсійних фондів в кожній окремо взятій країні відрізняється своєрідністю.</w:t>
      </w:r>
    </w:p>
    <w:p w:rsidR="00543148" w:rsidRPr="0078696C" w:rsidRDefault="00CF031B" w:rsidP="00543148">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У Нідерландах в</w:t>
      </w:r>
      <w:r w:rsidR="00543148" w:rsidRPr="0078696C">
        <w:rPr>
          <w:rFonts w:ascii="Times New Roman" w:hAnsi="Times New Roman"/>
          <w:color w:val="000000"/>
          <w:sz w:val="28"/>
          <w:szCs w:val="28"/>
        </w:rPr>
        <w:t xml:space="preserve">сі працівники центральних та місцевих державних органів беруть участь в схемі добровільних професійних пенсійних накопичень, а в приватному секторі – професійні накопичення проводяться на добровільній основі і залежать від роботодавця. За рахунок пенсійного планування роботодавцям надаються податкові пільги. Сприятливий податковий режим полягає в тому, що внески віднімаються з оподатковуваного доходу роботодавця. Пенсійні схеми повністю фінансуються, і більш того, близько </w:t>
      </w:r>
      <w:r w:rsidR="001543CC" w:rsidRPr="0078696C">
        <w:rPr>
          <w:rFonts w:ascii="Times New Roman" w:hAnsi="Times New Roman"/>
          <w:color w:val="000000"/>
          <w:sz w:val="28"/>
          <w:szCs w:val="28"/>
        </w:rPr>
        <w:br/>
      </w:r>
      <w:r w:rsidR="00543148" w:rsidRPr="0078696C">
        <w:rPr>
          <w:rFonts w:ascii="Times New Roman" w:hAnsi="Times New Roman"/>
          <w:color w:val="000000"/>
          <w:sz w:val="28"/>
          <w:szCs w:val="28"/>
        </w:rPr>
        <w:t>70-75% приватних пенсій забезпечуються через компанії зі страхування</w:t>
      </w:r>
      <w:r w:rsidR="00F34E5D" w:rsidRPr="0078696C">
        <w:rPr>
          <w:rFonts w:ascii="Times New Roman" w:hAnsi="Times New Roman"/>
          <w:color w:val="000000"/>
          <w:sz w:val="28"/>
          <w:szCs w:val="28"/>
        </w:rPr>
        <w:br/>
      </w:r>
      <w:r w:rsidR="00543148" w:rsidRPr="0078696C">
        <w:rPr>
          <w:rFonts w:ascii="Times New Roman" w:hAnsi="Times New Roman"/>
          <w:color w:val="000000"/>
          <w:sz w:val="28"/>
          <w:szCs w:val="28"/>
        </w:rPr>
        <w:t>життя</w:t>
      </w:r>
      <w:r w:rsidR="00543148" w:rsidRPr="0078696C">
        <w:rPr>
          <w:rStyle w:val="a8"/>
          <w:rFonts w:ascii="Times New Roman" w:hAnsi="Times New Roman"/>
          <w:color w:val="000000"/>
          <w:sz w:val="28"/>
          <w:szCs w:val="28"/>
        </w:rPr>
        <w:footnoteReference w:id="355"/>
      </w:r>
      <w:r w:rsidR="00543148" w:rsidRPr="0078696C">
        <w:rPr>
          <w:rFonts w:ascii="Times New Roman" w:hAnsi="Times New Roman"/>
          <w:color w:val="000000"/>
          <w:sz w:val="28"/>
          <w:szCs w:val="28"/>
        </w:rPr>
        <w:t>.</w:t>
      </w:r>
    </w:p>
    <w:p w:rsidR="00543148" w:rsidRPr="0078696C" w:rsidRDefault="00543148" w:rsidP="00E60A30">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У Швеції, як ми вже зазначали у підрозділі 3.1,</w:t>
      </w:r>
      <w:r w:rsidR="009953B9">
        <w:rPr>
          <w:rFonts w:ascii="Times New Roman" w:hAnsi="Times New Roman"/>
          <w:color w:val="000000"/>
          <w:sz w:val="28"/>
          <w:szCs w:val="28"/>
        </w:rPr>
        <w:t xml:space="preserve"> </w:t>
      </w:r>
      <w:r w:rsidRPr="0078696C">
        <w:rPr>
          <w:rFonts w:ascii="Times New Roman" w:hAnsi="Times New Roman"/>
          <w:color w:val="000000"/>
          <w:sz w:val="28"/>
          <w:szCs w:val="28"/>
        </w:rPr>
        <w:t>діють</w:t>
      </w:r>
      <w:r w:rsidR="009953B9">
        <w:rPr>
          <w:rFonts w:ascii="Times New Roman" w:hAnsi="Times New Roman"/>
          <w:color w:val="000000"/>
          <w:sz w:val="28"/>
          <w:szCs w:val="28"/>
        </w:rPr>
        <w:t xml:space="preserve"> </w:t>
      </w:r>
      <w:r w:rsidRPr="0078696C">
        <w:rPr>
          <w:rFonts w:ascii="Times New Roman" w:hAnsi="Times New Roman"/>
          <w:color w:val="000000"/>
          <w:sz w:val="28"/>
          <w:szCs w:val="28"/>
        </w:rPr>
        <w:t>добровільні професійні пенсійні плани. Плани компаній схожі на державні пенсії і вони є обов'язковими в сферах, що охоплюються колективним договором. Професійні пенсії в Швеції засновані на умовах колективних договорів між роботодав</w:t>
      </w:r>
      <w:r w:rsidR="00E60A30" w:rsidRPr="0078696C">
        <w:rPr>
          <w:rFonts w:ascii="Times New Roman" w:hAnsi="Times New Roman"/>
          <w:color w:val="000000"/>
          <w:sz w:val="28"/>
          <w:szCs w:val="28"/>
        </w:rPr>
        <w:t>цем і організацією працівників.</w:t>
      </w:r>
    </w:p>
    <w:p w:rsidR="00322233" w:rsidRPr="0078696C" w:rsidRDefault="00543148" w:rsidP="00375967">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 Україні участь роботодавців у пенсійному забезпеченні своїх працівників взагалі нерозвинута. Одна з причин – це відсутність їх стимулювання за допомогою різних податкових преференцій. Важливим фактором розвитку пенсійних планів за участю роботодавців</w:t>
      </w:r>
      <w:r w:rsidR="009953B9">
        <w:rPr>
          <w:rFonts w:ascii="Times New Roman" w:hAnsi="Times New Roman"/>
          <w:color w:val="000000"/>
          <w:sz w:val="28"/>
          <w:szCs w:val="28"/>
        </w:rPr>
        <w:t xml:space="preserve"> </w:t>
      </w:r>
      <w:r w:rsidRPr="0078696C">
        <w:rPr>
          <w:rFonts w:ascii="Times New Roman" w:hAnsi="Times New Roman"/>
          <w:color w:val="000000"/>
          <w:sz w:val="28"/>
          <w:szCs w:val="28"/>
        </w:rPr>
        <w:t xml:space="preserve">могло б стати широке розмаїття інституційних форм залучення та інвестування добровільних </w:t>
      </w:r>
      <w:r w:rsidRPr="0078696C">
        <w:rPr>
          <w:rFonts w:ascii="Times New Roman" w:hAnsi="Times New Roman"/>
          <w:color w:val="000000"/>
          <w:sz w:val="28"/>
          <w:szCs w:val="28"/>
        </w:rPr>
        <w:lastRenderedPageBreak/>
        <w:t>професійних внесків за допомогою страхових компаній, банків та інвестиційних компаній.</w:t>
      </w:r>
    </w:p>
    <w:p w:rsidR="00D70A8E" w:rsidRPr="0078696C" w:rsidRDefault="00543148" w:rsidP="00D70A8E">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Стратегічною метою здійснюваних реформ у сфері пенсійного забезпечення нашої країни є створення системи, яка б ґрунтувалася на засадах соціальної справедливості і забезпечила дотримання єдиного принципу при визначенні розміру пенсій для всіх громадя</w:t>
      </w:r>
      <w:r w:rsidR="004F024C" w:rsidRPr="0078696C">
        <w:rPr>
          <w:rFonts w:ascii="Times New Roman" w:hAnsi="Times New Roman"/>
          <w:color w:val="000000"/>
          <w:sz w:val="28"/>
          <w:szCs w:val="28"/>
        </w:rPr>
        <w:t xml:space="preserve">н – тривалості трудового </w:t>
      </w:r>
      <w:r w:rsidR="0030778F" w:rsidRPr="0078696C">
        <w:rPr>
          <w:rFonts w:ascii="Times New Roman" w:hAnsi="Times New Roman"/>
          <w:color w:val="000000"/>
          <w:sz w:val="28"/>
          <w:szCs w:val="28"/>
        </w:rPr>
        <w:t xml:space="preserve">(а з 01.01.2004 р. – страхового) </w:t>
      </w:r>
      <w:r w:rsidR="004F024C" w:rsidRPr="0078696C">
        <w:rPr>
          <w:rFonts w:ascii="Times New Roman" w:hAnsi="Times New Roman"/>
          <w:color w:val="000000"/>
          <w:sz w:val="28"/>
          <w:szCs w:val="28"/>
        </w:rPr>
        <w:t>стажу і розміру</w:t>
      </w:r>
      <w:r w:rsidRPr="0078696C">
        <w:rPr>
          <w:rFonts w:ascii="Times New Roman" w:hAnsi="Times New Roman"/>
          <w:color w:val="000000"/>
          <w:sz w:val="28"/>
          <w:szCs w:val="28"/>
        </w:rPr>
        <w:t xml:space="preserve"> одержуваного заробітку</w:t>
      </w:r>
      <w:r w:rsidR="0030778F" w:rsidRPr="0078696C">
        <w:rPr>
          <w:rFonts w:ascii="Times New Roman" w:hAnsi="Times New Roman"/>
          <w:color w:val="000000"/>
          <w:sz w:val="28"/>
          <w:szCs w:val="28"/>
        </w:rPr>
        <w:t xml:space="preserve"> (звідси – розміру сплачених страхових внесків)</w:t>
      </w:r>
      <w:r w:rsidRPr="0078696C">
        <w:rPr>
          <w:rFonts w:ascii="Times New Roman" w:hAnsi="Times New Roman"/>
          <w:color w:val="000000"/>
          <w:sz w:val="28"/>
          <w:szCs w:val="28"/>
        </w:rPr>
        <w:t>. Скорочення, а в перспективі і ліквідація дефіциту Пенсійного фонду України слід розглядати як тактичну ціль. В цьому контексті доречно пі</w:t>
      </w:r>
      <w:r w:rsidR="0030778F" w:rsidRPr="0078696C">
        <w:rPr>
          <w:rFonts w:ascii="Times New Roman" w:hAnsi="Times New Roman"/>
          <w:color w:val="000000"/>
          <w:sz w:val="28"/>
          <w:szCs w:val="28"/>
        </w:rPr>
        <w:t>дкреслити, що здійснення реформи</w:t>
      </w:r>
      <w:r w:rsidRPr="0078696C">
        <w:rPr>
          <w:rFonts w:ascii="Times New Roman" w:hAnsi="Times New Roman"/>
          <w:color w:val="000000"/>
          <w:sz w:val="28"/>
          <w:szCs w:val="28"/>
        </w:rPr>
        <w:t xml:space="preserve"> пенсійної системи належить до проблем, вирішення яких становить загрозу національній безпеці нашої країни. Тому намагання відмінити пенсійну реформу слід розглядати як популістські кроки, оскільки по</w:t>
      </w:r>
      <w:r w:rsidR="0023756B" w:rsidRPr="0078696C">
        <w:rPr>
          <w:rFonts w:ascii="Times New Roman" w:hAnsi="Times New Roman"/>
          <w:color w:val="000000"/>
          <w:sz w:val="28"/>
          <w:szCs w:val="28"/>
        </w:rPr>
        <w:t>кращення</w:t>
      </w:r>
      <w:r w:rsidRPr="0078696C">
        <w:rPr>
          <w:rFonts w:ascii="Times New Roman" w:hAnsi="Times New Roman"/>
          <w:color w:val="000000"/>
          <w:sz w:val="28"/>
          <w:szCs w:val="28"/>
        </w:rPr>
        <w:t xml:space="preserve"> соціального захисту пенсіонерів </w:t>
      </w:r>
      <w:r w:rsidR="0023756B" w:rsidRPr="0078696C">
        <w:rPr>
          <w:rFonts w:ascii="Times New Roman" w:hAnsi="Times New Roman"/>
          <w:color w:val="000000"/>
          <w:sz w:val="28"/>
          <w:szCs w:val="28"/>
        </w:rPr>
        <w:t xml:space="preserve">воно не дасть. </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Вирішувати цю надзвичайно складну соціально-економічну проблему слід шляхом здійснення комплексної пенсійної реформи, створюючи трирівневу пенсійну систему. Її формування передбачене Законом України «Про загальнообов’язкове державне соціальне страхування» і формування такої системи передбачає збереження державного пенсійного забезпечення (солідарна система) з одночасним створенням елементів та механізмів пенсійного страхування, формуванням накопичувальної пенсійної системи та системи недержавного пенсійного забезпечення.</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Ризики, породжені демографічною ситуацією, циклічними процесами в економічній системі, </w:t>
      </w:r>
      <w:r w:rsidR="0023756B" w:rsidRPr="0078696C">
        <w:rPr>
          <w:rFonts w:ascii="Times New Roman" w:hAnsi="Times New Roman"/>
          <w:color w:val="000000"/>
          <w:sz w:val="28"/>
          <w:szCs w:val="28"/>
        </w:rPr>
        <w:t>які надзвичайно відчуваються на солідарному рівні</w:t>
      </w:r>
      <w:r w:rsidRPr="0078696C">
        <w:rPr>
          <w:rFonts w:ascii="Times New Roman" w:hAnsi="Times New Roman"/>
          <w:color w:val="000000"/>
          <w:sz w:val="28"/>
          <w:szCs w:val="28"/>
        </w:rPr>
        <w:t xml:space="preserve">, будуть розподілятися між трьома її </w:t>
      </w:r>
      <w:r w:rsidR="0023756B" w:rsidRPr="0078696C">
        <w:rPr>
          <w:rFonts w:ascii="Times New Roman" w:hAnsi="Times New Roman"/>
          <w:color w:val="000000"/>
          <w:sz w:val="28"/>
          <w:szCs w:val="28"/>
        </w:rPr>
        <w:t xml:space="preserve">підсистемами </w:t>
      </w:r>
      <w:r w:rsidRPr="0078696C">
        <w:rPr>
          <w:rFonts w:ascii="Times New Roman" w:hAnsi="Times New Roman"/>
          <w:color w:val="000000"/>
          <w:sz w:val="28"/>
          <w:szCs w:val="28"/>
        </w:rPr>
        <w:t xml:space="preserve">і в такий спосіб майбутні пенсіонери </w:t>
      </w:r>
      <w:r w:rsidR="0030778F" w:rsidRPr="0078696C">
        <w:rPr>
          <w:rFonts w:ascii="Times New Roman" w:hAnsi="Times New Roman"/>
          <w:color w:val="000000"/>
          <w:sz w:val="28"/>
          <w:szCs w:val="28"/>
        </w:rPr>
        <w:t>підвищать</w:t>
      </w:r>
      <w:r w:rsidRPr="0078696C">
        <w:rPr>
          <w:rFonts w:ascii="Times New Roman" w:hAnsi="Times New Roman"/>
          <w:color w:val="000000"/>
          <w:sz w:val="28"/>
          <w:szCs w:val="28"/>
        </w:rPr>
        <w:t xml:space="preserve"> свою захищеність. Означені характеристики змішаної системи роблять її привабливою, що мотивує працівників до участі в другому та третьому рівні пенсійного забезпечення.</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Щодо першого рівня, то реформування солідарної пенсійної системи є неодмінною умовою формування трирівневої системи, а її функціональне </w:t>
      </w:r>
      <w:r w:rsidRPr="0078696C">
        <w:rPr>
          <w:rFonts w:ascii="Times New Roman" w:hAnsi="Times New Roman"/>
          <w:color w:val="000000"/>
          <w:sz w:val="28"/>
          <w:szCs w:val="28"/>
        </w:rPr>
        <w:lastRenderedPageBreak/>
        <w:t>призначення полягає у виплаті пенсій за віком, по інвалідності, в зв’язку з втратою годувальника та допомоги на поховання пенсіонерів. Ці пенсії призначаються після досягнення особою пенсійного віку, встановлення інвалідності чи в зв’язку зі смертю годувальника. Кошти, котрі перераховують підприємства і застраховані особи до Пенсійного фонду, відразу ж виплачуються пенсіонерам. При цьому, пенсійне забезпечення виділяється зі складу державного бюджету, а всі кошти на пенсійні виплати концентруються в Пенсійному фонді, впроваджується система індивідуальних (персоніфікованих) накопичувальних рахунків, виробляються механізми їх застосування.</w:t>
      </w:r>
    </w:p>
    <w:p w:rsidR="00543148" w:rsidRPr="0078696C" w:rsidRDefault="00416EFF"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Перевагою</w:t>
      </w:r>
      <w:r w:rsidR="00543148" w:rsidRPr="0078696C">
        <w:rPr>
          <w:rFonts w:ascii="Times New Roman" w:hAnsi="Times New Roman"/>
          <w:color w:val="000000"/>
          <w:sz w:val="28"/>
          <w:szCs w:val="28"/>
        </w:rPr>
        <w:t xml:space="preserve"> накопичувальної системи загальнообов’язкового державного пенсійного страхування є те, що ча</w:t>
      </w:r>
      <w:r w:rsidR="0030778F" w:rsidRPr="0078696C">
        <w:rPr>
          <w:rFonts w:ascii="Times New Roman" w:hAnsi="Times New Roman"/>
          <w:color w:val="000000"/>
          <w:sz w:val="28"/>
          <w:szCs w:val="28"/>
        </w:rPr>
        <w:t xml:space="preserve">стина обов’язкових відрахувань </w:t>
      </w:r>
      <w:r w:rsidR="00543148" w:rsidRPr="0078696C">
        <w:rPr>
          <w:rFonts w:ascii="Times New Roman" w:hAnsi="Times New Roman"/>
          <w:color w:val="000000"/>
          <w:sz w:val="28"/>
          <w:szCs w:val="28"/>
        </w:rPr>
        <w:t>буде спрямовуватися на персональні рахунки громадян. Ці кошти можна</w:t>
      </w:r>
      <w:r w:rsidRPr="0078696C">
        <w:rPr>
          <w:rFonts w:ascii="Times New Roman" w:hAnsi="Times New Roman"/>
          <w:color w:val="000000"/>
          <w:sz w:val="28"/>
          <w:szCs w:val="28"/>
        </w:rPr>
        <w:t xml:space="preserve"> буде</w:t>
      </w:r>
      <w:r w:rsidR="00543148" w:rsidRPr="0078696C">
        <w:rPr>
          <w:rFonts w:ascii="Times New Roman" w:hAnsi="Times New Roman"/>
          <w:color w:val="000000"/>
          <w:sz w:val="28"/>
          <w:szCs w:val="28"/>
        </w:rPr>
        <w:t xml:space="preserve"> інвестувати у вітчизняну економіку, а інвестиційний дохід збільшуватиме розмір майбутніх пенсійних виплат. Кошти, накопичені в цій системі, мають статус приватної власності, використовуються для здійснення пенсійних виплат і будуть </w:t>
      </w:r>
      <w:r w:rsidRPr="0078696C">
        <w:rPr>
          <w:rFonts w:ascii="Times New Roman" w:hAnsi="Times New Roman"/>
          <w:color w:val="000000"/>
          <w:sz w:val="28"/>
          <w:szCs w:val="28"/>
        </w:rPr>
        <w:t>входити до складу спадщини, як і інші майнові права спадкодавця</w:t>
      </w:r>
      <w:r w:rsidR="00543148" w:rsidRPr="0078696C">
        <w:rPr>
          <w:rFonts w:ascii="Times New Roman" w:hAnsi="Times New Roman"/>
          <w:color w:val="000000"/>
          <w:sz w:val="28"/>
          <w:szCs w:val="28"/>
        </w:rPr>
        <w:t>.</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Підсистема добровільного недержавного пенсійного забезпечення ґрунтується на добровільній участі в її формуванні і функціонуванні та використанні нагромаджених пенсійних коштів окремих осіб, роботодавців та їх об’єднань. Вони використовуються як доповнення до пенсійних виплат першої і другої складових цієї системи.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створення трирівневої системи пенсійного забезпечення покладе початок диверсифікації джерел фінансування пенсійних виплат шляхом поєднання внесків на соціальне страхування та обов’язкові й добровільні накопичення. В контексті окреслення стратегічних напрямів вдосконалення інститутів пенсійного забезпечення найбільш перспективним є впровадження накопичувальної підсистеми, якій притаманні спільні риси та відмін</w:t>
      </w:r>
      <w:r w:rsidR="00304244" w:rsidRPr="0078696C">
        <w:rPr>
          <w:rFonts w:ascii="Times New Roman" w:hAnsi="Times New Roman"/>
          <w:color w:val="000000"/>
          <w:sz w:val="28"/>
          <w:szCs w:val="28"/>
        </w:rPr>
        <w:t>н</w:t>
      </w:r>
      <w:r w:rsidRPr="0078696C">
        <w:rPr>
          <w:rFonts w:ascii="Times New Roman" w:hAnsi="Times New Roman"/>
          <w:color w:val="000000"/>
          <w:sz w:val="28"/>
          <w:szCs w:val="28"/>
        </w:rPr>
        <w:t>і переваги</w:t>
      </w:r>
      <w:r w:rsidR="0030778F" w:rsidRPr="0078696C">
        <w:rPr>
          <w:rFonts w:ascii="Times New Roman" w:hAnsi="Times New Roman"/>
          <w:color w:val="000000"/>
          <w:sz w:val="28"/>
          <w:szCs w:val="28"/>
        </w:rPr>
        <w:t>,</w:t>
      </w:r>
      <w:r w:rsidRPr="0078696C">
        <w:rPr>
          <w:rFonts w:ascii="Times New Roman" w:hAnsi="Times New Roman"/>
          <w:color w:val="000000"/>
          <w:sz w:val="28"/>
          <w:szCs w:val="28"/>
        </w:rPr>
        <w:t xml:space="preserve"> порівняно з солідарною.</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 останньою накопичувальну підсистему споріднює те, що вона є обов’язковою, тобто пенсійні внески здійснюються не добровільно, а на </w:t>
      </w:r>
      <w:r w:rsidRPr="0078696C">
        <w:rPr>
          <w:rFonts w:ascii="Times New Roman" w:hAnsi="Times New Roman"/>
          <w:color w:val="000000"/>
          <w:sz w:val="28"/>
          <w:szCs w:val="28"/>
        </w:rPr>
        <w:lastRenderedPageBreak/>
        <w:t>обов’язкових засадах. Відмінність між ними полягає в тому, що існування накопичувальної підсистеми передбачає персоніфікацію пенсійних внесків в процесі трудової діяльності на індивідуальному рахунку, які будуть основним джерелом пенсій в майбутньому.</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За своєю економічною сутністю накопичувальна система належить до відкладеного доходу у вигляді індивідуального пенсійного фонду. Його власник бачить прямий зв'язок між нинішньою заробітною платою та розміром пенсії в старості. Виникає не абстрактно відсторонене ставлення до майбутнього пенсійного забезпечення, а досить реальне уявлення про його параметри. За таких умов розмір індивідуального пенсійного фонду визначається легальним заробітком особи, сумарною тривалістю трудового стажу та якістю управління пенсійними активами.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Докорінною відміною вітчизняного варіанту солідарної пенсійної підсистеми від накопичувальних систем інших країн є те, що перша базується на перерозподілі та споживанні нагромаджених коштів, коли потреби нинішніх пенсіонерів задовольняються не на основі їхньої минулої трудової діяльності, а за рахунок податків </w:t>
      </w:r>
      <w:r w:rsidR="0030778F" w:rsidRPr="0078696C">
        <w:rPr>
          <w:rFonts w:ascii="Times New Roman" w:hAnsi="Times New Roman"/>
          <w:color w:val="000000"/>
          <w:sz w:val="28"/>
          <w:szCs w:val="28"/>
        </w:rPr>
        <w:t>з</w:t>
      </w:r>
      <w:r w:rsidRPr="0078696C">
        <w:rPr>
          <w:rFonts w:ascii="Times New Roman" w:hAnsi="Times New Roman"/>
          <w:color w:val="000000"/>
          <w:sz w:val="28"/>
          <w:szCs w:val="28"/>
        </w:rPr>
        <w:t xml:space="preserve"> економічно активн</w:t>
      </w:r>
      <w:r w:rsidR="0030778F" w:rsidRPr="0078696C">
        <w:rPr>
          <w:rFonts w:ascii="Times New Roman" w:hAnsi="Times New Roman"/>
          <w:color w:val="000000"/>
          <w:sz w:val="28"/>
          <w:szCs w:val="28"/>
        </w:rPr>
        <w:t>ої</w:t>
      </w:r>
      <w:r w:rsidRPr="0078696C">
        <w:rPr>
          <w:rFonts w:ascii="Times New Roman" w:hAnsi="Times New Roman"/>
          <w:color w:val="000000"/>
          <w:sz w:val="28"/>
          <w:szCs w:val="28"/>
        </w:rPr>
        <w:t xml:space="preserve"> частин</w:t>
      </w:r>
      <w:r w:rsidR="0030778F" w:rsidRPr="0078696C">
        <w:rPr>
          <w:rFonts w:ascii="Times New Roman" w:hAnsi="Times New Roman"/>
          <w:color w:val="000000"/>
          <w:sz w:val="28"/>
          <w:szCs w:val="28"/>
        </w:rPr>
        <w:t>и</w:t>
      </w:r>
      <w:r w:rsidRPr="0078696C">
        <w:rPr>
          <w:rFonts w:ascii="Times New Roman" w:hAnsi="Times New Roman"/>
          <w:color w:val="000000"/>
          <w:sz w:val="28"/>
          <w:szCs w:val="28"/>
        </w:rPr>
        <w:t xml:space="preserve"> населення. З позицій соціальної справедливості </w:t>
      </w:r>
      <w:r w:rsidR="00994206" w:rsidRPr="0078696C">
        <w:rPr>
          <w:rFonts w:ascii="Times New Roman" w:hAnsi="Times New Roman"/>
          <w:color w:val="000000"/>
          <w:sz w:val="28"/>
          <w:szCs w:val="28"/>
        </w:rPr>
        <w:t xml:space="preserve">накопичувальна пенсійна складова </w:t>
      </w:r>
      <w:r w:rsidRPr="0078696C">
        <w:rPr>
          <w:rFonts w:ascii="Times New Roman" w:hAnsi="Times New Roman"/>
          <w:color w:val="000000"/>
          <w:sz w:val="28"/>
          <w:szCs w:val="28"/>
        </w:rPr>
        <w:t xml:space="preserve">є </w:t>
      </w:r>
      <w:r w:rsidR="00994206" w:rsidRPr="0078696C">
        <w:rPr>
          <w:rFonts w:ascii="Times New Roman" w:hAnsi="Times New Roman"/>
          <w:color w:val="000000"/>
          <w:sz w:val="28"/>
          <w:szCs w:val="28"/>
        </w:rPr>
        <w:t xml:space="preserve">значно </w:t>
      </w:r>
      <w:r w:rsidRPr="0078696C">
        <w:rPr>
          <w:rFonts w:ascii="Times New Roman" w:hAnsi="Times New Roman"/>
          <w:color w:val="000000"/>
          <w:sz w:val="28"/>
          <w:szCs w:val="28"/>
        </w:rPr>
        <w:t>приваблив</w:t>
      </w:r>
      <w:r w:rsidR="00994206" w:rsidRPr="0078696C">
        <w:rPr>
          <w:rFonts w:ascii="Times New Roman" w:hAnsi="Times New Roman"/>
          <w:color w:val="000000"/>
          <w:sz w:val="28"/>
          <w:szCs w:val="28"/>
        </w:rPr>
        <w:t>ішою</w:t>
      </w:r>
      <w:r w:rsidRPr="0078696C">
        <w:rPr>
          <w:rFonts w:ascii="Times New Roman" w:hAnsi="Times New Roman"/>
          <w:color w:val="000000"/>
          <w:sz w:val="28"/>
          <w:szCs w:val="28"/>
        </w:rPr>
        <w:t xml:space="preserve"> для майбутніх пенсіонерів. Для соціально-економічних реалій України актуальним є те, що принципи пенсійного страхування, реалізовані у накопичувальних пенсійних програмах мають стимулювати працездатне населення брати активну участь у даних пенсійних системах, оскільки вони передбачають ще й одержання інституційного доходу, який залежить від того, в які інвестиційні проекти вкладалися пенсійні активи платників страхових внесків </w:t>
      </w:r>
      <w:r w:rsidRPr="0078696C">
        <w:rPr>
          <w:rFonts w:ascii="Times New Roman" w:hAnsi="Times New Roman"/>
          <w:color w:val="000000"/>
          <w:sz w:val="28"/>
          <w:szCs w:val="28"/>
          <w:vertAlign w:val="superscript"/>
        </w:rPr>
        <w:footnoteReference w:id="356"/>
      </w:r>
      <w:r w:rsidRPr="0078696C">
        <w:rPr>
          <w:rFonts w:ascii="Times New Roman" w:hAnsi="Times New Roman"/>
          <w:color w:val="000000"/>
          <w:sz w:val="28"/>
          <w:szCs w:val="28"/>
        </w:rPr>
        <w:t>.</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Безперечні переваги та апробованість практикою багатьох країн світу інституту накопичувальної системи служать вагомими аргументами на її перетворення у найбільш дієву складову системи пенсійного забезпечення наших співгромадян. Оскільки в Україні вже створені інститути </w:t>
      </w:r>
      <w:r w:rsidRPr="0078696C">
        <w:rPr>
          <w:rFonts w:ascii="Times New Roman" w:hAnsi="Times New Roman"/>
          <w:color w:val="000000"/>
          <w:sz w:val="28"/>
          <w:szCs w:val="28"/>
        </w:rPr>
        <w:lastRenderedPageBreak/>
        <w:t>накопичувальної системи (другий рівень), то необхідно приводити в дію цю складову пенсійного забезпечення в першу чергу для осіб, котрим залишилося 25 і більше років до настання пенсійного віку. Адже через два-три десятиліття однією із запорук їхнього матеріального добробуту в старості будуть власні заощадження.</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На нашу думку, для українських соціально-економічних умов найбільш прийнятним був би порядок, коли фінансові ресурси для другого рівня пенсійної системи формувалися б за рахунок внесків роботодавців і працівників, зберігалися і нарощувалися під державним контролем спочатку в державних, а в подальшому і в недержавних пенсійних фондах.</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Необхідною умовою такої моделі пенсійного забезпечення є інвестування вільних фінансових ресурсів з метою отримання додаткового доходу в різноманітні фінансові інструменти (нерідко це можуть бути й акції підприємств-роботодавців). У період, коли більшість учасників фонду досягає пенсійного віку, дефіцит поточних внесків покривається за рахунок капіталізованих внесків, які були здійснені раніше та інвестиційних доходів, отримуваних від володіння пенсійними активами за період функціонування фонду. Крім того, для гарантування пенсійних виплат мають створюватися спеціалізовані установи.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Отже, з точки зору учасника накопичувальної системи її привабливість полягає в тому, що до його накопичень додається інвестиційний дохід, отримуваний внаслідок їх інвестування. При цьому</w:t>
      </w:r>
      <w:r w:rsidR="0030778F" w:rsidRPr="0078696C">
        <w:rPr>
          <w:rFonts w:ascii="Times New Roman" w:hAnsi="Times New Roman"/>
          <w:color w:val="000000"/>
          <w:sz w:val="28"/>
          <w:szCs w:val="28"/>
        </w:rPr>
        <w:t>,</w:t>
      </w:r>
      <w:r w:rsidRPr="0078696C">
        <w:rPr>
          <w:rFonts w:ascii="Times New Roman" w:hAnsi="Times New Roman"/>
          <w:color w:val="000000"/>
          <w:sz w:val="28"/>
          <w:szCs w:val="28"/>
        </w:rPr>
        <w:t xml:space="preserve"> незалежно від того чи накопиченими фондами управляє державна або недержавна компанія, інвестиційний дохід не може бути однаковим з року в рік. Останнє зумовлене постійними змінами умов інвестування, професійністю управлінського апарату тощо. Зазвичай він корелюється, хоча і досить опосередковано, з такими макроекономічними показниками як обсяги ВВП, інфляція тощо. Зазначена властивість інфляційного дох</w:t>
      </w:r>
      <w:r w:rsidR="0030778F" w:rsidRPr="0078696C">
        <w:rPr>
          <w:rFonts w:ascii="Times New Roman" w:hAnsi="Times New Roman"/>
          <w:color w:val="000000"/>
          <w:sz w:val="28"/>
          <w:szCs w:val="28"/>
        </w:rPr>
        <w:t>оду, зумовлена значною мірою не</w:t>
      </w:r>
      <w:r w:rsidRPr="0078696C">
        <w:rPr>
          <w:rFonts w:ascii="Times New Roman" w:hAnsi="Times New Roman"/>
          <w:color w:val="000000"/>
          <w:sz w:val="28"/>
          <w:szCs w:val="28"/>
        </w:rPr>
        <w:t xml:space="preserve">об’єктивністю економічних процесів, а впливом політичних інтересів. Навіть при високому </w:t>
      </w:r>
      <w:r w:rsidRPr="0078696C">
        <w:rPr>
          <w:rFonts w:ascii="Times New Roman" w:hAnsi="Times New Roman"/>
          <w:color w:val="000000"/>
          <w:sz w:val="28"/>
          <w:szCs w:val="28"/>
        </w:rPr>
        <w:lastRenderedPageBreak/>
        <w:t>рівні професіоналізму менеджменту декількох недержавних структур результати інвестування у кожної з них будуть різні.</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функціонування накопичувальної системи характеризується виникненням дисбалансу серед учасників. Виходить, що тісної залежності розміру пенсійних виплат та розміру внесків вона не забезпечує, оскільки їй притаманне коливання суми накопичень в залежності від ефективності інвестування.</w:t>
      </w:r>
    </w:p>
    <w:p w:rsidR="00865B62"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Водночас ефективне управління накопичувальними пенсійними фондами передбачає зведення їх інвестування до мінімуму, що досягається шляхом диверсифікації. Уникнути ризиків відсоткових ставок, валютних курсів, котирувань цінних па</w:t>
      </w:r>
      <w:r w:rsidR="00844BF7" w:rsidRPr="0078696C">
        <w:rPr>
          <w:rFonts w:ascii="Times New Roman" w:hAnsi="Times New Roman"/>
          <w:color w:val="000000"/>
          <w:sz w:val="28"/>
          <w:szCs w:val="28"/>
        </w:rPr>
        <w:t>перів тощо можна лише частково.</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Нині накопичувальна система пенсійного забезпечення в Україні перебуває в зародковому стані. Її поступове впровадження як повноцінного інституту дозволить здійснити диференціацію пенсій не на основі лобістських дій представників окремих верств населення, а за рахунок зусиль працівників, коли найбільш кваліфіковані та старанні змусять платити в пенсійні фонди не тільки своїх роботодавців, а й державу.</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Для широкого поширення обов’язкової накопичувальної системи необхідне досягнення темпів економічного зростання, підвищення рівня оплати праці застрахованих осіб; досягнення збалансованості бюджету Пенсійного фонду України у відповідності до Міжнародних стандартів бухгалтерського обліку; забезпечення пенсійних виплат за рахунок солідарної системи на рівні прожиткового мінімуму, створення інституційних складових функціонування накопичувальної системи (система персоніфікованого обліку пенсійних накопичень, автоматизованого звітування про стан пенсійних рахунків, системи збирання внесків, сумісної з системою електронних переказів банків), ухвалення інституційно-правових актів, котрі забезпечують функціонування накопичувальної системи, створення ефективної системи державного нагляду та регулювання цієї системи, а також необхідної інфраструктури.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Аналіз наукових публікацій та узагальнення практики впровадження накопичувальної системи в нашій країні, дозволяє нам спрогнозувати можливі негативні наслідки при переході від розподільчої до накопичувальної системи: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надзвичайно низький рівень залучення населення до участі в накопичувальній системі, що викликаний низькою мотивацією працівників до формування своїх пенсійних надходжень і легалізації в такий спосіб тіньових доходів та поінформованість про переваги цієї системи;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при невисокому рівні оплати праці левова частка найманих працівників буде не в змозі самостійно накопичити необхідні кошти протягом трудової діяльності для достойного пенсійного забезпечення після її закінчення;</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необхідність пошуку державою значних фінансових ресурсів для виплати мінімальних і соціальних пенсій у разі ліквідації солідарної системи пенсійного забезпечення;</w:t>
      </w:r>
    </w:p>
    <w:p w:rsidR="00356767" w:rsidRPr="0078696C" w:rsidRDefault="00543148" w:rsidP="00356767">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зростання фінансових ресурсів порівняно з солідарною системою необхідних для управління накопичувальною пенсійною системою за допомогою значної кількості накопичувальних пенсійних фондів і компаній, що утримуються за рахунок використання частини пенсійних ресурсів.</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 Україні у зв’язку з цим найбільш прийнятим буде поєднання солідарної системи з накопичувальною. Третій рівень, хоча й демонструє певну динаміку, не справляє відчутного впливу ні на економіку, ні на матеріальний добробут пенсіонерів. Водночас, як свідчать дослідження суспільної думки, </w:t>
      </w:r>
      <w:r w:rsidR="00E82E97" w:rsidRPr="0078696C">
        <w:rPr>
          <w:rFonts w:ascii="Times New Roman" w:hAnsi="Times New Roman"/>
          <w:color w:val="000000"/>
          <w:sz w:val="28"/>
          <w:szCs w:val="28"/>
        </w:rPr>
        <w:t xml:space="preserve">у </w:t>
      </w:r>
      <w:r w:rsidRPr="0078696C">
        <w:rPr>
          <w:rFonts w:ascii="Times New Roman" w:hAnsi="Times New Roman"/>
          <w:color w:val="000000"/>
          <w:sz w:val="28"/>
          <w:szCs w:val="28"/>
        </w:rPr>
        <w:t>позитивний вплив впровадження другого рівня пенсійної системи вірять тільки 24</w:t>
      </w:r>
      <w:r w:rsidR="009953B9">
        <w:rPr>
          <w:rFonts w:ascii="Times New Roman" w:hAnsi="Times New Roman"/>
          <w:color w:val="000000"/>
          <w:sz w:val="28"/>
          <w:szCs w:val="28"/>
        </w:rPr>
        <w:t> </w:t>
      </w:r>
      <w:r w:rsidRPr="0078696C">
        <w:rPr>
          <w:rFonts w:ascii="Times New Roman" w:hAnsi="Times New Roman"/>
          <w:color w:val="000000"/>
          <w:sz w:val="28"/>
          <w:szCs w:val="28"/>
        </w:rPr>
        <w:t>% респондентів, тоді як не вірять 55</w:t>
      </w:r>
      <w:r w:rsidR="009953B9">
        <w:rPr>
          <w:rFonts w:ascii="Times New Roman" w:hAnsi="Times New Roman"/>
          <w:color w:val="000000"/>
          <w:sz w:val="28"/>
          <w:szCs w:val="28"/>
        </w:rPr>
        <w:t> </w:t>
      </w:r>
      <w:r w:rsidRPr="0078696C">
        <w:rPr>
          <w:rFonts w:ascii="Times New Roman" w:hAnsi="Times New Roman"/>
          <w:color w:val="000000"/>
          <w:sz w:val="28"/>
          <w:szCs w:val="28"/>
        </w:rPr>
        <w:t xml:space="preserve">% </w:t>
      </w:r>
      <w:r w:rsidRPr="0078696C">
        <w:rPr>
          <w:rFonts w:ascii="Times New Roman" w:hAnsi="Times New Roman"/>
          <w:color w:val="000000"/>
          <w:sz w:val="28"/>
          <w:szCs w:val="28"/>
          <w:vertAlign w:val="superscript"/>
        </w:rPr>
        <w:footnoteReference w:id="357"/>
      </w:r>
      <w:r w:rsidRPr="0078696C">
        <w:rPr>
          <w:rFonts w:ascii="Times New Roman" w:hAnsi="Times New Roman"/>
          <w:color w:val="000000"/>
          <w:sz w:val="28"/>
          <w:szCs w:val="28"/>
        </w:rPr>
        <w:t>. Однією з причин недовіри до накопичувальної пенсійної системи є побоювання щодо спроможності держави гарантувати збереження пенсійних накопичень.</w:t>
      </w:r>
    </w:p>
    <w:p w:rsidR="007240C7" w:rsidRPr="0078696C" w:rsidRDefault="00543148" w:rsidP="004A3EDF">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Отже, необхідно детально проробити форми залучення коштів накопичувальної системи в економіку України як значного внутрішнього інвестиційного ресурсу для соціально-економічного розвитку нашого </w:t>
      </w:r>
      <w:r w:rsidRPr="0078696C">
        <w:rPr>
          <w:rFonts w:ascii="Times New Roman" w:hAnsi="Times New Roman"/>
          <w:color w:val="000000"/>
          <w:sz w:val="28"/>
          <w:szCs w:val="28"/>
        </w:rPr>
        <w:lastRenderedPageBreak/>
        <w:t>суспільства; забезпечити прогнозування й оцінювання впливу здійснюваної пенсійної реформи на соціально-економічне зростання.</w:t>
      </w:r>
    </w:p>
    <w:p w:rsidR="00322233" w:rsidRPr="0078696C" w:rsidRDefault="00322233" w:rsidP="00322233">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На стан пенсійної системи суттєво впливають особливості вітчизняного законодавства, фінансові (джерела надходження платежів до пенсійного фонду, порядок фінансування пенсійних виплат) та параметричні (види й умови призначення пенсії, ставки страхових внесків, формула нарахування пенсії, прошарок населення, охоплений пенсійною системою) аспекти, а також – організаційні, управлінські, критеріально-нормативні характеристики пенсійної системи (коефіцієнти заміщення, підтримки пенсійної системи, економічної залежності, оцінки рівня життя пенсіонерів тощо).</w:t>
      </w:r>
    </w:p>
    <w:p w:rsidR="00B073AA" w:rsidRPr="0078696C" w:rsidRDefault="004A3EDF" w:rsidP="00B073A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Оскільки, одним із найголовніших факторів впливу на пенсійну систему є її нормативно-правове регулювання (один із механізмів державно-управлінського впливу), тому вважаємо, що </w:t>
      </w:r>
      <w:r w:rsidR="00B073AA" w:rsidRPr="0078696C">
        <w:rPr>
          <w:rFonts w:ascii="Times New Roman" w:eastAsia="Times New Roman" w:hAnsi="Times New Roman"/>
          <w:color w:val="000000"/>
          <w:sz w:val="28"/>
          <w:szCs w:val="28"/>
          <w:lang w:eastAsia="ru-RU"/>
        </w:rPr>
        <w:t>реформування пенсійної системи України слід розпочати саме із змін до діючого пенсійного законодавства. На нашу думку, першим кроком на шляху реформ, повинно стати розроблення та прийняття єдиного Кодексу з питань пенсійного забезпечення та страхування, який не містив би відсилочних норм, та норми якого б не суперечили одна одній. Прийня</w:t>
      </w:r>
      <w:r w:rsidR="00FB1651" w:rsidRPr="0078696C">
        <w:rPr>
          <w:rFonts w:ascii="Times New Roman" w:eastAsia="Times New Roman" w:hAnsi="Times New Roman"/>
          <w:color w:val="000000"/>
          <w:sz w:val="28"/>
          <w:szCs w:val="28"/>
          <w:lang w:eastAsia="ru-RU"/>
        </w:rPr>
        <w:t>ття даного З</w:t>
      </w:r>
      <w:r w:rsidR="00B073AA" w:rsidRPr="0078696C">
        <w:rPr>
          <w:rFonts w:ascii="Times New Roman" w:eastAsia="Times New Roman" w:hAnsi="Times New Roman"/>
          <w:color w:val="000000"/>
          <w:sz w:val="28"/>
          <w:szCs w:val="28"/>
          <w:lang w:eastAsia="ru-RU"/>
        </w:rPr>
        <w:t>акону значно полегшило б проведення інформаційно-роз’яснювальної роботи серед населення та роботу територіальних органів ПФУ.</w:t>
      </w:r>
      <w:r w:rsidR="00CF608F" w:rsidRPr="0078696C">
        <w:rPr>
          <w:rFonts w:ascii="Times New Roman" w:eastAsia="Times New Roman" w:hAnsi="Times New Roman"/>
          <w:color w:val="000000"/>
          <w:sz w:val="28"/>
          <w:szCs w:val="28"/>
          <w:lang w:eastAsia="ru-RU"/>
        </w:rPr>
        <w:t xml:space="preserve"> Крім цього, внесення змін у низку норм законодавства щодо наповнення бюджету ПФУ на солідарному та накопичувального рівнях, створення дієвих професійних, корпоративних та індивідуальних програм, дало б змогу підвищити рівень пенсійного забезпечення громадян та знизити податковий тиск на працівників та роботодавців.</w:t>
      </w:r>
    </w:p>
    <w:p w:rsidR="009F7AB6" w:rsidRPr="0078696C" w:rsidRDefault="00B073AA" w:rsidP="00C40097">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На даний час в Україні </w:t>
      </w:r>
      <w:r w:rsidR="00180860" w:rsidRPr="0078696C">
        <w:rPr>
          <w:rFonts w:ascii="Times New Roman" w:eastAsia="Times New Roman" w:hAnsi="Times New Roman"/>
          <w:color w:val="000000"/>
          <w:sz w:val="28"/>
          <w:szCs w:val="28"/>
          <w:lang w:eastAsia="ru-RU"/>
        </w:rPr>
        <w:t xml:space="preserve">питання пенсійного забезпечення та страхування </w:t>
      </w:r>
      <w:r w:rsidRPr="0078696C">
        <w:rPr>
          <w:rFonts w:ascii="Times New Roman" w:eastAsia="Times New Roman" w:hAnsi="Times New Roman"/>
          <w:color w:val="000000"/>
          <w:sz w:val="28"/>
          <w:szCs w:val="28"/>
          <w:lang w:eastAsia="ru-RU"/>
        </w:rPr>
        <w:t>врегульован</w:t>
      </w:r>
      <w:r w:rsidR="00180860" w:rsidRPr="0078696C">
        <w:rPr>
          <w:rFonts w:ascii="Times New Roman" w:eastAsia="Times New Roman" w:hAnsi="Times New Roman"/>
          <w:color w:val="000000"/>
          <w:sz w:val="28"/>
          <w:szCs w:val="28"/>
          <w:lang w:eastAsia="ru-RU"/>
        </w:rPr>
        <w:t>о</w:t>
      </w:r>
      <w:r w:rsidRPr="0078696C">
        <w:rPr>
          <w:rFonts w:ascii="Times New Roman" w:eastAsia="Times New Roman" w:hAnsi="Times New Roman"/>
          <w:color w:val="000000"/>
          <w:sz w:val="28"/>
          <w:szCs w:val="28"/>
          <w:lang w:eastAsia="ru-RU"/>
        </w:rPr>
        <w:t xml:space="preserve"> цілою низкою законів загальної</w:t>
      </w:r>
      <w:r w:rsidR="00FB1651" w:rsidRPr="0078696C">
        <w:rPr>
          <w:rFonts w:ascii="Times New Roman" w:eastAsia="Times New Roman" w:hAnsi="Times New Roman"/>
          <w:color w:val="000000"/>
          <w:sz w:val="28"/>
          <w:szCs w:val="28"/>
          <w:lang w:eastAsia="ru-RU"/>
        </w:rPr>
        <w:t xml:space="preserve"> та спеціальної </w:t>
      </w:r>
      <w:r w:rsidR="00752A2C" w:rsidRPr="0078696C">
        <w:rPr>
          <w:rFonts w:ascii="Times New Roman" w:eastAsia="Times New Roman" w:hAnsi="Times New Roman"/>
          <w:color w:val="000000"/>
          <w:sz w:val="28"/>
          <w:szCs w:val="28"/>
          <w:lang w:eastAsia="ru-RU"/>
        </w:rPr>
        <w:t>дії</w:t>
      </w:r>
      <w:r w:rsidR="00FB1651" w:rsidRPr="0078696C">
        <w:rPr>
          <w:rFonts w:ascii="Times New Roman" w:eastAsia="Times New Roman" w:hAnsi="Times New Roman"/>
          <w:color w:val="000000"/>
          <w:sz w:val="28"/>
          <w:szCs w:val="28"/>
          <w:lang w:eastAsia="ru-RU"/>
        </w:rPr>
        <w:t>(</w:t>
      </w:r>
      <w:r w:rsidR="00507BC9" w:rsidRPr="0078696C">
        <w:rPr>
          <w:rFonts w:ascii="Times New Roman" w:eastAsia="Times New Roman" w:hAnsi="Times New Roman"/>
          <w:color w:val="000000"/>
          <w:sz w:val="28"/>
          <w:szCs w:val="28"/>
          <w:lang w:eastAsia="ru-RU"/>
        </w:rPr>
        <w:t xml:space="preserve">аналіз яких наведено у </w:t>
      </w:r>
      <w:r w:rsidR="00707B74" w:rsidRPr="0078696C">
        <w:rPr>
          <w:rFonts w:ascii="Times New Roman" w:eastAsia="Times New Roman" w:hAnsi="Times New Roman"/>
          <w:color w:val="000000"/>
          <w:sz w:val="28"/>
          <w:szCs w:val="28"/>
          <w:lang w:eastAsia="ru-RU"/>
        </w:rPr>
        <w:t>підрозділі</w:t>
      </w:r>
      <w:r w:rsidR="00FB1651" w:rsidRPr="0078696C">
        <w:rPr>
          <w:rFonts w:ascii="Times New Roman" w:eastAsia="Times New Roman" w:hAnsi="Times New Roman"/>
          <w:color w:val="000000"/>
          <w:sz w:val="28"/>
          <w:szCs w:val="28"/>
          <w:lang w:eastAsia="ru-RU"/>
        </w:rPr>
        <w:t xml:space="preserve"> 1</w:t>
      </w:r>
      <w:r w:rsidR="00507BC9" w:rsidRPr="0078696C">
        <w:rPr>
          <w:rFonts w:ascii="Times New Roman" w:eastAsia="Times New Roman" w:hAnsi="Times New Roman"/>
          <w:color w:val="000000"/>
          <w:sz w:val="28"/>
          <w:szCs w:val="28"/>
          <w:lang w:eastAsia="ru-RU"/>
        </w:rPr>
        <w:t>.2 даного дослідження</w:t>
      </w:r>
      <w:r w:rsidR="00FB1651" w:rsidRPr="0078696C">
        <w:rPr>
          <w:rFonts w:ascii="Times New Roman" w:eastAsia="Times New Roman" w:hAnsi="Times New Roman"/>
          <w:color w:val="000000"/>
          <w:sz w:val="28"/>
          <w:szCs w:val="28"/>
          <w:lang w:eastAsia="ru-RU"/>
        </w:rPr>
        <w:t>)</w:t>
      </w:r>
      <w:r w:rsidR="00C40097" w:rsidRPr="0078696C">
        <w:rPr>
          <w:rFonts w:ascii="Times New Roman" w:eastAsia="Times New Roman" w:hAnsi="Times New Roman"/>
          <w:color w:val="000000"/>
          <w:sz w:val="28"/>
          <w:szCs w:val="28"/>
          <w:lang w:eastAsia="ru-RU"/>
        </w:rPr>
        <w:t>. А тому,н</w:t>
      </w:r>
      <w:r w:rsidR="009F7AB6" w:rsidRPr="0078696C">
        <w:rPr>
          <w:rFonts w:ascii="Times New Roman" w:eastAsia="Times New Roman" w:hAnsi="Times New Roman"/>
          <w:color w:val="000000"/>
          <w:sz w:val="28"/>
          <w:szCs w:val="28"/>
          <w:lang w:eastAsia="ru-RU"/>
        </w:rPr>
        <w:t xml:space="preserve">а нашу думку, було б доцільно </w:t>
      </w:r>
      <w:r w:rsidR="00835E0D" w:rsidRPr="0078696C">
        <w:rPr>
          <w:rFonts w:ascii="Times New Roman" w:eastAsia="Times New Roman" w:hAnsi="Times New Roman"/>
          <w:color w:val="000000"/>
          <w:sz w:val="28"/>
          <w:szCs w:val="28"/>
          <w:lang w:eastAsia="ru-RU"/>
        </w:rPr>
        <w:t>об’єднати</w:t>
      </w:r>
      <w:r w:rsidR="009F7AB6" w:rsidRPr="0078696C">
        <w:rPr>
          <w:rFonts w:ascii="Times New Roman" w:eastAsia="Times New Roman" w:hAnsi="Times New Roman"/>
          <w:color w:val="000000"/>
          <w:sz w:val="28"/>
          <w:szCs w:val="28"/>
          <w:lang w:eastAsia="ru-RU"/>
        </w:rPr>
        <w:t xml:space="preserve"> норм</w:t>
      </w:r>
      <w:r w:rsidR="00835E0D" w:rsidRPr="0078696C">
        <w:rPr>
          <w:rFonts w:ascii="Times New Roman" w:eastAsia="Times New Roman" w:hAnsi="Times New Roman"/>
          <w:color w:val="000000"/>
          <w:sz w:val="28"/>
          <w:szCs w:val="28"/>
          <w:lang w:eastAsia="ru-RU"/>
        </w:rPr>
        <w:t>и</w:t>
      </w:r>
      <w:r w:rsidR="009F7AB6" w:rsidRPr="0078696C">
        <w:rPr>
          <w:rFonts w:ascii="Times New Roman" w:eastAsia="Times New Roman" w:hAnsi="Times New Roman"/>
          <w:color w:val="000000"/>
          <w:sz w:val="28"/>
          <w:szCs w:val="28"/>
          <w:lang w:eastAsia="ru-RU"/>
        </w:rPr>
        <w:t xml:space="preserve"> пенсійного</w:t>
      </w:r>
      <w:r w:rsidR="00835E0D" w:rsidRPr="0078696C">
        <w:rPr>
          <w:rFonts w:ascii="Times New Roman" w:eastAsia="Times New Roman" w:hAnsi="Times New Roman"/>
          <w:color w:val="000000"/>
          <w:sz w:val="28"/>
          <w:szCs w:val="28"/>
          <w:lang w:eastAsia="ru-RU"/>
        </w:rPr>
        <w:t xml:space="preserve"> забезпечення в єдиному законі за наступною структурою</w:t>
      </w:r>
      <w:r w:rsidR="005B31C3" w:rsidRPr="0078696C">
        <w:rPr>
          <w:rFonts w:ascii="Times New Roman" w:eastAsia="Times New Roman" w:hAnsi="Times New Roman"/>
          <w:color w:val="000000"/>
          <w:sz w:val="28"/>
          <w:szCs w:val="28"/>
          <w:lang w:eastAsia="ru-RU"/>
        </w:rPr>
        <w:t>, взявши за основу діючий Закон України «Про загальнообов’язкове державне пенсійне страхування»</w:t>
      </w:r>
      <w:r w:rsidR="00835E0D" w:rsidRPr="0078696C">
        <w:rPr>
          <w:rFonts w:ascii="Times New Roman" w:eastAsia="Times New Roman" w:hAnsi="Times New Roman"/>
          <w:color w:val="000000"/>
          <w:sz w:val="28"/>
          <w:szCs w:val="28"/>
          <w:lang w:eastAsia="ru-RU"/>
        </w:rPr>
        <w:t>:</w:t>
      </w:r>
    </w:p>
    <w:p w:rsidR="00A72D9B" w:rsidRPr="0078696C" w:rsidRDefault="00E6440E" w:rsidP="00A72D9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Глава</w:t>
      </w:r>
      <w:r w:rsidR="005B31C3" w:rsidRPr="0078696C">
        <w:rPr>
          <w:rFonts w:ascii="Times New Roman" w:eastAsia="Times New Roman" w:hAnsi="Times New Roman"/>
          <w:color w:val="000000"/>
          <w:sz w:val="28"/>
          <w:szCs w:val="28"/>
          <w:lang w:eastAsia="ru-RU"/>
        </w:rPr>
        <w:t xml:space="preserve"> І – Загальні </w:t>
      </w:r>
      <w:r w:rsidR="00A72D9B" w:rsidRPr="0078696C">
        <w:rPr>
          <w:rFonts w:ascii="Times New Roman" w:eastAsia="Times New Roman" w:hAnsi="Times New Roman"/>
          <w:color w:val="000000"/>
          <w:sz w:val="28"/>
          <w:szCs w:val="28"/>
          <w:lang w:eastAsia="ru-RU"/>
        </w:rPr>
        <w:t>положення.</w:t>
      </w:r>
    </w:p>
    <w:p w:rsidR="00E6440E" w:rsidRPr="0078696C" w:rsidRDefault="00E6440E" w:rsidP="00A72D9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Глава ІІ – Організація та порядок здійснення пенсійного забезпечення у солідарній системі</w:t>
      </w:r>
      <w:r w:rsidR="00727FEF" w:rsidRPr="0078696C">
        <w:rPr>
          <w:rFonts w:ascii="Times New Roman" w:eastAsia="Times New Roman" w:hAnsi="Times New Roman"/>
          <w:color w:val="000000"/>
          <w:sz w:val="28"/>
          <w:szCs w:val="28"/>
          <w:lang w:eastAsia="ru-RU"/>
        </w:rPr>
        <w:t>.</w:t>
      </w:r>
    </w:p>
    <w:p w:rsidR="00E6440E" w:rsidRPr="0078696C" w:rsidRDefault="00E6440E" w:rsidP="00A72D9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І – Страховий стаж</w:t>
      </w:r>
      <w:r w:rsidR="00606101" w:rsidRPr="0078696C">
        <w:rPr>
          <w:rFonts w:ascii="Times New Roman" w:eastAsia="Times New Roman" w:hAnsi="Times New Roman"/>
          <w:color w:val="000000"/>
          <w:sz w:val="28"/>
          <w:szCs w:val="28"/>
          <w:lang w:eastAsia="ru-RU"/>
        </w:rPr>
        <w:t>.</w:t>
      </w:r>
    </w:p>
    <w:p w:rsidR="00E6440E" w:rsidRPr="0078696C" w:rsidRDefault="00E6440E" w:rsidP="00A72D9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ІІ – Порядок визначення заробітної плати для обчислення пенсії</w:t>
      </w:r>
      <w:r w:rsidR="00606101" w:rsidRPr="0078696C">
        <w:rPr>
          <w:rFonts w:ascii="Times New Roman" w:eastAsia="Times New Roman" w:hAnsi="Times New Roman"/>
          <w:color w:val="000000"/>
          <w:sz w:val="28"/>
          <w:szCs w:val="28"/>
          <w:lang w:eastAsia="ru-RU"/>
        </w:rPr>
        <w:t>.</w:t>
      </w:r>
    </w:p>
    <w:p w:rsidR="005B31C3" w:rsidRPr="0078696C" w:rsidRDefault="005B31C3" w:rsidP="0050534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Розділ </w:t>
      </w:r>
      <w:r w:rsidR="0050534C" w:rsidRPr="0078696C">
        <w:rPr>
          <w:rFonts w:ascii="Times New Roman" w:eastAsia="Times New Roman" w:hAnsi="Times New Roman"/>
          <w:color w:val="000000"/>
          <w:sz w:val="28"/>
          <w:szCs w:val="28"/>
          <w:lang w:eastAsia="ru-RU"/>
        </w:rPr>
        <w:t>ІІІ</w:t>
      </w:r>
      <w:r w:rsidR="0050534C" w:rsidRPr="0078696C">
        <w:rPr>
          <w:rFonts w:ascii="Times New Roman" w:hAnsi="Times New Roman"/>
          <w:color w:val="000000"/>
          <w:sz w:val="28"/>
          <w:szCs w:val="28"/>
        </w:rPr>
        <w:t xml:space="preserve">– </w:t>
      </w:r>
      <w:r w:rsidR="00A72D9B" w:rsidRPr="0078696C">
        <w:rPr>
          <w:rFonts w:ascii="Times New Roman" w:eastAsia="Times New Roman" w:hAnsi="Times New Roman"/>
          <w:color w:val="000000"/>
          <w:sz w:val="28"/>
          <w:szCs w:val="28"/>
          <w:lang w:eastAsia="ru-RU"/>
        </w:rPr>
        <w:t>Пенсії за віком у солідарній системі</w:t>
      </w:r>
      <w:r w:rsidR="00606101" w:rsidRPr="0078696C">
        <w:rPr>
          <w:rFonts w:ascii="Times New Roman" w:eastAsia="Times New Roman" w:hAnsi="Times New Roman"/>
          <w:color w:val="000000"/>
          <w:sz w:val="28"/>
          <w:szCs w:val="28"/>
          <w:lang w:eastAsia="ru-RU"/>
        </w:rPr>
        <w:t>.</w:t>
      </w:r>
    </w:p>
    <w:p w:rsidR="00E91F90" w:rsidRPr="0078696C" w:rsidRDefault="00E91F90"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w:t>
      </w:r>
      <w:r w:rsidR="009953B9">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IV </w:t>
      </w:r>
      <w:r w:rsidR="00A72D9B" w:rsidRPr="0078696C">
        <w:rPr>
          <w:rFonts w:ascii="Times New Roman" w:eastAsia="Times New Roman" w:hAnsi="Times New Roman"/>
          <w:color w:val="000000"/>
          <w:sz w:val="28"/>
          <w:szCs w:val="28"/>
          <w:lang w:eastAsia="ru-RU"/>
        </w:rPr>
        <w:t>– Пенсії за віком на пільгових умовах у солідарній системі.</w:t>
      </w:r>
    </w:p>
    <w:p w:rsidR="00A72D9B" w:rsidRPr="0078696C" w:rsidRDefault="00A72D9B" w:rsidP="00A72D9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V – Пенсії за вислугу років у солідарній системі.</w:t>
      </w:r>
    </w:p>
    <w:p w:rsidR="00A72D9B" w:rsidRPr="0078696C" w:rsidRDefault="00A72D9B"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VІ – Пенсії по інвалідності у солідарній системі.</w:t>
      </w:r>
    </w:p>
    <w:p w:rsidR="000D6066" w:rsidRPr="0078696C" w:rsidRDefault="00A72D9B"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VІІ – Пенсії у зв'язку з втратою годувальника в солідарній системі.</w:t>
      </w:r>
    </w:p>
    <w:p w:rsidR="000D6066" w:rsidRPr="0078696C" w:rsidRDefault="00A72D9B"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w:t>
      </w:r>
      <w:r w:rsidR="0050534C" w:rsidRPr="0078696C">
        <w:rPr>
          <w:rFonts w:ascii="Times New Roman" w:eastAsia="Times New Roman" w:hAnsi="Times New Roman"/>
          <w:color w:val="000000"/>
          <w:sz w:val="28"/>
          <w:szCs w:val="28"/>
          <w:lang w:eastAsia="ru-RU"/>
        </w:rPr>
        <w:t xml:space="preserve"> VІІІ – </w:t>
      </w:r>
      <w:r w:rsidR="000D6066" w:rsidRPr="0078696C">
        <w:rPr>
          <w:rFonts w:ascii="Times New Roman" w:eastAsia="Times New Roman" w:hAnsi="Times New Roman"/>
          <w:color w:val="000000"/>
          <w:sz w:val="28"/>
          <w:szCs w:val="28"/>
          <w:lang w:eastAsia="ru-RU"/>
        </w:rPr>
        <w:t>Пенсійне забезпечення осіб, звільнених з військової служби, та деяких інших осіб.</w:t>
      </w:r>
    </w:p>
    <w:p w:rsidR="00E6440E" w:rsidRPr="0078696C" w:rsidRDefault="000D6066"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Розділ ІХ – </w:t>
      </w:r>
      <w:r w:rsidR="00E6440E" w:rsidRPr="0078696C">
        <w:rPr>
          <w:rFonts w:ascii="Times New Roman" w:eastAsia="Times New Roman" w:hAnsi="Times New Roman"/>
          <w:color w:val="000000"/>
          <w:sz w:val="28"/>
          <w:szCs w:val="28"/>
          <w:lang w:eastAsia="ru-RU"/>
        </w:rPr>
        <w:t>Надбавки та підвищення пенсій</w:t>
      </w:r>
      <w:r w:rsidR="0050534C" w:rsidRPr="0078696C">
        <w:rPr>
          <w:rFonts w:ascii="Times New Roman" w:eastAsia="Times New Roman" w:hAnsi="Times New Roman"/>
          <w:color w:val="000000"/>
          <w:sz w:val="28"/>
          <w:szCs w:val="28"/>
          <w:lang w:eastAsia="ru-RU"/>
        </w:rPr>
        <w:t xml:space="preserve"> для окремих категорій громадян</w:t>
      </w:r>
    </w:p>
    <w:p w:rsidR="0050534C" w:rsidRPr="0078696C" w:rsidRDefault="000D6066" w:rsidP="0050534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Розділ Х </w:t>
      </w:r>
      <w:r w:rsidR="0050534C" w:rsidRPr="0078696C">
        <w:rPr>
          <w:rFonts w:ascii="Times New Roman" w:eastAsia="Times New Roman" w:hAnsi="Times New Roman"/>
          <w:color w:val="000000"/>
          <w:sz w:val="28"/>
          <w:szCs w:val="28"/>
          <w:lang w:eastAsia="ru-RU"/>
        </w:rPr>
        <w:t>–</w:t>
      </w:r>
      <w:r w:rsidR="00227308" w:rsidRPr="0078696C">
        <w:rPr>
          <w:rFonts w:ascii="Times New Roman" w:eastAsia="Times New Roman" w:hAnsi="Times New Roman"/>
          <w:color w:val="000000"/>
          <w:sz w:val="28"/>
          <w:szCs w:val="28"/>
          <w:lang w:eastAsia="ru-RU"/>
        </w:rPr>
        <w:t xml:space="preserve"> Порядок призначення та виплати пенсій.</w:t>
      </w:r>
    </w:p>
    <w:p w:rsidR="0050534C" w:rsidRPr="0078696C" w:rsidRDefault="00227308" w:rsidP="0050534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Х</w:t>
      </w:r>
      <w:r w:rsidR="000D6066" w:rsidRPr="0078696C">
        <w:rPr>
          <w:rFonts w:ascii="Times New Roman" w:eastAsia="Times New Roman" w:hAnsi="Times New Roman"/>
          <w:color w:val="000000"/>
          <w:sz w:val="28"/>
          <w:szCs w:val="28"/>
          <w:lang w:eastAsia="ru-RU"/>
        </w:rPr>
        <w:t>І</w:t>
      </w:r>
      <w:r w:rsidRPr="0078696C">
        <w:rPr>
          <w:rFonts w:ascii="Times New Roman" w:eastAsia="Times New Roman" w:hAnsi="Times New Roman"/>
          <w:color w:val="000000"/>
          <w:sz w:val="28"/>
          <w:szCs w:val="28"/>
          <w:lang w:eastAsia="ru-RU"/>
        </w:rPr>
        <w:t xml:space="preserve"> – Порядок і умови перерахунку пенсій.</w:t>
      </w:r>
    </w:p>
    <w:p w:rsidR="0088162C" w:rsidRPr="0078696C" w:rsidRDefault="000D6066" w:rsidP="0050534C">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Розділ ХІІ </w:t>
      </w:r>
      <w:r w:rsidR="0088162C" w:rsidRPr="0078696C">
        <w:rPr>
          <w:rFonts w:ascii="Times New Roman" w:eastAsia="Times New Roman" w:hAnsi="Times New Roman"/>
          <w:color w:val="000000"/>
          <w:sz w:val="28"/>
          <w:szCs w:val="28"/>
          <w:lang w:eastAsia="ru-RU"/>
        </w:rPr>
        <w:t>– Організація і порядок здійснення управління в солідарній системі</w:t>
      </w:r>
      <w:r w:rsidRPr="0078696C">
        <w:rPr>
          <w:rFonts w:ascii="Times New Roman" w:eastAsia="Times New Roman" w:hAnsi="Times New Roman"/>
          <w:color w:val="000000"/>
          <w:sz w:val="28"/>
          <w:szCs w:val="28"/>
          <w:lang w:eastAsia="ru-RU"/>
        </w:rPr>
        <w:t>.</w:t>
      </w:r>
    </w:p>
    <w:p w:rsidR="00E6440E" w:rsidRPr="0078696C" w:rsidRDefault="00606101"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Глава ІІІ – Організація та порядок здійснення пенсійного забезпечення у накопичувальній системі</w:t>
      </w:r>
      <w:r w:rsidR="00BB7F5B" w:rsidRPr="0078696C">
        <w:rPr>
          <w:rFonts w:ascii="Times New Roman" w:eastAsia="Times New Roman" w:hAnsi="Times New Roman"/>
          <w:color w:val="000000"/>
          <w:sz w:val="28"/>
          <w:szCs w:val="28"/>
          <w:lang w:eastAsia="ru-RU"/>
        </w:rPr>
        <w:t>.</w:t>
      </w:r>
    </w:p>
    <w:p w:rsidR="00606101" w:rsidRPr="0078696C" w:rsidRDefault="00606101"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Глава IV – Недержавне пенсійне забезпечення.</w:t>
      </w:r>
    </w:p>
    <w:p w:rsidR="00BB7F5B" w:rsidRPr="0078696C" w:rsidRDefault="00BB7F5B"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Главу І «Загальні положення» нині діючого Закону України «Про загальнообов’язкове державне пенсійне страхування» пропонуємо доповнити поняттями із Закону України «Про недержавне пенсійне забезпечення» щодо понять та принципів, які діють у системі недержавного пенсійного забезпечення.</w:t>
      </w:r>
    </w:p>
    <w:p w:rsidR="00BB7F5B" w:rsidRPr="0078696C" w:rsidRDefault="00727FEF"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Глава ІІ</w:t>
      </w:r>
      <w:r w:rsidR="00F309E5" w:rsidRPr="0078696C">
        <w:rPr>
          <w:rFonts w:ascii="Times New Roman" w:eastAsia="Times New Roman" w:hAnsi="Times New Roman"/>
          <w:color w:val="000000"/>
          <w:sz w:val="28"/>
          <w:szCs w:val="28"/>
          <w:lang w:eastAsia="ru-RU"/>
        </w:rPr>
        <w:t xml:space="preserve"> «Організація та порядок здійснення пенсійного забезпечення у солідарній системі», в основу якої закладено державно-управлінський механізм</w:t>
      </w:r>
      <w:r w:rsidRPr="0078696C">
        <w:rPr>
          <w:rFonts w:ascii="Times New Roman" w:eastAsia="Times New Roman" w:hAnsi="Times New Roman"/>
          <w:color w:val="000000"/>
          <w:sz w:val="28"/>
          <w:szCs w:val="28"/>
          <w:lang w:eastAsia="ru-RU"/>
        </w:rPr>
        <w:t>, на нашу думку, підлягає внесенню найбіль</w:t>
      </w:r>
      <w:r w:rsidR="00F309E5" w:rsidRPr="0078696C">
        <w:rPr>
          <w:rFonts w:ascii="Times New Roman" w:eastAsia="Times New Roman" w:hAnsi="Times New Roman"/>
          <w:color w:val="000000"/>
          <w:sz w:val="28"/>
          <w:szCs w:val="28"/>
          <w:lang w:eastAsia="ru-RU"/>
        </w:rPr>
        <w:t>ших змін та доповнень, а саме:</w:t>
      </w:r>
    </w:p>
    <w:p w:rsidR="00F309E5" w:rsidRPr="0078696C" w:rsidRDefault="00F6676F"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У р</w:t>
      </w:r>
      <w:r w:rsidR="00F309E5" w:rsidRPr="0078696C">
        <w:rPr>
          <w:rFonts w:ascii="Times New Roman" w:eastAsia="Times New Roman" w:hAnsi="Times New Roman"/>
          <w:color w:val="000000"/>
          <w:sz w:val="28"/>
          <w:szCs w:val="28"/>
          <w:lang w:eastAsia="ru-RU"/>
        </w:rPr>
        <w:t>озділ</w:t>
      </w:r>
      <w:r w:rsidRPr="0078696C">
        <w:rPr>
          <w:rFonts w:ascii="Times New Roman" w:eastAsia="Times New Roman" w:hAnsi="Times New Roman"/>
          <w:color w:val="000000"/>
          <w:sz w:val="28"/>
          <w:szCs w:val="28"/>
          <w:lang w:eastAsia="ru-RU"/>
        </w:rPr>
        <w:t>і</w:t>
      </w:r>
      <w:r w:rsidR="00F309E5" w:rsidRPr="0078696C">
        <w:rPr>
          <w:rFonts w:ascii="Times New Roman" w:eastAsia="Times New Roman" w:hAnsi="Times New Roman"/>
          <w:color w:val="000000"/>
          <w:sz w:val="28"/>
          <w:szCs w:val="28"/>
          <w:lang w:eastAsia="ru-RU"/>
        </w:rPr>
        <w:t xml:space="preserve"> І «Страховий стаж»</w:t>
      </w:r>
      <w:r w:rsidR="0076096A" w:rsidRPr="0078696C">
        <w:rPr>
          <w:rFonts w:ascii="Times New Roman" w:eastAsia="Times New Roman" w:hAnsi="Times New Roman"/>
          <w:color w:val="000000"/>
          <w:sz w:val="28"/>
          <w:szCs w:val="28"/>
          <w:lang w:eastAsia="ru-RU"/>
        </w:rPr>
        <w:t xml:space="preserve"> пропонуємо </w:t>
      </w:r>
      <w:r w:rsidRPr="0078696C">
        <w:rPr>
          <w:rFonts w:ascii="Times New Roman" w:eastAsia="Times New Roman" w:hAnsi="Times New Roman"/>
          <w:color w:val="000000"/>
          <w:sz w:val="28"/>
          <w:szCs w:val="28"/>
          <w:lang w:eastAsia="ru-RU"/>
        </w:rPr>
        <w:t>об’єднати норми розділу ІІ Закону України «Про загальнообов’язкове державне пенсійне страхування» та підрозділу 5 розділу ІІ Закону України «Про пенсійне забезпечення»</w:t>
      </w:r>
      <w:r w:rsidR="001B3CA6" w:rsidRPr="0078696C">
        <w:rPr>
          <w:rFonts w:ascii="Times New Roman" w:eastAsia="Times New Roman" w:hAnsi="Times New Roman"/>
          <w:color w:val="000000"/>
          <w:sz w:val="28"/>
          <w:szCs w:val="28"/>
          <w:lang w:eastAsia="ru-RU"/>
        </w:rPr>
        <w:t xml:space="preserve"> за наступною структурою:</w:t>
      </w:r>
    </w:p>
    <w:p w:rsidR="001B3CA6" w:rsidRPr="0078696C" w:rsidRDefault="001B3CA6"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Стаття 1 (даного розділу) – </w:t>
      </w:r>
      <w:r w:rsidR="00A66A90"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Поняття страхового стажу</w:t>
      </w:r>
      <w:r w:rsidR="00A66A90"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w:t>
      </w:r>
    </w:p>
    <w:p w:rsidR="001B3CA6" w:rsidRPr="0078696C" w:rsidRDefault="001B3CA6"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Стаття 2 – </w:t>
      </w:r>
      <w:r w:rsidR="00A66A90"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Періоди, з яких складається страховий стаж</w:t>
      </w:r>
      <w:r w:rsidR="00A66A90" w:rsidRPr="0078696C">
        <w:rPr>
          <w:rFonts w:ascii="Times New Roman" w:eastAsia="Times New Roman" w:hAnsi="Times New Roman"/>
          <w:color w:val="000000"/>
          <w:sz w:val="28"/>
          <w:szCs w:val="28"/>
          <w:lang w:eastAsia="ru-RU"/>
        </w:rPr>
        <w:t>»</w:t>
      </w:r>
      <w:r w:rsidR="006F5523" w:rsidRPr="0078696C">
        <w:rPr>
          <w:rFonts w:ascii="Times New Roman" w:eastAsia="Times New Roman" w:hAnsi="Times New Roman"/>
          <w:color w:val="000000"/>
          <w:sz w:val="28"/>
          <w:szCs w:val="28"/>
          <w:lang w:eastAsia="ru-RU"/>
        </w:rPr>
        <w:t>.</w:t>
      </w:r>
    </w:p>
    <w:p w:rsidR="001B3CA6" w:rsidRPr="0078696C" w:rsidRDefault="001B3CA6" w:rsidP="001B3CA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У даній статті пропонуємо викласти усі види трудової діяльності, які перелічені у ст. 56, 61, 63 ЗУ «Про пенсійне забезпечення», з урахуванням положень ст. 24 ЗУ «Про загальнообов’язкове державне пенсійне страхування».</w:t>
      </w:r>
    </w:p>
    <w:p w:rsidR="001B3CA6" w:rsidRPr="0078696C" w:rsidRDefault="001B3CA6"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Стаття 3 – </w:t>
      </w:r>
      <w:r w:rsidR="00A66A90"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Пільги при обчисленні страхового стажу</w:t>
      </w:r>
      <w:r w:rsidR="00A66A90" w:rsidRPr="0078696C">
        <w:rPr>
          <w:rFonts w:ascii="Times New Roman" w:eastAsia="Times New Roman" w:hAnsi="Times New Roman"/>
          <w:color w:val="000000"/>
          <w:sz w:val="28"/>
          <w:szCs w:val="28"/>
          <w:lang w:eastAsia="ru-RU"/>
        </w:rPr>
        <w:t>»</w:t>
      </w:r>
      <w:r w:rsidR="006F5523" w:rsidRPr="0078696C">
        <w:rPr>
          <w:rFonts w:ascii="Times New Roman" w:eastAsia="Times New Roman" w:hAnsi="Times New Roman"/>
          <w:color w:val="000000"/>
          <w:sz w:val="28"/>
          <w:szCs w:val="28"/>
          <w:lang w:eastAsia="ru-RU"/>
        </w:rPr>
        <w:t>.</w:t>
      </w:r>
    </w:p>
    <w:p w:rsidR="001B3CA6" w:rsidRPr="0078696C" w:rsidRDefault="001B3CA6" w:rsidP="00BB7F5B">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У зазначеній статті пропонуємо навести перелік періодів роботи, які підлягають кратному обчисленню стажу, зокрема: </w:t>
      </w:r>
      <w:r w:rsidR="00671FF0" w:rsidRPr="0078696C">
        <w:rPr>
          <w:rFonts w:ascii="Times New Roman" w:eastAsia="Times New Roman" w:hAnsi="Times New Roman"/>
          <w:color w:val="000000"/>
          <w:sz w:val="28"/>
          <w:szCs w:val="28"/>
          <w:lang w:eastAsia="ru-RU"/>
        </w:rPr>
        <w:t xml:space="preserve">пільги по обчисленню стажу у період перебування на фронті, участі у бойових діях, </w:t>
      </w:r>
      <w:r w:rsidR="00702F9B" w:rsidRPr="0078696C">
        <w:rPr>
          <w:rFonts w:ascii="Times New Roman" w:eastAsia="Times New Roman" w:hAnsi="Times New Roman"/>
          <w:color w:val="000000"/>
          <w:sz w:val="28"/>
          <w:szCs w:val="28"/>
          <w:lang w:eastAsia="ru-RU"/>
        </w:rPr>
        <w:t xml:space="preserve">блокади (подвійний розмір) </w:t>
      </w:r>
      <w:r w:rsidR="00671FF0" w:rsidRPr="0078696C">
        <w:rPr>
          <w:rFonts w:ascii="Times New Roman" w:eastAsia="Times New Roman" w:hAnsi="Times New Roman"/>
          <w:color w:val="000000"/>
          <w:sz w:val="28"/>
          <w:szCs w:val="28"/>
          <w:lang w:eastAsia="ru-RU"/>
        </w:rPr>
        <w:t>перебування у фашистських концтаборах, гетто та інших місцях примусового утримання в період війни</w:t>
      </w:r>
      <w:r w:rsidR="00702F9B" w:rsidRPr="0078696C">
        <w:rPr>
          <w:rFonts w:ascii="Times New Roman" w:eastAsia="Times New Roman" w:hAnsi="Times New Roman"/>
          <w:color w:val="000000"/>
          <w:sz w:val="28"/>
          <w:szCs w:val="28"/>
          <w:lang w:eastAsia="ru-RU"/>
        </w:rPr>
        <w:t xml:space="preserve"> (потрійне обчислення); робота в особливих умовах праці окремих категорій працівників медичних закладів (в лепрозорних і протичумних закладах охорони здоров’я, у закладах (відділеннях) з лікування осіб, заражених вірусом імунодефіциту людини або хворих на СНІД, в інших інфекційних закладах (відділеннях) охорони здоров’я, у патолого-анатомічних і реанімаційних відділеннях закладів охорони здоров’я, а також у закладах з надання психіатричної допомоги (подвійне обчислення)</w:t>
      </w:r>
      <w:r w:rsidR="00A200EE" w:rsidRPr="0078696C">
        <w:rPr>
          <w:rFonts w:ascii="Times New Roman" w:eastAsia="Times New Roman" w:hAnsi="Times New Roman"/>
          <w:color w:val="000000"/>
          <w:sz w:val="28"/>
          <w:szCs w:val="28"/>
          <w:lang w:eastAsia="ru-RU"/>
        </w:rPr>
        <w:t>; робота в особливих кліматичних умовах (райони Крайньої Півночі та місцевості, прирівняні до них, колишнього СРСР</w:t>
      </w:r>
      <w:r w:rsidR="0029209F" w:rsidRPr="0078696C">
        <w:rPr>
          <w:rFonts w:ascii="Times New Roman" w:eastAsia="Times New Roman" w:hAnsi="Times New Roman"/>
          <w:color w:val="000000"/>
          <w:sz w:val="28"/>
          <w:szCs w:val="28"/>
          <w:lang w:eastAsia="ru-RU"/>
        </w:rPr>
        <w:t xml:space="preserve"> – 1,5-кратне обчислення</w:t>
      </w:r>
      <w:r w:rsidR="00A200EE" w:rsidRPr="0078696C">
        <w:rPr>
          <w:rFonts w:ascii="Times New Roman" w:eastAsia="Times New Roman" w:hAnsi="Times New Roman"/>
          <w:color w:val="000000"/>
          <w:sz w:val="28"/>
          <w:szCs w:val="28"/>
          <w:lang w:eastAsia="ru-RU"/>
        </w:rPr>
        <w:t>).</w:t>
      </w:r>
    </w:p>
    <w:p w:rsidR="00A66A90" w:rsidRPr="0078696C" w:rsidRDefault="00812F11" w:rsidP="00A66A9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Крім цього, в даній статті вважаємо за доцільне зазначити </w:t>
      </w:r>
      <w:r w:rsidR="00781884" w:rsidRPr="0078696C">
        <w:rPr>
          <w:rFonts w:ascii="Times New Roman" w:eastAsia="Times New Roman" w:hAnsi="Times New Roman"/>
          <w:color w:val="000000"/>
          <w:sz w:val="28"/>
          <w:szCs w:val="28"/>
          <w:lang w:eastAsia="ru-RU"/>
        </w:rPr>
        <w:t>окремим пунктом, що за кожний повний рік стажу роботи (врахованого в одинарному розмірі) на підземних роботах, на роботах з особливо шкідливими і особливо важкими умовами праці за списком № 1 виробництв, робіт, професій, посад і показників, затвердженим Кабінетом Міністрів України, зайнятість на яких давала та дає право на пенсію на пільгових умовах, до страхового стажу додатко</w:t>
      </w:r>
      <w:r w:rsidR="00A66A90" w:rsidRPr="0078696C">
        <w:rPr>
          <w:rFonts w:ascii="Times New Roman" w:eastAsia="Times New Roman" w:hAnsi="Times New Roman"/>
          <w:color w:val="000000"/>
          <w:sz w:val="28"/>
          <w:szCs w:val="28"/>
          <w:lang w:eastAsia="ru-RU"/>
        </w:rPr>
        <w:t>во зараховується по одному року.</w:t>
      </w:r>
    </w:p>
    <w:p w:rsidR="00835E0D" w:rsidRPr="0078696C" w:rsidRDefault="00781884"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Розділ ІІІ «Пенсії за віком у солідарній системі»</w:t>
      </w:r>
      <w:r w:rsidR="00837ED1" w:rsidRPr="0078696C">
        <w:rPr>
          <w:rFonts w:ascii="Times New Roman" w:eastAsia="Times New Roman" w:hAnsi="Times New Roman"/>
          <w:color w:val="000000"/>
          <w:sz w:val="28"/>
          <w:szCs w:val="28"/>
          <w:lang w:eastAsia="ru-RU"/>
        </w:rPr>
        <w:t xml:space="preserve"> пропонуємо викласти за наступною структурою:</w:t>
      </w:r>
    </w:p>
    <w:p w:rsidR="00837ED1" w:rsidRPr="0078696C" w:rsidRDefault="00837ED1"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Стаття 1 (даного розділу) – </w:t>
      </w:r>
      <w:r w:rsidR="00690AB0"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Умови призначення пенсії за віком у солідарній системі</w:t>
      </w:r>
      <w:r w:rsidR="00690AB0" w:rsidRPr="0078696C">
        <w:rPr>
          <w:rFonts w:ascii="Times New Roman" w:eastAsia="Times New Roman" w:hAnsi="Times New Roman"/>
          <w:color w:val="000000"/>
          <w:sz w:val="28"/>
          <w:szCs w:val="28"/>
          <w:lang w:eastAsia="ru-RU"/>
        </w:rPr>
        <w:t>»</w:t>
      </w:r>
      <w:r w:rsidR="006F5523" w:rsidRPr="0078696C">
        <w:rPr>
          <w:rFonts w:ascii="Times New Roman" w:eastAsia="Times New Roman" w:hAnsi="Times New Roman"/>
          <w:color w:val="000000"/>
          <w:sz w:val="28"/>
          <w:szCs w:val="28"/>
          <w:lang w:eastAsia="ru-RU"/>
        </w:rPr>
        <w:t>.</w:t>
      </w:r>
    </w:p>
    <w:p w:rsidR="00F50898" w:rsidRPr="0078696C" w:rsidRDefault="00F50898"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Задля того, щоб не отримати ще більший супротив від населення щодо підвищення пенсійного віку та необхідного страхового стажу для призначення пенсії, на даному етапі, вважаємо за доцільне, зберегти умови, встановлені у ст. 26 нині діючого ЗУ «Про загальнообов’язкове державне пенсійне страхування». Однак, в подальшому, за проведення належної інформаційно-роз’яснювальної політики, </w:t>
      </w:r>
      <w:r w:rsidR="008E5010" w:rsidRPr="0078696C">
        <w:rPr>
          <w:rFonts w:ascii="Times New Roman" w:eastAsia="Times New Roman" w:hAnsi="Times New Roman"/>
          <w:color w:val="000000"/>
          <w:sz w:val="28"/>
          <w:szCs w:val="28"/>
          <w:lang w:eastAsia="ru-RU"/>
        </w:rPr>
        <w:t xml:space="preserve">пропонуємо </w:t>
      </w:r>
      <w:r w:rsidRPr="0078696C">
        <w:rPr>
          <w:rFonts w:ascii="Times New Roman" w:eastAsia="Times New Roman" w:hAnsi="Times New Roman"/>
          <w:color w:val="000000"/>
          <w:sz w:val="28"/>
          <w:szCs w:val="28"/>
          <w:lang w:eastAsia="ru-RU"/>
        </w:rPr>
        <w:t>переглянути загальний пенсійний вік для жінок та чоловік</w:t>
      </w:r>
      <w:r w:rsidR="008E5010" w:rsidRPr="0078696C">
        <w:rPr>
          <w:rFonts w:ascii="Times New Roman" w:eastAsia="Times New Roman" w:hAnsi="Times New Roman"/>
          <w:color w:val="000000"/>
          <w:sz w:val="28"/>
          <w:szCs w:val="28"/>
          <w:lang w:eastAsia="ru-RU"/>
        </w:rPr>
        <w:t>ів</w:t>
      </w:r>
      <w:r w:rsidRPr="0078696C">
        <w:rPr>
          <w:rFonts w:ascii="Times New Roman" w:eastAsia="Times New Roman" w:hAnsi="Times New Roman"/>
          <w:color w:val="000000"/>
          <w:sz w:val="28"/>
          <w:szCs w:val="28"/>
          <w:lang w:eastAsia="ru-RU"/>
        </w:rPr>
        <w:t>, з наданням додаткових під</w:t>
      </w:r>
      <w:r w:rsidR="008E5010" w:rsidRPr="0078696C">
        <w:rPr>
          <w:rFonts w:ascii="Times New Roman" w:eastAsia="Times New Roman" w:hAnsi="Times New Roman"/>
          <w:color w:val="000000"/>
          <w:sz w:val="28"/>
          <w:szCs w:val="28"/>
          <w:lang w:eastAsia="ru-RU"/>
        </w:rPr>
        <w:t xml:space="preserve">вищень та преференцій </w:t>
      </w:r>
      <w:r w:rsidRPr="0078696C">
        <w:rPr>
          <w:rFonts w:ascii="Times New Roman" w:eastAsia="Times New Roman" w:hAnsi="Times New Roman"/>
          <w:color w:val="000000"/>
          <w:sz w:val="28"/>
          <w:szCs w:val="28"/>
          <w:lang w:eastAsia="ru-RU"/>
        </w:rPr>
        <w:t>для осіб, які обирають більш пізніший час виходу на пенсію.</w:t>
      </w:r>
    </w:p>
    <w:p w:rsidR="00F50898" w:rsidRPr="0078696C" w:rsidRDefault="00A66A90"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Стаття 2 – «Механізм обчислення розміру пенсії».</w:t>
      </w:r>
    </w:p>
    <w:p w:rsidR="00690AB0" w:rsidRPr="0078696C" w:rsidRDefault="00690AB0" w:rsidP="00690AB0">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Вважаємо за доцільне, зберегти на даному етапі формулу, передбачену ст. 27 ЗУ «Про загальнообов’язкове державне пенсійне страхування». Однак, з метою забезпечення належного коефіцієнту заміщення колишнього заробітку особи, яка виходить на пенсію, пропонуємо повернути раніше застосовувану кратність коефіцієнту страхового стажу у розмірі 1,35.</w:t>
      </w:r>
    </w:p>
    <w:p w:rsidR="00690AB0" w:rsidRPr="0078696C" w:rsidRDefault="00690AB0"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Стаття 3 – «Підвищення розміру пенсії за віком у разі відстрочки часу її призначення» залишити в редакції ст. 29 ЗУ «Про загальнообов’язкове державне пенсійне страхування».</w:t>
      </w:r>
    </w:p>
    <w:p w:rsidR="00690AB0" w:rsidRPr="0078696C" w:rsidRDefault="00690AB0"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Стаття 4 – «Мінімальний розмір пенсії за віком». </w:t>
      </w:r>
    </w:p>
    <w:p w:rsidR="00690AB0" w:rsidRPr="0078696C" w:rsidRDefault="00690AB0"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Статтю 28 ЗУ «Про загальнообов’язкове державне пенсійне страхування» пропонуємо переглянути задля встановле</w:t>
      </w:r>
      <w:r w:rsidR="00CC2B34" w:rsidRPr="0078696C">
        <w:rPr>
          <w:rFonts w:ascii="Times New Roman" w:eastAsia="Times New Roman" w:hAnsi="Times New Roman"/>
          <w:color w:val="000000"/>
          <w:sz w:val="28"/>
          <w:szCs w:val="28"/>
          <w:lang w:eastAsia="ru-RU"/>
        </w:rPr>
        <w:t>ння належної диференціації пенсії в залежності від наявного страхового стажу у особи.</w:t>
      </w:r>
    </w:p>
    <w:p w:rsidR="00DB5DC5" w:rsidRPr="0078696C" w:rsidRDefault="00CC2B34"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Нині діючі норми ст. 28, особливо її першої частини</w:t>
      </w:r>
      <w:r w:rsidR="00DB5DC5" w:rsidRPr="0078696C">
        <w:rPr>
          <w:rFonts w:ascii="Times New Roman" w:eastAsia="Times New Roman" w:hAnsi="Times New Roman"/>
          <w:color w:val="000000"/>
          <w:sz w:val="28"/>
          <w:szCs w:val="28"/>
          <w:lang w:eastAsia="ru-RU"/>
        </w:rPr>
        <w:t xml:space="preserve"> (абзаци</w:t>
      </w:r>
      <w:r w:rsidRPr="0078696C">
        <w:rPr>
          <w:rFonts w:ascii="Times New Roman" w:eastAsia="Times New Roman" w:hAnsi="Times New Roman"/>
          <w:color w:val="000000"/>
          <w:sz w:val="28"/>
          <w:szCs w:val="28"/>
          <w:lang w:eastAsia="ru-RU"/>
        </w:rPr>
        <w:t xml:space="preserve"> 1, 2)</w:t>
      </w:r>
      <w:r w:rsidR="00DB5DC5" w:rsidRPr="0078696C">
        <w:rPr>
          <w:rFonts w:ascii="Times New Roman" w:eastAsia="Times New Roman" w:hAnsi="Times New Roman"/>
          <w:color w:val="000000"/>
          <w:sz w:val="28"/>
          <w:szCs w:val="28"/>
          <w:lang w:eastAsia="ru-RU"/>
        </w:rPr>
        <w:t xml:space="preserve"> не знаходять свого реального відображення у практичному обчисленні розміру пенсії, адже на сьогодні усі пенсіонери (незалежно від страхового стажу) отримують пенсії на рівні, не нижчому за прожитковий мінімум для осіб, які втратили працездатність.</w:t>
      </w:r>
    </w:p>
    <w:p w:rsidR="00CC2B34" w:rsidRPr="0078696C" w:rsidRDefault="00DB5DC5" w:rsidP="00DB5DC5">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А тому, норма про те, що мінімальний розмір пенсії за віком за наявності у чоловіків 35 років, а у жінок 30 років страхового стажу встановлюється в розмірі прожиткового мінімуму для осіб, які втратили працездатність, визначеного законом, є декларативною.</w:t>
      </w:r>
    </w:p>
    <w:p w:rsidR="00690AB0" w:rsidRPr="0078696C" w:rsidRDefault="001C43AD"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Крім цього, відсутнє реальне заохочення для пенсіонерів, у яких наявний понаднормовий стаж.</w:t>
      </w:r>
    </w:p>
    <w:p w:rsidR="001C43AD" w:rsidRPr="0078696C" w:rsidRDefault="001C43AD"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З огляду на зазначене, пропонуємо викласти дану статтю у дещо іншій редакції, передбачивши збільшений розмір пенсії для осіб, які визнані ветеранами праці, на рівні, не менш</w:t>
      </w:r>
      <w:r w:rsidR="000D6066" w:rsidRPr="0078696C">
        <w:rPr>
          <w:rFonts w:ascii="Times New Roman" w:eastAsia="Times New Roman" w:hAnsi="Times New Roman"/>
          <w:color w:val="000000"/>
          <w:sz w:val="28"/>
          <w:szCs w:val="28"/>
          <w:lang w:eastAsia="ru-RU"/>
        </w:rPr>
        <w:t>ому, ніж</w:t>
      </w:r>
      <w:r w:rsidRPr="0078696C">
        <w:rPr>
          <w:rFonts w:ascii="Times New Roman" w:eastAsia="Times New Roman" w:hAnsi="Times New Roman"/>
          <w:color w:val="000000"/>
          <w:sz w:val="28"/>
          <w:szCs w:val="28"/>
          <w:lang w:eastAsia="ru-RU"/>
        </w:rPr>
        <w:t xml:space="preserve"> два розміри прожиткового мінімуму, встановленого для осіб, які втратили працездатність.</w:t>
      </w:r>
    </w:p>
    <w:p w:rsidR="005A3E89" w:rsidRPr="0078696C" w:rsidRDefault="00147A08" w:rsidP="009F7AB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w:t>
      </w:r>
      <w:r w:rsidR="001C43AD" w:rsidRPr="0078696C">
        <w:rPr>
          <w:rFonts w:ascii="Times New Roman" w:eastAsia="Times New Roman" w:hAnsi="Times New Roman"/>
          <w:color w:val="000000"/>
          <w:sz w:val="28"/>
          <w:szCs w:val="28"/>
          <w:lang w:eastAsia="ru-RU"/>
        </w:rPr>
        <w:t>озділ</w:t>
      </w:r>
      <w:r w:rsidR="009953B9">
        <w:rPr>
          <w:rFonts w:ascii="Times New Roman" w:eastAsia="Times New Roman" w:hAnsi="Times New Roman"/>
          <w:color w:val="000000"/>
          <w:sz w:val="28"/>
          <w:szCs w:val="28"/>
          <w:lang w:eastAsia="ru-RU"/>
        </w:rPr>
        <w:t xml:space="preserve"> </w:t>
      </w:r>
      <w:r w:rsidR="001C43AD" w:rsidRPr="0078696C">
        <w:rPr>
          <w:rFonts w:ascii="Times New Roman" w:eastAsia="Times New Roman" w:hAnsi="Times New Roman"/>
          <w:color w:val="000000"/>
          <w:sz w:val="28"/>
          <w:szCs w:val="28"/>
          <w:lang w:eastAsia="ru-RU"/>
        </w:rPr>
        <w:t xml:space="preserve">IV «Пенсії за віком на пільгових умовах у солідарній системі» пропонуємо </w:t>
      </w:r>
      <w:r w:rsidR="00687236" w:rsidRPr="0078696C">
        <w:rPr>
          <w:rFonts w:ascii="Times New Roman" w:eastAsia="Times New Roman" w:hAnsi="Times New Roman"/>
          <w:color w:val="000000"/>
          <w:sz w:val="28"/>
          <w:szCs w:val="28"/>
          <w:lang w:eastAsia="ru-RU"/>
        </w:rPr>
        <w:t xml:space="preserve">поділити на окремі підрозділи: </w:t>
      </w:r>
    </w:p>
    <w:p w:rsidR="00F50898" w:rsidRPr="0078696C" w:rsidRDefault="005A3E89" w:rsidP="00BE202E">
      <w:pPr>
        <w:numPr>
          <w:ilvl w:val="0"/>
          <w:numId w:val="38"/>
        </w:numPr>
        <w:spacing w:after="0" w:line="360" w:lineRule="auto"/>
        <w:ind w:left="0"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«Пенсійне забезпечення осіб, зайнятих на підземних роботах, на роботах, передбачених списками № 1 та №2 виробництв, робіт, професій, посад і показників</w:t>
      </w:r>
      <w:r w:rsidR="004E2C0C" w:rsidRPr="0078696C">
        <w:rPr>
          <w:rFonts w:ascii="Times New Roman" w:eastAsia="Times New Roman" w:hAnsi="Times New Roman"/>
          <w:color w:val="000000"/>
          <w:sz w:val="28"/>
          <w:szCs w:val="28"/>
          <w:lang w:eastAsia="ru-RU"/>
        </w:rPr>
        <w:t xml:space="preserve">, та </w:t>
      </w:r>
      <w:r w:rsidR="0074470E" w:rsidRPr="0078696C">
        <w:rPr>
          <w:rFonts w:ascii="Times New Roman" w:eastAsia="Times New Roman" w:hAnsi="Times New Roman"/>
          <w:color w:val="000000"/>
          <w:sz w:val="28"/>
          <w:szCs w:val="28"/>
          <w:lang w:eastAsia="ru-RU"/>
        </w:rPr>
        <w:t>на інших роботах з особливими умовами праці</w:t>
      </w:r>
      <w:r w:rsidRPr="0078696C">
        <w:rPr>
          <w:rFonts w:ascii="Times New Roman" w:eastAsia="Times New Roman" w:hAnsi="Times New Roman"/>
          <w:color w:val="000000"/>
          <w:sz w:val="28"/>
          <w:szCs w:val="28"/>
          <w:lang w:eastAsia="ru-RU"/>
        </w:rPr>
        <w:t xml:space="preserve">», </w:t>
      </w:r>
      <w:r w:rsidR="002D29BD" w:rsidRPr="0078696C">
        <w:rPr>
          <w:rFonts w:ascii="Times New Roman" w:eastAsia="Times New Roman" w:hAnsi="Times New Roman"/>
          <w:color w:val="000000"/>
          <w:sz w:val="28"/>
          <w:szCs w:val="28"/>
          <w:lang w:eastAsia="ru-RU"/>
        </w:rPr>
        <w:t>в якому об’єднати положення статей 13, 14 ЗУ «Про пенсійне забезпечення» та ст. 114 ЗУ «Про загальнообов’язкове державне пенсійне страхування».</w:t>
      </w:r>
    </w:p>
    <w:p w:rsidR="006673DC" w:rsidRPr="0078696C" w:rsidRDefault="006673DC" w:rsidP="00BE202E">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Виплати таких пенсій повинна здійснюватись за рахунок підприємств-роботодавців, без надання додаткових пільг окремим галузям виробництв чи промисловості.</w:t>
      </w:r>
    </w:p>
    <w:p w:rsidR="002D29BD" w:rsidRPr="0078696C" w:rsidRDefault="002D29BD" w:rsidP="00BE202E">
      <w:pPr>
        <w:numPr>
          <w:ilvl w:val="0"/>
          <w:numId w:val="38"/>
        </w:numPr>
        <w:spacing w:after="0" w:line="360" w:lineRule="auto"/>
        <w:ind w:left="0"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«Пенсійне забезпечення громадян, які постраждали від Чорнобильської катастрофи»</w:t>
      </w:r>
      <w:r w:rsidR="00C3374C" w:rsidRPr="0078696C">
        <w:rPr>
          <w:rFonts w:ascii="Times New Roman" w:eastAsia="Times New Roman" w:hAnsi="Times New Roman"/>
          <w:color w:val="000000"/>
          <w:sz w:val="28"/>
          <w:szCs w:val="28"/>
          <w:lang w:eastAsia="ru-RU"/>
        </w:rPr>
        <w:t xml:space="preserve">, в якому викласти умови призначення пенсій особам, які працювали або проживали на територіях радіоактивного забруднення, отримали інвалідність внаслідок ЧК чи втратили годувальника. Даний підрозділ варто викласти з урахуванням положень статей 49-27, 59-60 ЗУ </w:t>
      </w:r>
      <w:r w:rsidR="006673DC" w:rsidRPr="0078696C">
        <w:rPr>
          <w:rFonts w:ascii="Times New Roman" w:eastAsia="Times New Roman" w:hAnsi="Times New Roman"/>
          <w:color w:val="000000"/>
          <w:sz w:val="28"/>
          <w:szCs w:val="28"/>
          <w:lang w:eastAsia="ru-RU"/>
        </w:rPr>
        <w:t xml:space="preserve">«Про статус і соціальний захист громадян, які постраждали внаслідок Чорнобильської катастрофи». </w:t>
      </w:r>
    </w:p>
    <w:p w:rsidR="006673DC" w:rsidRPr="0078696C" w:rsidRDefault="006673DC" w:rsidP="00BE202E">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 Вважаємо за доцільне у даному підрозділі передбачити поступове збільшення необхідного страхового стажу для призначення пенсії з 15 до 25 років.</w:t>
      </w:r>
    </w:p>
    <w:p w:rsidR="009660FC" w:rsidRPr="0078696C" w:rsidRDefault="009660FC" w:rsidP="00BE202E">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Виплата таких пенсій повинна здійснюватися за кошти Державного бюджету, а не за рахунок надходжень до ПФУ, так як дана категорія пенсійних виплат не властива для видатків ПФУ.</w:t>
      </w:r>
    </w:p>
    <w:p w:rsidR="0074470E" w:rsidRPr="0078696C" w:rsidRDefault="0074470E" w:rsidP="00BE202E">
      <w:pPr>
        <w:numPr>
          <w:ilvl w:val="0"/>
          <w:numId w:val="38"/>
        </w:numPr>
        <w:spacing w:after="0" w:line="360" w:lineRule="auto"/>
        <w:ind w:left="0"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«Пенсійне забезпечення окремих категорій громадян», в якому об’єднати норми статей 17, 18 ЗУ «Про пенсійне забезпечення» та пунктів 1-3 ст. 115 Про «ЗДПС» та передбачити поступове підвищення необхідного страхового стажу для даних категорій осіб на 10 років.</w:t>
      </w:r>
    </w:p>
    <w:p w:rsidR="00147A08" w:rsidRPr="0078696C" w:rsidRDefault="00147A08" w:rsidP="00BE202E">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У розділі V «Пенсії за вислугу років у солідарній системі» пропонуємо </w:t>
      </w:r>
      <w:r w:rsidR="0074470E" w:rsidRPr="0078696C">
        <w:rPr>
          <w:rFonts w:ascii="Times New Roman" w:eastAsia="Times New Roman" w:hAnsi="Times New Roman"/>
          <w:color w:val="000000"/>
          <w:sz w:val="28"/>
          <w:szCs w:val="28"/>
          <w:lang w:eastAsia="ru-RU"/>
        </w:rPr>
        <w:t>зазначити</w:t>
      </w:r>
      <w:r w:rsidRPr="0078696C">
        <w:rPr>
          <w:rFonts w:ascii="Times New Roman" w:eastAsia="Times New Roman" w:hAnsi="Times New Roman"/>
          <w:color w:val="000000"/>
          <w:sz w:val="28"/>
          <w:szCs w:val="28"/>
          <w:lang w:eastAsia="ru-RU"/>
        </w:rPr>
        <w:t xml:space="preserve"> наступні підрозділи:</w:t>
      </w:r>
    </w:p>
    <w:p w:rsidR="004D3A92" w:rsidRPr="0078696C" w:rsidRDefault="004D3A92" w:rsidP="00BE202E">
      <w:pPr>
        <w:numPr>
          <w:ilvl w:val="0"/>
          <w:numId w:val="39"/>
        </w:numPr>
        <w:spacing w:after="0" w:line="360" w:lineRule="auto"/>
        <w:ind w:left="0"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«Пенсійне забезпечення осіб</w:t>
      </w:r>
      <w:r w:rsidR="009953B9">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авіації і льотно-випробного складу» викласти в редакції ст. 54 ЗУ «Про пенсійне забезпечення», з урахуванням рішення Конституційного Суду № 2-р/2019 від 04.06.2019. </w:t>
      </w:r>
    </w:p>
    <w:p w:rsidR="004D3A92" w:rsidRPr="0078696C" w:rsidRDefault="004D3A92" w:rsidP="00BE202E">
      <w:pPr>
        <w:numPr>
          <w:ilvl w:val="0"/>
          <w:numId w:val="39"/>
        </w:numPr>
        <w:spacing w:after="0" w:line="360" w:lineRule="auto"/>
        <w:ind w:left="0"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«Пенсійне забезпечення окремих категорій працівників інших галузей народного господарства, які мають право на пенсію за вислугу років» викласти в редакції ст. 55 ЗУ «Про пенсійне забезпечення», з урахуванням рішення Конституційного Суду № 2-р/2019 від 04.06.2019.</w:t>
      </w:r>
    </w:p>
    <w:p w:rsidR="000D6066" w:rsidRPr="0078696C" w:rsidRDefault="000D6066"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VІ</w:t>
      </w:r>
      <w:r w:rsidR="00BE202E"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Пенсії по інвалідності у солідарній системі</w:t>
      </w:r>
      <w:r w:rsidR="00BE202E" w:rsidRPr="0078696C">
        <w:rPr>
          <w:rFonts w:ascii="Times New Roman" w:eastAsia="Times New Roman" w:hAnsi="Times New Roman"/>
          <w:color w:val="000000"/>
          <w:sz w:val="28"/>
          <w:szCs w:val="28"/>
          <w:lang w:eastAsia="ru-RU"/>
        </w:rPr>
        <w:t xml:space="preserve">» </w:t>
      </w:r>
      <w:r w:rsidR="00D66DC1" w:rsidRPr="0078696C">
        <w:rPr>
          <w:rFonts w:ascii="Times New Roman" w:eastAsia="Times New Roman" w:hAnsi="Times New Roman"/>
          <w:color w:val="000000"/>
          <w:sz w:val="28"/>
          <w:szCs w:val="28"/>
          <w:lang w:eastAsia="ru-RU"/>
        </w:rPr>
        <w:t>викласти на основі розділу ІV ЗУ «Про загальнообов’язкове державне пенсійне страхування», з внесенням відповідних змін в частині необхідного страхового стажу для призначення пенсії, так як окремі положення ст. 32 ЗУ «Про загальнообов’язкове державне пенсійне страхування» щодо віку настання інвалідності та необхідного на цей час страхового стажу є непропорційними щодо інших норм пенсійного законодавства щодо віку та стажу.</w:t>
      </w:r>
    </w:p>
    <w:p w:rsidR="00D66DC1" w:rsidRPr="0078696C" w:rsidRDefault="00D66DC1"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Пропонуємо встановити наступні вимоги щодо страхового стажу:</w:t>
      </w:r>
    </w:p>
    <w:p w:rsidR="00D66DC1" w:rsidRPr="0078696C" w:rsidRDefault="00D66DC1" w:rsidP="00304244">
      <w:pPr>
        <w:spacing w:after="0" w:line="360" w:lineRule="auto"/>
        <w:ind w:left="851"/>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для осіб з інвалідністю І групи: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до досягнення особою 25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1 рік;</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 26 років до досягнення особою 27 років включно</w:t>
      </w:r>
      <w:r w:rsidR="00056998" w:rsidRPr="0078696C">
        <w:rPr>
          <w:rFonts w:ascii="Times New Roman" w:eastAsia="Times New Roman" w:hAnsi="Times New Roman"/>
          <w:color w:val="000000"/>
          <w:sz w:val="28"/>
          <w:szCs w:val="28"/>
          <w:lang w:eastAsia="ru-RU"/>
        </w:rPr>
        <w:t xml:space="preserve"> – </w:t>
      </w:r>
      <w:r w:rsidRPr="0078696C">
        <w:rPr>
          <w:rFonts w:ascii="Times New Roman" w:eastAsia="Times New Roman" w:hAnsi="Times New Roman"/>
          <w:color w:val="000000"/>
          <w:sz w:val="28"/>
          <w:szCs w:val="28"/>
          <w:lang w:eastAsia="ru-RU"/>
        </w:rPr>
        <w:t>2 роки;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 28 років до досягнення особою 29 років включно</w:t>
      </w:r>
      <w:r w:rsidR="00056998" w:rsidRPr="0078696C">
        <w:rPr>
          <w:rFonts w:ascii="Times New Roman" w:eastAsia="Times New Roman" w:hAnsi="Times New Roman"/>
          <w:color w:val="000000"/>
          <w:sz w:val="28"/>
          <w:szCs w:val="28"/>
          <w:lang w:eastAsia="ru-RU"/>
        </w:rPr>
        <w:t xml:space="preserve"> – </w:t>
      </w:r>
      <w:r w:rsidRPr="0078696C">
        <w:rPr>
          <w:rFonts w:ascii="Times New Roman" w:eastAsia="Times New Roman" w:hAnsi="Times New Roman"/>
          <w:color w:val="000000"/>
          <w:sz w:val="28"/>
          <w:szCs w:val="28"/>
          <w:lang w:eastAsia="ru-RU"/>
        </w:rPr>
        <w:t>3 роки;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30 років до досягнення особою 31 років включно </w:t>
      </w:r>
      <w:r w:rsidR="00056998"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4 роки;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32 років до досягнення особою 33 років включно </w:t>
      </w:r>
      <w:r w:rsidR="00056998"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5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 xml:space="preserve">від 34 років до досягнення особою 35 років включно </w:t>
      </w:r>
      <w:r w:rsidR="00056998"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6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36 років до досягнення особою 37 років включно </w:t>
      </w:r>
      <w:r w:rsidR="00056998"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7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38 років до досягнення особою 39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8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40 років до досягнення особою 41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9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42 років до досягнення особою 43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10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43 років до досягнення особою 44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11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44 років до досягнення особою 45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12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45 років до досягнення особою 46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13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47 років до досягнення особою 48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14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49 років до досягнення особою 50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15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51 років до досягнення особою 52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16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53 років до досягнення особою 54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 xml:space="preserve"> 17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55 років до досягнення особою 56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18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57 років до досягнення особою 59 років включно </w:t>
      </w:r>
      <w:r w:rsidR="00056998"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19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для осіб з інвалідністю II та III груп:</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до досягнення особою 23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1 рік;</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 24 років до досягнення особою 2</w:t>
      </w:r>
      <w:r w:rsidR="00F35156" w:rsidRPr="0078696C">
        <w:rPr>
          <w:rFonts w:ascii="Times New Roman" w:eastAsia="Times New Roman" w:hAnsi="Times New Roman"/>
          <w:color w:val="000000"/>
          <w:sz w:val="28"/>
          <w:szCs w:val="28"/>
          <w:lang w:eastAsia="ru-RU"/>
        </w:rPr>
        <w:t>5</w:t>
      </w:r>
      <w:r w:rsidRPr="0078696C">
        <w:rPr>
          <w:rFonts w:ascii="Times New Roman" w:eastAsia="Times New Roman" w:hAnsi="Times New Roman"/>
          <w:color w:val="000000"/>
          <w:sz w:val="28"/>
          <w:szCs w:val="28"/>
          <w:lang w:eastAsia="ru-RU"/>
        </w:rPr>
        <w:t xml:space="preserve">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2 роки;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 2</w:t>
      </w:r>
      <w:r w:rsidR="00F35156" w:rsidRPr="0078696C">
        <w:rPr>
          <w:rFonts w:ascii="Times New Roman" w:eastAsia="Times New Roman" w:hAnsi="Times New Roman"/>
          <w:color w:val="000000"/>
          <w:sz w:val="28"/>
          <w:szCs w:val="28"/>
          <w:lang w:eastAsia="ru-RU"/>
        </w:rPr>
        <w:t>6</w:t>
      </w:r>
      <w:r w:rsidRPr="0078696C">
        <w:rPr>
          <w:rFonts w:ascii="Times New Roman" w:eastAsia="Times New Roman" w:hAnsi="Times New Roman"/>
          <w:color w:val="000000"/>
          <w:sz w:val="28"/>
          <w:szCs w:val="28"/>
          <w:lang w:eastAsia="ru-RU"/>
        </w:rPr>
        <w:t xml:space="preserve"> років до досягнення особою 2</w:t>
      </w:r>
      <w:r w:rsidR="00F35156" w:rsidRPr="0078696C">
        <w:rPr>
          <w:rFonts w:ascii="Times New Roman" w:eastAsia="Times New Roman" w:hAnsi="Times New Roman"/>
          <w:color w:val="000000"/>
          <w:sz w:val="28"/>
          <w:szCs w:val="28"/>
          <w:lang w:eastAsia="ru-RU"/>
        </w:rPr>
        <w:t>7</w:t>
      </w:r>
      <w:r w:rsidRPr="0078696C">
        <w:rPr>
          <w:rFonts w:ascii="Times New Roman" w:eastAsia="Times New Roman" w:hAnsi="Times New Roman"/>
          <w:color w:val="000000"/>
          <w:sz w:val="28"/>
          <w:szCs w:val="28"/>
          <w:lang w:eastAsia="ru-RU"/>
        </w:rPr>
        <w:t xml:space="preserve"> років включно </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3 роки;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 2</w:t>
      </w:r>
      <w:r w:rsidR="00F35156" w:rsidRPr="0078696C">
        <w:rPr>
          <w:rFonts w:ascii="Times New Roman" w:eastAsia="Times New Roman" w:hAnsi="Times New Roman"/>
          <w:color w:val="000000"/>
          <w:sz w:val="28"/>
          <w:szCs w:val="28"/>
          <w:lang w:eastAsia="ru-RU"/>
        </w:rPr>
        <w:t>8</w:t>
      </w:r>
      <w:r w:rsidRPr="0078696C">
        <w:rPr>
          <w:rFonts w:ascii="Times New Roman" w:eastAsia="Times New Roman" w:hAnsi="Times New Roman"/>
          <w:color w:val="000000"/>
          <w:sz w:val="28"/>
          <w:szCs w:val="28"/>
          <w:lang w:eastAsia="ru-RU"/>
        </w:rPr>
        <w:t xml:space="preserve"> років до досягнення особою </w:t>
      </w:r>
      <w:r w:rsidR="00F35156" w:rsidRPr="0078696C">
        <w:rPr>
          <w:rFonts w:ascii="Times New Roman" w:eastAsia="Times New Roman" w:hAnsi="Times New Roman"/>
          <w:color w:val="000000"/>
          <w:sz w:val="28"/>
          <w:szCs w:val="28"/>
          <w:lang w:eastAsia="ru-RU"/>
        </w:rPr>
        <w:t>29</w:t>
      </w:r>
      <w:r w:rsidRPr="0078696C">
        <w:rPr>
          <w:rFonts w:ascii="Times New Roman" w:eastAsia="Times New Roman" w:hAnsi="Times New Roman"/>
          <w:color w:val="000000"/>
          <w:sz w:val="28"/>
          <w:szCs w:val="28"/>
          <w:lang w:eastAsia="ru-RU"/>
        </w:rPr>
        <w:t xml:space="preserve"> року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5</w:t>
      </w:r>
      <w:r w:rsidRPr="0078696C">
        <w:rPr>
          <w:rFonts w:ascii="Times New Roman" w:eastAsia="Times New Roman" w:hAnsi="Times New Roman"/>
          <w:color w:val="000000"/>
          <w:sz w:val="28"/>
          <w:szCs w:val="28"/>
          <w:lang w:eastAsia="ru-RU"/>
        </w:rPr>
        <w:t xml:space="preserve"> роки;</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w:t>
      </w:r>
      <w:r w:rsidR="00F35156" w:rsidRPr="0078696C">
        <w:rPr>
          <w:rFonts w:ascii="Times New Roman" w:eastAsia="Times New Roman" w:hAnsi="Times New Roman"/>
          <w:color w:val="000000"/>
          <w:sz w:val="28"/>
          <w:szCs w:val="28"/>
          <w:lang w:eastAsia="ru-RU"/>
        </w:rPr>
        <w:t>30</w:t>
      </w:r>
      <w:r w:rsidRPr="0078696C">
        <w:rPr>
          <w:rFonts w:ascii="Times New Roman" w:eastAsia="Times New Roman" w:hAnsi="Times New Roman"/>
          <w:color w:val="000000"/>
          <w:sz w:val="28"/>
          <w:szCs w:val="28"/>
          <w:lang w:eastAsia="ru-RU"/>
        </w:rPr>
        <w:t xml:space="preserve"> років до досягнення осо</w:t>
      </w:r>
      <w:r w:rsidR="00F35156" w:rsidRPr="0078696C">
        <w:rPr>
          <w:rFonts w:ascii="Times New Roman" w:eastAsia="Times New Roman" w:hAnsi="Times New Roman"/>
          <w:color w:val="000000"/>
          <w:sz w:val="28"/>
          <w:szCs w:val="28"/>
          <w:lang w:eastAsia="ru-RU"/>
        </w:rPr>
        <w:t>бою 31</w:t>
      </w:r>
      <w:r w:rsidRPr="0078696C">
        <w:rPr>
          <w:rFonts w:ascii="Times New Roman" w:eastAsia="Times New Roman" w:hAnsi="Times New Roman"/>
          <w:color w:val="000000"/>
          <w:sz w:val="28"/>
          <w:szCs w:val="28"/>
          <w:lang w:eastAsia="ru-RU"/>
        </w:rPr>
        <w:t xml:space="preserve"> рок</w:t>
      </w:r>
      <w:r w:rsidR="00F35156" w:rsidRPr="0078696C">
        <w:rPr>
          <w:rFonts w:ascii="Times New Roman" w:eastAsia="Times New Roman" w:hAnsi="Times New Roman"/>
          <w:color w:val="000000"/>
          <w:sz w:val="28"/>
          <w:szCs w:val="28"/>
          <w:lang w:eastAsia="ru-RU"/>
        </w:rPr>
        <w:t>у</w:t>
      </w:r>
      <w:r w:rsidRPr="0078696C">
        <w:rPr>
          <w:rFonts w:ascii="Times New Roman" w:eastAsia="Times New Roman" w:hAnsi="Times New Roman"/>
          <w:color w:val="000000"/>
          <w:sz w:val="28"/>
          <w:szCs w:val="28"/>
          <w:lang w:eastAsia="ru-RU"/>
        </w:rPr>
        <w:t xml:space="preserve">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7</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від 34 років до досягнення осо</w:t>
      </w:r>
      <w:r w:rsidR="007B183A" w:rsidRPr="0078696C">
        <w:rPr>
          <w:rFonts w:ascii="Times New Roman" w:eastAsia="Times New Roman" w:hAnsi="Times New Roman"/>
          <w:color w:val="000000"/>
          <w:sz w:val="28"/>
          <w:szCs w:val="28"/>
          <w:lang w:eastAsia="ru-RU"/>
        </w:rPr>
        <w:t xml:space="preserve">бою 35 років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 xml:space="preserve"> 9</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36 років до досягнення особою 37 років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11</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38 років до досягнення особою 39 років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13</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40 років до досягнення особою 42 років включно </w:t>
      </w:r>
      <w:r w:rsidR="00056998" w:rsidRPr="0078696C">
        <w:rPr>
          <w:rFonts w:ascii="Times New Roman" w:eastAsia="Times New Roman" w:hAnsi="Times New Roman"/>
          <w:color w:val="000000"/>
          <w:sz w:val="28"/>
          <w:szCs w:val="28"/>
          <w:lang w:eastAsia="ru-RU"/>
        </w:rPr>
        <w:t xml:space="preserve">– </w:t>
      </w:r>
      <w:r w:rsidR="007B183A" w:rsidRPr="0078696C">
        <w:rPr>
          <w:rFonts w:ascii="Times New Roman" w:eastAsia="Times New Roman" w:hAnsi="Times New Roman"/>
          <w:color w:val="000000"/>
          <w:sz w:val="28"/>
          <w:szCs w:val="28"/>
          <w:lang w:eastAsia="ru-RU"/>
        </w:rPr>
        <w:t>15</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43 років до досягнення особою 45 років включно </w:t>
      </w:r>
      <w:r w:rsidR="00056998"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 xml:space="preserve"> 1</w:t>
      </w:r>
      <w:r w:rsidR="007B183A" w:rsidRPr="0078696C">
        <w:rPr>
          <w:rFonts w:ascii="Times New Roman" w:eastAsia="Times New Roman" w:hAnsi="Times New Roman"/>
          <w:color w:val="000000"/>
          <w:sz w:val="28"/>
          <w:szCs w:val="28"/>
          <w:lang w:eastAsia="ru-RU"/>
        </w:rPr>
        <w:t>7</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46 років до досягнення особою 48 років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19</w:t>
      </w:r>
      <w:r w:rsidRPr="0078696C">
        <w:rPr>
          <w:rFonts w:ascii="Times New Roman" w:eastAsia="Times New Roman" w:hAnsi="Times New Roman"/>
          <w:color w:val="000000"/>
          <w:sz w:val="28"/>
          <w:szCs w:val="28"/>
          <w:lang w:eastAsia="ru-RU"/>
        </w:rPr>
        <w:t xml:space="preserve"> років;</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49 років до досягнення особою 51 року включно </w:t>
      </w:r>
      <w:r w:rsidR="00056998" w:rsidRPr="0078696C">
        <w:rPr>
          <w:rFonts w:ascii="Times New Roman" w:eastAsia="Times New Roman" w:hAnsi="Times New Roman"/>
          <w:color w:val="000000"/>
          <w:sz w:val="28"/>
          <w:szCs w:val="28"/>
          <w:lang w:eastAsia="ru-RU"/>
        </w:rPr>
        <w:t xml:space="preserve">– </w:t>
      </w:r>
      <w:r w:rsidR="007B183A" w:rsidRPr="0078696C">
        <w:rPr>
          <w:rFonts w:ascii="Times New Roman" w:eastAsia="Times New Roman" w:hAnsi="Times New Roman"/>
          <w:color w:val="000000"/>
          <w:sz w:val="28"/>
          <w:szCs w:val="28"/>
          <w:lang w:eastAsia="ru-RU"/>
        </w:rPr>
        <w:t>21</w:t>
      </w:r>
      <w:r w:rsidR="00056998" w:rsidRPr="0078696C">
        <w:rPr>
          <w:rFonts w:ascii="Times New Roman" w:eastAsia="Times New Roman" w:hAnsi="Times New Roman"/>
          <w:color w:val="000000"/>
          <w:sz w:val="28"/>
          <w:szCs w:val="28"/>
          <w:lang w:eastAsia="ru-RU"/>
        </w:rPr>
        <w:t>рік</w:t>
      </w:r>
      <w:r w:rsidRPr="0078696C">
        <w:rPr>
          <w:rFonts w:ascii="Times New Roman" w:eastAsia="Times New Roman" w:hAnsi="Times New Roman"/>
          <w:color w:val="000000"/>
          <w:sz w:val="28"/>
          <w:szCs w:val="28"/>
          <w:lang w:eastAsia="ru-RU"/>
        </w:rPr>
        <w:t>;</w:t>
      </w:r>
    </w:p>
    <w:p w:rsidR="00D66DC1" w:rsidRPr="0078696C" w:rsidRDefault="00D66DC1" w:rsidP="00D66DC1">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52 років до досягнення особою 55 років включно </w:t>
      </w:r>
      <w:r w:rsidR="00056998" w:rsidRPr="0078696C">
        <w:rPr>
          <w:rFonts w:ascii="Times New Roman" w:eastAsia="Times New Roman" w:hAnsi="Times New Roman"/>
          <w:color w:val="000000"/>
          <w:sz w:val="28"/>
          <w:szCs w:val="28"/>
          <w:lang w:eastAsia="ru-RU"/>
        </w:rPr>
        <w:t>–</w:t>
      </w:r>
      <w:r w:rsidR="007B183A" w:rsidRPr="0078696C">
        <w:rPr>
          <w:rFonts w:ascii="Times New Roman" w:eastAsia="Times New Roman" w:hAnsi="Times New Roman"/>
          <w:color w:val="000000"/>
          <w:sz w:val="28"/>
          <w:szCs w:val="28"/>
          <w:lang w:eastAsia="ru-RU"/>
        </w:rPr>
        <w:t>23 роки</w:t>
      </w:r>
      <w:r w:rsidRPr="0078696C">
        <w:rPr>
          <w:rFonts w:ascii="Times New Roman" w:eastAsia="Times New Roman" w:hAnsi="Times New Roman"/>
          <w:color w:val="000000"/>
          <w:sz w:val="28"/>
          <w:szCs w:val="28"/>
          <w:lang w:eastAsia="ru-RU"/>
        </w:rPr>
        <w:t>;</w:t>
      </w:r>
    </w:p>
    <w:p w:rsidR="00D66DC1" w:rsidRPr="0078696C" w:rsidRDefault="00D66DC1" w:rsidP="007B183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від 56 років до досягнення особою 59 років включно </w:t>
      </w:r>
      <w:r w:rsidR="00056998" w:rsidRPr="0078696C">
        <w:rPr>
          <w:rFonts w:ascii="Times New Roman" w:eastAsia="Times New Roman" w:hAnsi="Times New Roman"/>
          <w:color w:val="000000"/>
          <w:sz w:val="28"/>
          <w:szCs w:val="28"/>
          <w:lang w:eastAsia="ru-RU"/>
        </w:rPr>
        <w:t>–</w:t>
      </w:r>
      <w:r w:rsidR="00F35156" w:rsidRPr="0078696C">
        <w:rPr>
          <w:rFonts w:ascii="Times New Roman" w:eastAsia="Times New Roman" w:hAnsi="Times New Roman"/>
          <w:color w:val="000000"/>
          <w:sz w:val="28"/>
          <w:szCs w:val="28"/>
          <w:lang w:eastAsia="ru-RU"/>
        </w:rPr>
        <w:t>25</w:t>
      </w:r>
      <w:r w:rsidRPr="0078696C">
        <w:rPr>
          <w:rFonts w:ascii="Times New Roman" w:eastAsia="Times New Roman" w:hAnsi="Times New Roman"/>
          <w:color w:val="000000"/>
          <w:sz w:val="28"/>
          <w:szCs w:val="28"/>
          <w:lang w:eastAsia="ru-RU"/>
        </w:rPr>
        <w:t xml:space="preserve"> років.</w:t>
      </w:r>
    </w:p>
    <w:p w:rsidR="00B87E12" w:rsidRPr="0078696C" w:rsidRDefault="000D6066" w:rsidP="00B87E12">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lastRenderedPageBreak/>
        <w:t>Розділ VІ</w:t>
      </w:r>
      <w:r w:rsidR="00B87E12" w:rsidRPr="0078696C">
        <w:rPr>
          <w:rFonts w:ascii="Times New Roman" w:eastAsia="Times New Roman" w:hAnsi="Times New Roman"/>
          <w:color w:val="000000"/>
          <w:sz w:val="28"/>
          <w:szCs w:val="28"/>
          <w:lang w:eastAsia="ru-RU"/>
        </w:rPr>
        <w:t>І «</w:t>
      </w:r>
      <w:r w:rsidRPr="0078696C">
        <w:rPr>
          <w:rFonts w:ascii="Times New Roman" w:eastAsia="Times New Roman" w:hAnsi="Times New Roman"/>
          <w:color w:val="000000"/>
          <w:sz w:val="28"/>
          <w:szCs w:val="28"/>
          <w:lang w:eastAsia="ru-RU"/>
        </w:rPr>
        <w:t>Пенсії у зв'язку з втратою годувальника в солідарній системі</w:t>
      </w:r>
      <w:r w:rsidR="00B87E12" w:rsidRPr="0078696C">
        <w:rPr>
          <w:rFonts w:ascii="Times New Roman" w:eastAsia="Times New Roman" w:hAnsi="Times New Roman"/>
          <w:color w:val="000000"/>
          <w:sz w:val="28"/>
          <w:szCs w:val="28"/>
          <w:lang w:eastAsia="ru-RU"/>
        </w:rPr>
        <w:t>» пропонуємо викласти в редакції розділу V ЗУ «Про загальнообов’язкове державне пенсійне страхування» з урахуванням наших пропозицій щодо страхового стажу, необхідного для призначення пенсії по III групі інвалідності</w:t>
      </w:r>
      <w:r w:rsidRPr="0078696C">
        <w:rPr>
          <w:rFonts w:ascii="Times New Roman" w:eastAsia="Times New Roman" w:hAnsi="Times New Roman"/>
          <w:color w:val="000000"/>
          <w:sz w:val="28"/>
          <w:szCs w:val="28"/>
          <w:lang w:eastAsia="ru-RU"/>
        </w:rPr>
        <w:t>.</w:t>
      </w:r>
    </w:p>
    <w:p w:rsidR="000D6066" w:rsidRPr="0078696C" w:rsidRDefault="000D6066"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w:t>
      </w:r>
      <w:r w:rsidR="00B87E12" w:rsidRPr="0078696C">
        <w:rPr>
          <w:rFonts w:ascii="Times New Roman" w:eastAsia="Times New Roman" w:hAnsi="Times New Roman"/>
          <w:color w:val="000000"/>
          <w:sz w:val="28"/>
          <w:szCs w:val="28"/>
          <w:lang w:eastAsia="ru-RU"/>
        </w:rPr>
        <w:t xml:space="preserve"> VІІІ «</w:t>
      </w:r>
      <w:r w:rsidRPr="0078696C">
        <w:rPr>
          <w:rFonts w:ascii="Times New Roman" w:eastAsia="Times New Roman" w:hAnsi="Times New Roman"/>
          <w:color w:val="000000"/>
          <w:sz w:val="28"/>
          <w:szCs w:val="28"/>
          <w:lang w:eastAsia="ru-RU"/>
        </w:rPr>
        <w:t>Пенсійне забезпечення осіб, звільнених з військової служби, та деяких інших осіб</w:t>
      </w:r>
      <w:r w:rsidR="00B87E12" w:rsidRPr="0078696C">
        <w:rPr>
          <w:rFonts w:ascii="Times New Roman" w:eastAsia="Times New Roman" w:hAnsi="Times New Roman"/>
          <w:color w:val="000000"/>
          <w:sz w:val="28"/>
          <w:szCs w:val="28"/>
          <w:lang w:eastAsia="ru-RU"/>
        </w:rPr>
        <w:t>»</w:t>
      </w:r>
      <w:r w:rsidR="00991801" w:rsidRPr="0078696C">
        <w:rPr>
          <w:rFonts w:ascii="Times New Roman" w:hAnsi="Times New Roman"/>
          <w:color w:val="000000"/>
          <w:sz w:val="28"/>
          <w:szCs w:val="28"/>
        </w:rPr>
        <w:t xml:space="preserve"> викласти на основі ЗУ «</w:t>
      </w:r>
      <w:r w:rsidR="00991801" w:rsidRPr="0078696C">
        <w:rPr>
          <w:rFonts w:ascii="Times New Roman" w:eastAsia="Times New Roman" w:hAnsi="Times New Roman"/>
          <w:color w:val="000000"/>
          <w:sz w:val="28"/>
          <w:szCs w:val="28"/>
          <w:lang w:eastAsia="ru-RU"/>
        </w:rPr>
        <w:t>Про пенсійне забезпечення осіб, звільнених з військової служби, та деяких інших осіб»</w:t>
      </w:r>
      <w:r w:rsidRPr="0078696C">
        <w:rPr>
          <w:rFonts w:ascii="Times New Roman" w:eastAsia="Times New Roman" w:hAnsi="Times New Roman"/>
          <w:color w:val="000000"/>
          <w:sz w:val="28"/>
          <w:szCs w:val="28"/>
          <w:lang w:eastAsia="ru-RU"/>
        </w:rPr>
        <w:t>.</w:t>
      </w:r>
    </w:p>
    <w:p w:rsidR="00FF42AE" w:rsidRPr="0078696C" w:rsidRDefault="003116CA" w:rsidP="003A23F6">
      <w:pPr>
        <w:spacing w:after="0" w:line="360" w:lineRule="auto"/>
        <w:ind w:firstLine="709"/>
        <w:jc w:val="both"/>
        <w:rPr>
          <w:rFonts w:ascii="Times New Roman" w:eastAsia="Times New Roman" w:hAnsi="Times New Roman"/>
          <w:color w:val="000000"/>
          <w:sz w:val="28"/>
          <w:szCs w:val="28"/>
          <w:lang w:eastAsia="uk-UA"/>
        </w:rPr>
      </w:pPr>
      <w:r w:rsidRPr="0078696C">
        <w:rPr>
          <w:rFonts w:ascii="Times New Roman" w:eastAsia="Times New Roman" w:hAnsi="Times New Roman"/>
          <w:color w:val="000000"/>
          <w:sz w:val="28"/>
          <w:szCs w:val="28"/>
          <w:lang w:eastAsia="ru-RU"/>
        </w:rPr>
        <w:t>В р</w:t>
      </w:r>
      <w:r w:rsidR="000D6066" w:rsidRPr="0078696C">
        <w:rPr>
          <w:rFonts w:ascii="Times New Roman" w:eastAsia="Times New Roman" w:hAnsi="Times New Roman"/>
          <w:color w:val="000000"/>
          <w:sz w:val="28"/>
          <w:szCs w:val="28"/>
          <w:lang w:eastAsia="ru-RU"/>
        </w:rPr>
        <w:t>озділ</w:t>
      </w:r>
      <w:r w:rsidRPr="0078696C">
        <w:rPr>
          <w:rFonts w:ascii="Times New Roman" w:eastAsia="Times New Roman" w:hAnsi="Times New Roman"/>
          <w:color w:val="000000"/>
          <w:sz w:val="28"/>
          <w:szCs w:val="28"/>
          <w:lang w:eastAsia="ru-RU"/>
        </w:rPr>
        <w:t>і</w:t>
      </w:r>
      <w:r w:rsidR="000D6066" w:rsidRPr="0078696C">
        <w:rPr>
          <w:rFonts w:ascii="Times New Roman" w:eastAsia="Times New Roman" w:hAnsi="Times New Roman"/>
          <w:color w:val="000000"/>
          <w:sz w:val="28"/>
          <w:szCs w:val="28"/>
          <w:lang w:eastAsia="ru-RU"/>
        </w:rPr>
        <w:t xml:space="preserve"> ІХ </w:t>
      </w:r>
      <w:r w:rsidRPr="0078696C">
        <w:rPr>
          <w:rFonts w:ascii="Times New Roman" w:eastAsia="Times New Roman" w:hAnsi="Times New Roman"/>
          <w:color w:val="000000"/>
          <w:sz w:val="28"/>
          <w:szCs w:val="28"/>
          <w:lang w:eastAsia="ru-RU"/>
        </w:rPr>
        <w:t>«</w:t>
      </w:r>
      <w:r w:rsidR="000D6066" w:rsidRPr="0078696C">
        <w:rPr>
          <w:rFonts w:ascii="Times New Roman" w:eastAsia="Times New Roman" w:hAnsi="Times New Roman"/>
          <w:color w:val="000000"/>
          <w:sz w:val="28"/>
          <w:szCs w:val="28"/>
          <w:lang w:eastAsia="ru-RU"/>
        </w:rPr>
        <w:t>Надбавки та підвищення пенсій для окремих категорій громадян</w:t>
      </w:r>
      <w:r w:rsidRPr="0078696C">
        <w:rPr>
          <w:rFonts w:ascii="Times New Roman" w:eastAsia="Times New Roman" w:hAnsi="Times New Roman"/>
          <w:color w:val="000000"/>
          <w:sz w:val="28"/>
          <w:szCs w:val="28"/>
          <w:lang w:eastAsia="ru-RU"/>
        </w:rPr>
        <w:t xml:space="preserve">» пропонуємо викласти </w:t>
      </w:r>
      <w:r w:rsidR="00171825" w:rsidRPr="0078696C">
        <w:rPr>
          <w:rFonts w:ascii="Times New Roman" w:eastAsia="Times New Roman" w:hAnsi="Times New Roman"/>
          <w:color w:val="000000"/>
          <w:sz w:val="28"/>
          <w:szCs w:val="28"/>
          <w:lang w:eastAsia="ru-RU"/>
        </w:rPr>
        <w:t xml:space="preserve">на основі норм законів України </w:t>
      </w:r>
      <w:r w:rsidR="00FF42AE" w:rsidRPr="0078696C">
        <w:rPr>
          <w:rFonts w:ascii="Times New Roman" w:eastAsia="Times New Roman" w:hAnsi="Times New Roman"/>
          <w:color w:val="000000"/>
          <w:sz w:val="28"/>
          <w:szCs w:val="28"/>
          <w:lang w:eastAsia="uk-UA"/>
        </w:rPr>
        <w:t>«Про статус ветеранів війни, гарантії їх соціального захисту»,</w:t>
      </w:r>
      <w:r w:rsidR="00171825" w:rsidRPr="0078696C">
        <w:rPr>
          <w:rFonts w:ascii="Times New Roman" w:eastAsia="Times New Roman" w:hAnsi="Times New Roman"/>
          <w:color w:val="000000"/>
          <w:sz w:val="28"/>
          <w:szCs w:val="28"/>
          <w:lang w:eastAsia="uk-UA"/>
        </w:rPr>
        <w:t>«Про основні засади соціального захисту ветеранів праці та інших громадян похилого віку в Україні», «Про донорство крові та її компонентів», «Про статус гірських населених пунктів в Україні»</w:t>
      </w:r>
      <w:r w:rsidR="00F64F44" w:rsidRPr="0078696C">
        <w:rPr>
          <w:rFonts w:ascii="Times New Roman" w:eastAsia="Times New Roman" w:hAnsi="Times New Roman"/>
          <w:color w:val="000000"/>
          <w:sz w:val="28"/>
          <w:szCs w:val="28"/>
          <w:lang w:eastAsia="uk-UA"/>
        </w:rPr>
        <w:t>, «Про пенсії за особливі заслуги перед Україною»</w:t>
      </w:r>
      <w:r w:rsidR="00F64F44" w:rsidRPr="0078696C">
        <w:rPr>
          <w:rFonts w:ascii="Times New Roman" w:hAnsi="Times New Roman"/>
          <w:color w:val="000000"/>
          <w:sz w:val="28"/>
          <w:szCs w:val="28"/>
        </w:rPr>
        <w:t xml:space="preserve"> «</w:t>
      </w:r>
      <w:r w:rsidR="00F64F44" w:rsidRPr="0078696C">
        <w:rPr>
          <w:rFonts w:ascii="Times New Roman" w:eastAsia="Times New Roman" w:hAnsi="Times New Roman"/>
          <w:color w:val="000000"/>
          <w:sz w:val="28"/>
          <w:szCs w:val="28"/>
          <w:lang w:eastAsia="uk-UA"/>
        </w:rPr>
        <w:t>Про соціальний захист дітей війни».</w:t>
      </w:r>
    </w:p>
    <w:p w:rsidR="000D6066" w:rsidRPr="0078696C" w:rsidRDefault="000D6066"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Розділ Х </w:t>
      </w:r>
      <w:r w:rsidR="00A42CFA" w:rsidRPr="0078696C">
        <w:rPr>
          <w:rFonts w:ascii="Times New Roman" w:eastAsia="Times New Roman" w:hAnsi="Times New Roman"/>
          <w:color w:val="000000"/>
          <w:sz w:val="28"/>
          <w:szCs w:val="28"/>
          <w:lang w:eastAsia="ru-RU"/>
        </w:rPr>
        <w:t>«</w:t>
      </w:r>
      <w:r w:rsidRPr="0078696C">
        <w:rPr>
          <w:rFonts w:ascii="Times New Roman" w:eastAsia="Times New Roman" w:hAnsi="Times New Roman"/>
          <w:color w:val="000000"/>
          <w:sz w:val="28"/>
          <w:szCs w:val="28"/>
          <w:lang w:eastAsia="ru-RU"/>
        </w:rPr>
        <w:t>Порядок призначення</w:t>
      </w:r>
      <w:r w:rsidR="00A42CFA" w:rsidRPr="0078696C">
        <w:rPr>
          <w:rFonts w:ascii="Times New Roman" w:eastAsia="Times New Roman" w:hAnsi="Times New Roman"/>
          <w:color w:val="000000"/>
          <w:sz w:val="28"/>
          <w:szCs w:val="28"/>
          <w:lang w:eastAsia="ru-RU"/>
        </w:rPr>
        <w:t>, перерахунку</w:t>
      </w:r>
      <w:r w:rsidRPr="0078696C">
        <w:rPr>
          <w:rFonts w:ascii="Times New Roman" w:eastAsia="Times New Roman" w:hAnsi="Times New Roman"/>
          <w:color w:val="000000"/>
          <w:sz w:val="28"/>
          <w:szCs w:val="28"/>
          <w:lang w:eastAsia="ru-RU"/>
        </w:rPr>
        <w:t xml:space="preserve"> та випла</w:t>
      </w:r>
      <w:r w:rsidR="00A42CFA" w:rsidRPr="0078696C">
        <w:rPr>
          <w:rFonts w:ascii="Times New Roman" w:eastAsia="Times New Roman" w:hAnsi="Times New Roman"/>
          <w:color w:val="000000"/>
          <w:sz w:val="28"/>
          <w:szCs w:val="28"/>
          <w:lang w:eastAsia="ru-RU"/>
        </w:rPr>
        <w:t xml:space="preserve">ти пенсій» </w:t>
      </w:r>
      <w:r w:rsidR="00E82E97" w:rsidRPr="0078696C">
        <w:rPr>
          <w:rFonts w:ascii="Times New Roman" w:eastAsia="Times New Roman" w:hAnsi="Times New Roman"/>
          <w:color w:val="000000"/>
          <w:sz w:val="28"/>
          <w:szCs w:val="28"/>
          <w:lang w:eastAsia="ru-RU"/>
        </w:rPr>
        <w:t>вважаємо за доцільне викласти</w:t>
      </w:r>
      <w:r w:rsidR="00A42CFA" w:rsidRPr="0078696C">
        <w:rPr>
          <w:rFonts w:ascii="Times New Roman" w:eastAsia="Times New Roman" w:hAnsi="Times New Roman"/>
          <w:color w:val="000000"/>
          <w:sz w:val="28"/>
          <w:szCs w:val="28"/>
          <w:lang w:eastAsia="ru-RU"/>
        </w:rPr>
        <w:t xml:space="preserve"> на основі розділу VІ ЗУ «Про загальнообов’язкове державне пенсійне страхування».</w:t>
      </w:r>
    </w:p>
    <w:p w:rsidR="000D6066" w:rsidRPr="0078696C" w:rsidRDefault="00A42CFA"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Розділ ХІ</w:t>
      </w:r>
      <w:r w:rsidR="009953B9">
        <w:rPr>
          <w:rFonts w:ascii="Times New Roman" w:eastAsia="Times New Roman" w:hAnsi="Times New Roman"/>
          <w:color w:val="000000"/>
          <w:sz w:val="28"/>
          <w:szCs w:val="28"/>
          <w:lang w:eastAsia="ru-RU"/>
        </w:rPr>
        <w:t xml:space="preserve"> </w:t>
      </w:r>
      <w:r w:rsidR="003D1C4A" w:rsidRPr="0078696C">
        <w:rPr>
          <w:rFonts w:ascii="Times New Roman" w:eastAsia="Times New Roman" w:hAnsi="Times New Roman"/>
          <w:color w:val="000000"/>
          <w:sz w:val="28"/>
          <w:szCs w:val="28"/>
          <w:lang w:eastAsia="ru-RU"/>
        </w:rPr>
        <w:t>«</w:t>
      </w:r>
      <w:r w:rsidR="000D6066" w:rsidRPr="0078696C">
        <w:rPr>
          <w:rFonts w:ascii="Times New Roman" w:eastAsia="Times New Roman" w:hAnsi="Times New Roman"/>
          <w:color w:val="000000"/>
          <w:sz w:val="28"/>
          <w:szCs w:val="28"/>
          <w:lang w:eastAsia="ru-RU"/>
        </w:rPr>
        <w:t>Організація і порядок здійснення управління в солідарній системі</w:t>
      </w:r>
      <w:r w:rsidR="003D1C4A" w:rsidRPr="0078696C">
        <w:rPr>
          <w:rFonts w:ascii="Times New Roman" w:eastAsia="Times New Roman" w:hAnsi="Times New Roman"/>
          <w:color w:val="000000"/>
          <w:sz w:val="28"/>
          <w:szCs w:val="28"/>
          <w:lang w:eastAsia="ru-RU"/>
        </w:rPr>
        <w:t xml:space="preserve">» </w:t>
      </w:r>
      <w:r w:rsidR="00983951" w:rsidRPr="0078696C">
        <w:rPr>
          <w:rFonts w:ascii="Times New Roman" w:eastAsia="Times New Roman" w:hAnsi="Times New Roman"/>
          <w:color w:val="000000"/>
          <w:sz w:val="28"/>
          <w:szCs w:val="28"/>
          <w:lang w:eastAsia="ru-RU"/>
        </w:rPr>
        <w:t xml:space="preserve">– </w:t>
      </w:r>
      <w:r w:rsidR="003D1C4A" w:rsidRPr="0078696C">
        <w:rPr>
          <w:rFonts w:ascii="Times New Roman" w:eastAsia="Times New Roman" w:hAnsi="Times New Roman"/>
          <w:color w:val="000000"/>
          <w:sz w:val="28"/>
          <w:szCs w:val="28"/>
          <w:lang w:eastAsia="ru-RU"/>
        </w:rPr>
        <w:t>викласти на основі розділу 8, 9, 12, 13, 14 ЗУ «Про загальнообов’язкове державне пенсійне страхування».</w:t>
      </w:r>
    </w:p>
    <w:p w:rsidR="000D6066" w:rsidRPr="0078696C" w:rsidRDefault="003D1C4A" w:rsidP="000D606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В основу глави</w:t>
      </w:r>
      <w:r w:rsidR="000D6066" w:rsidRPr="0078696C">
        <w:rPr>
          <w:rFonts w:ascii="Times New Roman" w:eastAsia="Times New Roman" w:hAnsi="Times New Roman"/>
          <w:color w:val="000000"/>
          <w:sz w:val="28"/>
          <w:szCs w:val="28"/>
          <w:lang w:eastAsia="ru-RU"/>
        </w:rPr>
        <w:t xml:space="preserve"> ІІІ</w:t>
      </w:r>
      <w:r w:rsidRPr="0078696C">
        <w:rPr>
          <w:rFonts w:ascii="Times New Roman" w:eastAsia="Times New Roman" w:hAnsi="Times New Roman"/>
          <w:color w:val="000000"/>
          <w:sz w:val="28"/>
          <w:szCs w:val="28"/>
          <w:lang w:eastAsia="ru-RU"/>
        </w:rPr>
        <w:t xml:space="preserve"> «</w:t>
      </w:r>
      <w:r w:rsidR="000D6066" w:rsidRPr="0078696C">
        <w:rPr>
          <w:rFonts w:ascii="Times New Roman" w:eastAsia="Times New Roman" w:hAnsi="Times New Roman"/>
          <w:color w:val="000000"/>
          <w:sz w:val="28"/>
          <w:szCs w:val="28"/>
          <w:lang w:eastAsia="ru-RU"/>
        </w:rPr>
        <w:t>Організація та порядок здійснення пенсійного забезпечення у накопичувальній системі</w:t>
      </w:r>
      <w:r w:rsidRPr="0078696C">
        <w:rPr>
          <w:rFonts w:ascii="Times New Roman" w:eastAsia="Times New Roman" w:hAnsi="Times New Roman"/>
          <w:color w:val="000000"/>
          <w:sz w:val="28"/>
          <w:szCs w:val="28"/>
          <w:lang w:eastAsia="ru-RU"/>
        </w:rPr>
        <w:t>» пропонуємо взяти норми розділів 10, 11 ЗУ «Про загальнообов’язкове державне пенсійне страхування».</w:t>
      </w:r>
    </w:p>
    <w:p w:rsidR="009F7AB6" w:rsidRPr="0078696C" w:rsidRDefault="000D6066" w:rsidP="00A85A32">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Глав</w:t>
      </w:r>
      <w:r w:rsidR="00983951" w:rsidRPr="0078696C">
        <w:rPr>
          <w:rFonts w:ascii="Times New Roman" w:eastAsia="Times New Roman" w:hAnsi="Times New Roman"/>
          <w:color w:val="000000"/>
          <w:sz w:val="28"/>
          <w:szCs w:val="28"/>
          <w:lang w:eastAsia="ru-RU"/>
        </w:rPr>
        <w:t>у</w:t>
      </w:r>
      <w:r w:rsidRPr="0078696C">
        <w:rPr>
          <w:rFonts w:ascii="Times New Roman" w:eastAsia="Times New Roman" w:hAnsi="Times New Roman"/>
          <w:color w:val="000000"/>
          <w:sz w:val="28"/>
          <w:szCs w:val="28"/>
          <w:lang w:eastAsia="ru-RU"/>
        </w:rPr>
        <w:t xml:space="preserve"> IV</w:t>
      </w:r>
      <w:r w:rsidR="00056998" w:rsidRPr="0078696C">
        <w:rPr>
          <w:rFonts w:ascii="Times New Roman" w:eastAsia="Times New Roman" w:hAnsi="Times New Roman"/>
          <w:color w:val="000000"/>
          <w:sz w:val="28"/>
          <w:szCs w:val="28"/>
          <w:lang w:eastAsia="ru-RU"/>
        </w:rPr>
        <w:t xml:space="preserve"> «</w:t>
      </w:r>
      <w:r w:rsidRPr="0078696C">
        <w:rPr>
          <w:rFonts w:ascii="Times New Roman" w:eastAsia="Times New Roman" w:hAnsi="Times New Roman"/>
          <w:color w:val="000000"/>
          <w:sz w:val="28"/>
          <w:szCs w:val="28"/>
          <w:lang w:eastAsia="ru-RU"/>
        </w:rPr>
        <w:t>Недержавне</w:t>
      </w:r>
      <w:r w:rsidR="00056998" w:rsidRPr="0078696C">
        <w:rPr>
          <w:rFonts w:ascii="Times New Roman" w:eastAsia="Times New Roman" w:hAnsi="Times New Roman"/>
          <w:color w:val="000000"/>
          <w:sz w:val="28"/>
          <w:szCs w:val="28"/>
          <w:lang w:eastAsia="ru-RU"/>
        </w:rPr>
        <w:t xml:space="preserve"> пенсійне забезпечення» </w:t>
      </w:r>
      <w:r w:rsidR="00F16458" w:rsidRPr="0078696C">
        <w:rPr>
          <w:rFonts w:ascii="Times New Roman" w:eastAsia="Times New Roman" w:hAnsi="Times New Roman"/>
          <w:color w:val="000000"/>
          <w:sz w:val="28"/>
          <w:szCs w:val="28"/>
          <w:lang w:eastAsia="ru-RU"/>
        </w:rPr>
        <w:t>–</w:t>
      </w:r>
      <w:r w:rsidR="000C42F1">
        <w:rPr>
          <w:rFonts w:ascii="Times New Roman" w:eastAsia="Times New Roman" w:hAnsi="Times New Roman"/>
          <w:color w:val="000000"/>
          <w:sz w:val="28"/>
          <w:szCs w:val="28"/>
          <w:lang w:eastAsia="ru-RU"/>
        </w:rPr>
        <w:t xml:space="preserve"> </w:t>
      </w:r>
      <w:r w:rsidR="00A85A32" w:rsidRPr="0078696C">
        <w:rPr>
          <w:rFonts w:ascii="Times New Roman" w:eastAsia="Times New Roman" w:hAnsi="Times New Roman"/>
          <w:color w:val="000000"/>
          <w:sz w:val="28"/>
          <w:szCs w:val="28"/>
          <w:lang w:eastAsia="ru-RU"/>
        </w:rPr>
        <w:t xml:space="preserve">розробити </w:t>
      </w:r>
      <w:r w:rsidR="00056998" w:rsidRPr="0078696C">
        <w:rPr>
          <w:rFonts w:ascii="Times New Roman" w:eastAsia="Times New Roman" w:hAnsi="Times New Roman"/>
          <w:color w:val="000000"/>
          <w:sz w:val="28"/>
          <w:szCs w:val="28"/>
          <w:lang w:eastAsia="ru-RU"/>
        </w:rPr>
        <w:t xml:space="preserve">на основі </w:t>
      </w:r>
      <w:r w:rsidR="00D8499E" w:rsidRPr="0078696C">
        <w:rPr>
          <w:rFonts w:ascii="Times New Roman" w:eastAsia="Times New Roman" w:hAnsi="Times New Roman"/>
          <w:color w:val="000000"/>
          <w:sz w:val="28"/>
          <w:szCs w:val="28"/>
          <w:lang w:eastAsia="ru-RU"/>
        </w:rPr>
        <w:t>ЗУ «</w:t>
      </w:r>
      <w:r w:rsidR="00056998" w:rsidRPr="0078696C">
        <w:rPr>
          <w:rFonts w:ascii="Times New Roman" w:eastAsia="Times New Roman" w:hAnsi="Times New Roman"/>
          <w:color w:val="000000"/>
          <w:sz w:val="28"/>
          <w:szCs w:val="28"/>
          <w:lang w:eastAsia="ru-RU"/>
        </w:rPr>
        <w:t>Про недержавне пенсійне забезпечення</w:t>
      </w:r>
      <w:r w:rsidR="00D8499E" w:rsidRPr="0078696C">
        <w:rPr>
          <w:rFonts w:ascii="Times New Roman" w:eastAsia="Times New Roman" w:hAnsi="Times New Roman"/>
          <w:color w:val="000000"/>
          <w:sz w:val="28"/>
          <w:szCs w:val="28"/>
          <w:lang w:eastAsia="ru-RU"/>
        </w:rPr>
        <w:t>».</w:t>
      </w:r>
    </w:p>
    <w:p w:rsidR="00567A33" w:rsidRPr="0078696C" w:rsidRDefault="00567A33" w:rsidP="00A85A32">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Скасувати передбачені пільги щодо обчислення пенсій, передбачених Законами України «Про прокуратуру» та «Про судоустрій і статус суддів».</w:t>
      </w:r>
    </w:p>
    <w:p w:rsidR="004A3EDF" w:rsidRPr="0078696C" w:rsidRDefault="009F7AB6" w:rsidP="00322233">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 xml:space="preserve">Крім цього, </w:t>
      </w:r>
      <w:r w:rsidR="00A85A32" w:rsidRPr="0078696C">
        <w:rPr>
          <w:rFonts w:ascii="Times New Roman" w:eastAsia="Times New Roman" w:hAnsi="Times New Roman"/>
          <w:color w:val="000000"/>
          <w:sz w:val="28"/>
          <w:szCs w:val="28"/>
          <w:lang w:eastAsia="ru-RU"/>
        </w:rPr>
        <w:t xml:space="preserve">пропонуємо внести зміни до п. 167.1 ст. 167 Податкового кодексу України в частині зниження ставки податку на </w:t>
      </w:r>
      <w:r w:rsidR="00E57D92" w:rsidRPr="0078696C">
        <w:rPr>
          <w:rFonts w:ascii="Times New Roman" w:eastAsia="Times New Roman" w:hAnsi="Times New Roman"/>
          <w:color w:val="000000"/>
          <w:sz w:val="28"/>
          <w:szCs w:val="28"/>
          <w:lang w:eastAsia="ru-RU"/>
        </w:rPr>
        <w:t xml:space="preserve">заробітну плату громадян пропорційно до відрахувань, здійснюваних громадянами до </w:t>
      </w:r>
      <w:r w:rsidR="00E57D92" w:rsidRPr="0078696C">
        <w:rPr>
          <w:rFonts w:ascii="Times New Roman" w:eastAsia="Times New Roman" w:hAnsi="Times New Roman"/>
          <w:color w:val="000000"/>
          <w:sz w:val="28"/>
          <w:szCs w:val="28"/>
          <w:lang w:eastAsia="ru-RU"/>
        </w:rPr>
        <w:lastRenderedPageBreak/>
        <w:t>професійних та корпоративних фондів</w:t>
      </w:r>
      <w:r w:rsidR="009953B9">
        <w:rPr>
          <w:rFonts w:ascii="Times New Roman" w:eastAsia="Times New Roman" w:hAnsi="Times New Roman"/>
          <w:color w:val="000000"/>
          <w:sz w:val="28"/>
          <w:szCs w:val="28"/>
          <w:lang w:eastAsia="ru-RU"/>
        </w:rPr>
        <w:t xml:space="preserve"> </w:t>
      </w:r>
      <w:r w:rsidR="00E57D92" w:rsidRPr="0078696C">
        <w:rPr>
          <w:rFonts w:ascii="Times New Roman" w:eastAsia="Times New Roman" w:hAnsi="Times New Roman"/>
          <w:color w:val="000000"/>
          <w:sz w:val="28"/>
          <w:szCs w:val="28"/>
          <w:lang w:eastAsia="ru-RU"/>
        </w:rPr>
        <w:t xml:space="preserve">з метою участі у </w:t>
      </w:r>
      <w:r w:rsidR="003225D2" w:rsidRPr="0078696C">
        <w:rPr>
          <w:rFonts w:ascii="Times New Roman" w:eastAsia="Times New Roman" w:hAnsi="Times New Roman"/>
          <w:color w:val="000000"/>
          <w:sz w:val="28"/>
          <w:szCs w:val="28"/>
          <w:lang w:eastAsia="ru-RU"/>
        </w:rPr>
        <w:t>накопичувальному рівні пенсійного забезпечення.</w:t>
      </w:r>
      <w:r w:rsidR="00983951" w:rsidRPr="0078696C">
        <w:rPr>
          <w:rFonts w:ascii="Times New Roman" w:eastAsia="Times New Roman" w:hAnsi="Times New Roman"/>
          <w:color w:val="000000"/>
          <w:sz w:val="28"/>
          <w:szCs w:val="28"/>
          <w:lang w:eastAsia="ru-RU"/>
        </w:rPr>
        <w:t xml:space="preserve"> Аналогічні податкові пільги пропонуємо запровадити і для самозайнятих осіб.</w:t>
      </w:r>
    </w:p>
    <w:p w:rsidR="004A3EDF" w:rsidRPr="0078696C" w:rsidRDefault="00504A26" w:rsidP="00504A26">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eastAsia="Times New Roman" w:hAnsi="Times New Roman"/>
          <w:color w:val="000000"/>
          <w:sz w:val="28"/>
          <w:szCs w:val="28"/>
          <w:lang w:eastAsia="ru-RU"/>
        </w:rPr>
        <w:t>Також, вважаємо за доцільне внести зміни до ст. 8 Закону України «Про збір та облік єдиного внеску», передбачивши пільги по сплаті єдиного внеску для роботодавців, які беруть участь у професійних та корпоративних фондах, здійсн</w:t>
      </w:r>
      <w:r w:rsidR="00A859E0" w:rsidRPr="0078696C">
        <w:rPr>
          <w:rFonts w:ascii="Times New Roman" w:eastAsia="Times New Roman" w:hAnsi="Times New Roman"/>
          <w:color w:val="000000"/>
          <w:sz w:val="28"/>
          <w:szCs w:val="28"/>
          <w:lang w:eastAsia="ru-RU"/>
        </w:rPr>
        <w:t>ивши «розщеплення» ЄСВ: до ПФУ та до відповідного цільового фонду.</w:t>
      </w:r>
    </w:p>
    <w:p w:rsidR="00543148" w:rsidRPr="0078696C" w:rsidRDefault="00C1315B"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Крім змін до пенсійного </w:t>
      </w:r>
      <w:r w:rsidR="00504A26" w:rsidRPr="0078696C">
        <w:rPr>
          <w:rFonts w:ascii="Times New Roman" w:hAnsi="Times New Roman"/>
          <w:color w:val="000000"/>
          <w:sz w:val="28"/>
          <w:szCs w:val="28"/>
        </w:rPr>
        <w:t xml:space="preserve">та податкового </w:t>
      </w:r>
      <w:r w:rsidRPr="0078696C">
        <w:rPr>
          <w:rFonts w:ascii="Times New Roman" w:hAnsi="Times New Roman"/>
          <w:color w:val="000000"/>
          <w:sz w:val="28"/>
          <w:szCs w:val="28"/>
        </w:rPr>
        <w:t>законодавства, яке ми пропонує</w:t>
      </w:r>
      <w:r w:rsidR="00A85A32" w:rsidRPr="0078696C">
        <w:rPr>
          <w:rFonts w:ascii="Times New Roman" w:hAnsi="Times New Roman"/>
          <w:color w:val="000000"/>
          <w:sz w:val="28"/>
          <w:szCs w:val="28"/>
        </w:rPr>
        <w:t xml:space="preserve">мо здійснити шляхом розроблення та прийняття </w:t>
      </w:r>
      <w:r w:rsidRPr="0078696C">
        <w:rPr>
          <w:rFonts w:ascii="Times New Roman" w:hAnsi="Times New Roman"/>
          <w:color w:val="000000"/>
          <w:sz w:val="28"/>
          <w:szCs w:val="28"/>
        </w:rPr>
        <w:t>Кодексу пенсійного забезпечення та страхування», необхідно здійснити ряд</w:t>
      </w:r>
      <w:r w:rsidR="00543148" w:rsidRPr="0078696C">
        <w:rPr>
          <w:rFonts w:ascii="Times New Roman" w:hAnsi="Times New Roman"/>
          <w:color w:val="000000"/>
          <w:sz w:val="28"/>
          <w:szCs w:val="28"/>
        </w:rPr>
        <w:t xml:space="preserve"> заходів регуляторного характеру на макрорівн</w:t>
      </w:r>
      <w:r w:rsidRPr="0078696C">
        <w:rPr>
          <w:rFonts w:ascii="Times New Roman" w:hAnsi="Times New Roman"/>
          <w:color w:val="000000"/>
          <w:sz w:val="28"/>
          <w:szCs w:val="28"/>
        </w:rPr>
        <w:t>і, с</w:t>
      </w:r>
      <w:r w:rsidR="00543148" w:rsidRPr="0078696C">
        <w:rPr>
          <w:rFonts w:ascii="Times New Roman" w:hAnsi="Times New Roman"/>
          <w:color w:val="000000"/>
          <w:sz w:val="28"/>
          <w:szCs w:val="28"/>
        </w:rPr>
        <w:t xml:space="preserve">еред </w:t>
      </w:r>
      <w:r w:rsidRPr="0078696C">
        <w:rPr>
          <w:rFonts w:ascii="Times New Roman" w:hAnsi="Times New Roman"/>
          <w:color w:val="000000"/>
          <w:sz w:val="28"/>
          <w:szCs w:val="28"/>
        </w:rPr>
        <w:t>яких</w:t>
      </w:r>
      <w:r w:rsidR="00543148" w:rsidRPr="0078696C">
        <w:rPr>
          <w:rFonts w:ascii="Times New Roman" w:hAnsi="Times New Roman"/>
          <w:color w:val="000000"/>
          <w:sz w:val="28"/>
          <w:szCs w:val="28"/>
        </w:rPr>
        <w:t>:</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 </w:t>
      </w:r>
      <w:r w:rsidR="00C1315B" w:rsidRPr="0078696C">
        <w:rPr>
          <w:rFonts w:ascii="Times New Roman" w:hAnsi="Times New Roman"/>
          <w:color w:val="000000"/>
          <w:sz w:val="28"/>
          <w:szCs w:val="28"/>
        </w:rPr>
        <w:t>підвищення якості державного управління сферою пенсійного забезпечення,</w:t>
      </w:r>
      <w:r w:rsidRPr="0078696C">
        <w:rPr>
          <w:rFonts w:ascii="Times New Roman" w:hAnsi="Times New Roman"/>
          <w:color w:val="000000"/>
          <w:sz w:val="28"/>
          <w:szCs w:val="28"/>
        </w:rPr>
        <w:t xml:space="preserve"> податкової </w:t>
      </w:r>
      <w:r w:rsidR="00C1315B" w:rsidRPr="0078696C">
        <w:rPr>
          <w:rFonts w:ascii="Times New Roman" w:hAnsi="Times New Roman"/>
          <w:color w:val="000000"/>
          <w:sz w:val="28"/>
          <w:szCs w:val="28"/>
        </w:rPr>
        <w:t>та митної політики</w:t>
      </w:r>
      <w:r w:rsidRPr="0078696C">
        <w:rPr>
          <w:rFonts w:ascii="Times New Roman" w:hAnsi="Times New Roman"/>
          <w:color w:val="000000"/>
          <w:sz w:val="28"/>
          <w:szCs w:val="28"/>
        </w:rPr>
        <w:t>, політики зайнятості, освіти і професійної підготовки;</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формування розвиненого ринку праці, з питомою в</w:t>
      </w:r>
      <w:r w:rsidR="00844BF7" w:rsidRPr="0078696C">
        <w:rPr>
          <w:rFonts w:ascii="Times New Roman" w:hAnsi="Times New Roman"/>
          <w:color w:val="000000"/>
          <w:sz w:val="28"/>
          <w:szCs w:val="28"/>
        </w:rPr>
        <w:t>агою найманих працівників 60-70</w:t>
      </w:r>
      <w:r w:rsidRPr="0078696C">
        <w:rPr>
          <w:rFonts w:ascii="Times New Roman" w:hAnsi="Times New Roman"/>
          <w:color w:val="000000"/>
          <w:sz w:val="28"/>
          <w:szCs w:val="28"/>
        </w:rPr>
        <w:t>% від загальної кількості економічно активного населення;</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зниження частк</w:t>
      </w:r>
      <w:r w:rsidR="00844BF7" w:rsidRPr="0078696C">
        <w:rPr>
          <w:rFonts w:ascii="Times New Roman" w:hAnsi="Times New Roman"/>
          <w:color w:val="000000"/>
          <w:sz w:val="28"/>
          <w:szCs w:val="28"/>
        </w:rPr>
        <w:t>и тіньового ринку праці до 5-10</w:t>
      </w:r>
      <w:r w:rsidRPr="0078696C">
        <w:rPr>
          <w:rFonts w:ascii="Times New Roman" w:hAnsi="Times New Roman"/>
          <w:color w:val="000000"/>
          <w:sz w:val="28"/>
          <w:szCs w:val="28"/>
        </w:rPr>
        <w:t>% від кількості економічно активного населення шляхом реформування системи оплати праці;</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розробка і реалізація загальнодержавних програм створення робочих місць з орієнтацією на ут</w:t>
      </w:r>
      <w:r w:rsidR="00844BF7" w:rsidRPr="0078696C">
        <w:rPr>
          <w:rFonts w:ascii="Times New Roman" w:hAnsi="Times New Roman"/>
          <w:color w:val="000000"/>
          <w:sz w:val="28"/>
          <w:szCs w:val="28"/>
        </w:rPr>
        <w:t>римання безробіття на рівні 3-5</w:t>
      </w:r>
      <w:r w:rsidRPr="0078696C">
        <w:rPr>
          <w:rFonts w:ascii="Times New Roman" w:hAnsi="Times New Roman"/>
          <w:color w:val="000000"/>
          <w:sz w:val="28"/>
          <w:szCs w:val="28"/>
        </w:rPr>
        <w:t>%;</w:t>
      </w:r>
    </w:p>
    <w:p w:rsidR="00543148" w:rsidRPr="0078696C" w:rsidRDefault="00543148" w:rsidP="00543148">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 доведення офіційно декларованої </w:t>
      </w:r>
      <w:r w:rsidR="00844BF7" w:rsidRPr="0078696C">
        <w:rPr>
          <w:rFonts w:ascii="Times New Roman" w:hAnsi="Times New Roman"/>
          <w:color w:val="000000"/>
          <w:sz w:val="28"/>
          <w:szCs w:val="28"/>
        </w:rPr>
        <w:t>заробітної плати до рівня 35-40</w:t>
      </w:r>
      <w:r w:rsidRPr="0078696C">
        <w:rPr>
          <w:rFonts w:ascii="Times New Roman" w:hAnsi="Times New Roman"/>
          <w:color w:val="000000"/>
          <w:sz w:val="28"/>
          <w:szCs w:val="28"/>
        </w:rPr>
        <w:t>% від ВВП;</w:t>
      </w:r>
    </w:p>
    <w:p w:rsidR="00543148" w:rsidRPr="0078696C" w:rsidRDefault="00543148" w:rsidP="00356767">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 наближення </w:t>
      </w:r>
      <w:r w:rsidR="00F3720C" w:rsidRPr="0078696C">
        <w:rPr>
          <w:rFonts w:ascii="Times New Roman" w:hAnsi="Times New Roman"/>
          <w:color w:val="000000"/>
          <w:sz w:val="28"/>
          <w:szCs w:val="28"/>
        </w:rPr>
        <w:t>рівня пенсійного забезпечення громадян до 5</w:t>
      </w:r>
      <w:r w:rsidR="00844BF7" w:rsidRPr="0078696C">
        <w:rPr>
          <w:rFonts w:ascii="Times New Roman" w:hAnsi="Times New Roman"/>
          <w:color w:val="000000"/>
          <w:sz w:val="28"/>
          <w:szCs w:val="28"/>
        </w:rPr>
        <w:t>0</w:t>
      </w:r>
      <w:r w:rsidR="00F3720C" w:rsidRPr="0078696C">
        <w:rPr>
          <w:rFonts w:ascii="Times New Roman" w:hAnsi="Times New Roman"/>
          <w:color w:val="000000"/>
          <w:sz w:val="28"/>
          <w:szCs w:val="28"/>
        </w:rPr>
        <w:t>% від розміру отримуваної заробітної плати</w:t>
      </w:r>
      <w:r w:rsidRPr="0078696C">
        <w:rPr>
          <w:rFonts w:ascii="Times New Roman" w:hAnsi="Times New Roman"/>
          <w:color w:val="000000"/>
          <w:sz w:val="28"/>
          <w:szCs w:val="28"/>
        </w:rPr>
        <w:t>.</w:t>
      </w:r>
    </w:p>
    <w:p w:rsidR="00D51D6B" w:rsidRPr="0078696C" w:rsidRDefault="00EB076C" w:rsidP="000E474A">
      <w:pPr>
        <w:spacing w:after="0" w:line="360" w:lineRule="auto"/>
        <w:ind w:firstLine="709"/>
        <w:jc w:val="both"/>
        <w:rPr>
          <w:rFonts w:ascii="Times New Roman" w:eastAsia="Times New Roman" w:hAnsi="Times New Roman"/>
          <w:color w:val="000000"/>
          <w:sz w:val="28"/>
          <w:szCs w:val="28"/>
          <w:lang w:eastAsia="ru-RU"/>
        </w:rPr>
      </w:pPr>
      <w:r w:rsidRPr="0078696C">
        <w:rPr>
          <w:rFonts w:ascii="Times New Roman" w:hAnsi="Times New Roman"/>
          <w:color w:val="000000"/>
          <w:sz w:val="28"/>
          <w:szCs w:val="28"/>
        </w:rPr>
        <w:t xml:space="preserve">Крім цього, необхідно підтримувати постійний діалог з населенням, враховувати економічні та соціальні інтереси громадян, максимально </w:t>
      </w:r>
      <w:r w:rsidR="00543148" w:rsidRPr="0078696C">
        <w:rPr>
          <w:rFonts w:ascii="Times New Roman" w:hAnsi="Times New Roman"/>
          <w:color w:val="000000"/>
          <w:sz w:val="28"/>
          <w:szCs w:val="28"/>
        </w:rPr>
        <w:t>об’єдн</w:t>
      </w:r>
      <w:r w:rsidR="00675177" w:rsidRPr="0078696C">
        <w:rPr>
          <w:rFonts w:ascii="Times New Roman" w:hAnsi="Times New Roman"/>
          <w:color w:val="000000"/>
          <w:sz w:val="28"/>
          <w:szCs w:val="28"/>
        </w:rPr>
        <w:t xml:space="preserve">увати </w:t>
      </w:r>
      <w:r w:rsidR="00543148" w:rsidRPr="0078696C">
        <w:rPr>
          <w:rFonts w:ascii="Times New Roman" w:hAnsi="Times New Roman"/>
          <w:color w:val="000000"/>
          <w:sz w:val="28"/>
          <w:szCs w:val="28"/>
        </w:rPr>
        <w:t>наявн</w:t>
      </w:r>
      <w:r w:rsidR="00675177" w:rsidRPr="0078696C">
        <w:rPr>
          <w:rFonts w:ascii="Times New Roman" w:hAnsi="Times New Roman"/>
          <w:color w:val="000000"/>
          <w:sz w:val="28"/>
          <w:szCs w:val="28"/>
        </w:rPr>
        <w:t>ий</w:t>
      </w:r>
      <w:r w:rsidR="00543148" w:rsidRPr="0078696C">
        <w:rPr>
          <w:rFonts w:ascii="Times New Roman" w:hAnsi="Times New Roman"/>
          <w:color w:val="000000"/>
          <w:sz w:val="28"/>
          <w:szCs w:val="28"/>
        </w:rPr>
        <w:t xml:space="preserve"> інтелектуальн</w:t>
      </w:r>
      <w:r w:rsidR="00675177" w:rsidRPr="0078696C">
        <w:rPr>
          <w:rFonts w:ascii="Times New Roman" w:hAnsi="Times New Roman"/>
          <w:color w:val="000000"/>
          <w:sz w:val="28"/>
          <w:szCs w:val="28"/>
        </w:rPr>
        <w:t>ий</w:t>
      </w:r>
      <w:r w:rsidR="00543148" w:rsidRPr="0078696C">
        <w:rPr>
          <w:rFonts w:ascii="Times New Roman" w:hAnsi="Times New Roman"/>
          <w:color w:val="000000"/>
          <w:sz w:val="28"/>
          <w:szCs w:val="28"/>
        </w:rPr>
        <w:t xml:space="preserve"> потенціал</w:t>
      </w:r>
      <w:r w:rsidR="00962B8D">
        <w:rPr>
          <w:rFonts w:ascii="Times New Roman" w:hAnsi="Times New Roman"/>
          <w:color w:val="000000"/>
          <w:sz w:val="28"/>
          <w:szCs w:val="28"/>
        </w:rPr>
        <w:t xml:space="preserve"> </w:t>
      </w:r>
      <w:r w:rsidR="00543148" w:rsidRPr="0078696C">
        <w:rPr>
          <w:rFonts w:ascii="Times New Roman" w:hAnsi="Times New Roman"/>
          <w:color w:val="000000"/>
          <w:sz w:val="28"/>
          <w:szCs w:val="28"/>
        </w:rPr>
        <w:t>вчених, провідних фахівців, спеціалістів соціальної системи, народних депутатів для роботи над проектами нормативно-правових актів з питань пенсійної реформи</w:t>
      </w:r>
      <w:r w:rsidR="00707B74" w:rsidRPr="0078696C">
        <w:rPr>
          <w:rFonts w:ascii="Times New Roman" w:hAnsi="Times New Roman"/>
          <w:color w:val="000000"/>
          <w:sz w:val="28"/>
          <w:szCs w:val="28"/>
        </w:rPr>
        <w:t xml:space="preserve">. </w:t>
      </w:r>
      <w:r w:rsidR="00543148" w:rsidRPr="0078696C">
        <w:rPr>
          <w:rFonts w:ascii="Times New Roman" w:hAnsi="Times New Roman"/>
          <w:color w:val="000000"/>
          <w:sz w:val="28"/>
          <w:szCs w:val="28"/>
        </w:rPr>
        <w:t xml:space="preserve">З огляду на це необхідно систематично роз’яснювати проблемні питання реформування </w:t>
      </w:r>
      <w:r w:rsidR="00543148" w:rsidRPr="0078696C">
        <w:rPr>
          <w:rFonts w:ascii="Times New Roman" w:hAnsi="Times New Roman"/>
          <w:color w:val="000000"/>
          <w:sz w:val="28"/>
          <w:szCs w:val="28"/>
        </w:rPr>
        <w:lastRenderedPageBreak/>
        <w:t>пенсійного забезпечення в засобах масової інформації; визначати основні показники пенсійного забезпечення за новою схемою та величину загального пенсійного фонду, достатнього для впровадження нової системи розвитку інституту пенсійного забезпечення в Україні.</w:t>
      </w:r>
    </w:p>
    <w:p w:rsidR="00A859E0" w:rsidRDefault="00A859E0" w:rsidP="006A5EE8">
      <w:pPr>
        <w:spacing w:after="0" w:line="360" w:lineRule="auto"/>
        <w:ind w:firstLine="709"/>
        <w:jc w:val="both"/>
        <w:rPr>
          <w:rFonts w:ascii="Times New Roman" w:hAnsi="Times New Roman"/>
          <w:color w:val="000000"/>
          <w:sz w:val="28"/>
          <w:szCs w:val="28"/>
        </w:rPr>
      </w:pPr>
    </w:p>
    <w:p w:rsidR="00962B8D" w:rsidRPr="0078696C" w:rsidRDefault="00962B8D" w:rsidP="006A5EE8">
      <w:pPr>
        <w:spacing w:after="0" w:line="360" w:lineRule="auto"/>
        <w:ind w:firstLine="709"/>
        <w:jc w:val="both"/>
        <w:rPr>
          <w:rFonts w:ascii="Times New Roman" w:hAnsi="Times New Roman"/>
          <w:color w:val="000000"/>
          <w:sz w:val="28"/>
          <w:szCs w:val="28"/>
        </w:rPr>
      </w:pPr>
    </w:p>
    <w:p w:rsidR="006A5EE8" w:rsidRPr="0078696C" w:rsidRDefault="006A5EE8" w:rsidP="006A5EE8">
      <w:pPr>
        <w:spacing w:after="0" w:line="360" w:lineRule="auto"/>
        <w:ind w:firstLine="709"/>
        <w:jc w:val="both"/>
        <w:rPr>
          <w:rFonts w:ascii="Times New Roman" w:hAnsi="Times New Roman"/>
          <w:b/>
          <w:color w:val="000000"/>
          <w:sz w:val="28"/>
          <w:szCs w:val="28"/>
        </w:rPr>
      </w:pPr>
      <w:r w:rsidRPr="0078696C">
        <w:rPr>
          <w:rFonts w:ascii="Times New Roman" w:hAnsi="Times New Roman"/>
          <w:b/>
          <w:color w:val="000000"/>
          <w:sz w:val="28"/>
          <w:szCs w:val="28"/>
        </w:rPr>
        <w:t>Висновки до розділу 3</w:t>
      </w:r>
    </w:p>
    <w:p w:rsidR="006A5EE8" w:rsidRPr="0078696C" w:rsidRDefault="006A5EE8" w:rsidP="006A5EE8">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Дослідження європейського досвіду реформування пенсійних систем та пе</w:t>
      </w:r>
      <w:r w:rsidR="00432194" w:rsidRPr="0078696C">
        <w:rPr>
          <w:rFonts w:ascii="Times New Roman" w:hAnsi="Times New Roman"/>
          <w:color w:val="000000"/>
          <w:sz w:val="28"/>
          <w:szCs w:val="28"/>
        </w:rPr>
        <w:t xml:space="preserve">рспектив його впровадження </w:t>
      </w:r>
      <w:r w:rsidRPr="0078696C">
        <w:rPr>
          <w:rFonts w:ascii="Times New Roman" w:hAnsi="Times New Roman"/>
          <w:color w:val="000000"/>
          <w:sz w:val="28"/>
          <w:szCs w:val="28"/>
        </w:rPr>
        <w:t>в Україні дало підстави зробити наступні висновки:</w:t>
      </w:r>
    </w:p>
    <w:p w:rsidR="006A5EE8" w:rsidRPr="0078696C" w:rsidRDefault="006A5EE8" w:rsidP="006A5EE8">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1. Пенсійні системи Європи розвивалися різними шляхами залежно від історичних традицій, ролі держави в економіці, соціальної структури суспільства, а також напрямків та пріоритетів соціальної політики. В реалізації основних функцій державної пенсійної політики існують два принципово відмінні фінансові механізми: розподільчий та накопичувальний.</w:t>
      </w:r>
    </w:p>
    <w:p w:rsidR="006A5EE8" w:rsidRPr="0078696C" w:rsidRDefault="006A5EE8" w:rsidP="006A5EE8">
      <w:pPr>
        <w:spacing w:after="0" w:line="360" w:lineRule="auto"/>
        <w:ind w:firstLine="709"/>
        <w:jc w:val="both"/>
        <w:rPr>
          <w:rFonts w:ascii="Times New Roman" w:hAnsi="Times New Roman"/>
          <w:color w:val="000000"/>
          <w:sz w:val="28"/>
          <w:szCs w:val="28"/>
        </w:rPr>
      </w:pPr>
      <w:r w:rsidRPr="0078696C">
        <w:rPr>
          <w:rFonts w:ascii="Times New Roman" w:hAnsi="Times New Roman"/>
          <w:color w:val="000000"/>
          <w:sz w:val="28"/>
          <w:szCs w:val="28"/>
        </w:rPr>
        <w:t>Однак, в сучасних умовах солідарна і накопичувальна стратегії в чистому вигляді використовуються досить рідко, передові країни світи обирають змішані пенсійні системи, які базується на трьох основних складових: обов’язковій солідарній, загальнообов’язковій накопичувальній та добровільному приватному пенсійному страхуванн</w:t>
      </w:r>
      <w:r w:rsidR="00214CD0" w:rsidRPr="0078696C">
        <w:rPr>
          <w:rFonts w:ascii="Times New Roman" w:hAnsi="Times New Roman"/>
          <w:color w:val="000000"/>
          <w:sz w:val="28"/>
          <w:szCs w:val="28"/>
        </w:rPr>
        <w:t>і.</w:t>
      </w:r>
    </w:p>
    <w:p w:rsidR="006A5EE8" w:rsidRPr="0078696C" w:rsidRDefault="006A5EE8" w:rsidP="006A5EE8">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2. Найбільш поширеною є класифікація пенсійних систем, що отримала закріплення в документах Європейської Комісії, згідно з якою на сьогодні панують три основні моделі (які по своїй природі є змішаними системами): модель О. Бісмарка (континентальна); модель В. Бевериджа (англосаксонська); та скандинавська (приватно-корпоративна).</w:t>
      </w:r>
    </w:p>
    <w:p w:rsidR="006A5EE8" w:rsidRPr="0078696C" w:rsidRDefault="006A5EE8" w:rsidP="00844BF7">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В основі континентальної моделі лежить механізм соціального страхування і професійної солідарності, коли величина страхових виплат визначається насамперед величиною страхових внесків. </w:t>
      </w:r>
      <w:r w:rsidRPr="0078696C">
        <w:rPr>
          <w:rFonts w:ascii="Times New Roman" w:hAnsi="Times New Roman"/>
          <w:color w:val="000000"/>
          <w:sz w:val="28"/>
          <w:szCs w:val="28"/>
          <w:lang w:eastAsia="ru-RU"/>
        </w:rPr>
        <w:t xml:space="preserve">Особливістю англосаксонської моделі є її соціальна універсальність, поширеність на усіх громадян. Фінансування пенсій здійснюється як за рахунок страхових внесків, </w:t>
      </w:r>
      <w:r w:rsidRPr="0078696C">
        <w:rPr>
          <w:rFonts w:ascii="Times New Roman" w:hAnsi="Times New Roman"/>
          <w:color w:val="000000"/>
          <w:sz w:val="28"/>
          <w:szCs w:val="28"/>
          <w:lang w:eastAsia="ru-RU"/>
        </w:rPr>
        <w:lastRenderedPageBreak/>
        <w:t>так і за рахунок державного бюджету.</w:t>
      </w:r>
      <w:r w:rsidR="00962B8D">
        <w:rPr>
          <w:rFonts w:ascii="Times New Roman" w:hAnsi="Times New Roman"/>
          <w:color w:val="000000"/>
          <w:sz w:val="28"/>
          <w:szCs w:val="28"/>
          <w:lang w:eastAsia="ru-RU"/>
        </w:rPr>
        <w:t xml:space="preserve"> </w:t>
      </w:r>
      <w:r w:rsidRPr="0078696C">
        <w:rPr>
          <w:rFonts w:ascii="Times New Roman" w:hAnsi="Times New Roman"/>
          <w:color w:val="000000"/>
          <w:sz w:val="28"/>
          <w:szCs w:val="28"/>
          <w:lang w:eastAsia="ru-RU"/>
        </w:rPr>
        <w:t>Відмінною рисою скандинавської моделі є широке охоплення різних соціальних ризиків і життєвих ситуацій, які вимагають підтримки суспільства. Фінансування пенсій здійснюється, переважно, за рахунок оподаткування, хоча важливу роль відіграють страхові внески під</w:t>
      </w:r>
      <w:r w:rsidR="00844BF7" w:rsidRPr="0078696C">
        <w:rPr>
          <w:rFonts w:ascii="Times New Roman" w:hAnsi="Times New Roman"/>
          <w:color w:val="000000"/>
          <w:sz w:val="28"/>
          <w:szCs w:val="28"/>
          <w:lang w:eastAsia="ru-RU"/>
        </w:rPr>
        <w:t>приємців і найманих робітників.</w:t>
      </w:r>
    </w:p>
    <w:p w:rsidR="006A5EE8" w:rsidRPr="0078696C" w:rsidRDefault="006A5EE8" w:rsidP="00844BF7">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3. В роки кризи пенсійних систем, побудованих на розподільчому механізмі, в багатьох країнах відбулася їхня швидка трансформація. В результаті чого змінилося співвідношення між державним та приватним компонентами пенсійного з</w:t>
      </w:r>
      <w:r w:rsidR="00844BF7" w:rsidRPr="0078696C">
        <w:rPr>
          <w:rFonts w:ascii="Times New Roman" w:hAnsi="Times New Roman"/>
          <w:color w:val="000000"/>
          <w:sz w:val="28"/>
          <w:szCs w:val="28"/>
        </w:rPr>
        <w:t>абезпечення, що призвело до виокрем</w:t>
      </w:r>
      <w:r w:rsidRPr="0078696C">
        <w:rPr>
          <w:rFonts w:ascii="Times New Roman" w:hAnsi="Times New Roman"/>
          <w:color w:val="000000"/>
          <w:sz w:val="28"/>
          <w:szCs w:val="28"/>
        </w:rPr>
        <w:t>лення чотирьох типів взаємозв'язків приватного та держ</w:t>
      </w:r>
      <w:r w:rsidR="00214CD0" w:rsidRPr="0078696C">
        <w:rPr>
          <w:rFonts w:ascii="Times New Roman" w:hAnsi="Times New Roman"/>
          <w:color w:val="000000"/>
          <w:sz w:val="28"/>
          <w:szCs w:val="28"/>
        </w:rPr>
        <w:t>авного пенсійного забезпечення:</w:t>
      </w:r>
      <w:r w:rsidRPr="0078696C">
        <w:rPr>
          <w:rFonts w:ascii="Times New Roman" w:hAnsi="Times New Roman"/>
          <w:color w:val="000000"/>
          <w:sz w:val="28"/>
          <w:szCs w:val="28"/>
        </w:rPr>
        <w:t xml:space="preserve"> повні</w:t>
      </w:r>
      <w:r w:rsidR="00E82E97" w:rsidRPr="0078696C">
        <w:rPr>
          <w:rFonts w:ascii="Times New Roman" w:hAnsi="Times New Roman"/>
          <w:color w:val="000000"/>
          <w:sz w:val="28"/>
          <w:szCs w:val="28"/>
        </w:rPr>
        <w:t xml:space="preserve">стю державна пенсійна система; </w:t>
      </w:r>
      <w:r w:rsidRPr="0078696C">
        <w:rPr>
          <w:rFonts w:ascii="Times New Roman" w:hAnsi="Times New Roman"/>
          <w:color w:val="000000"/>
          <w:sz w:val="28"/>
          <w:szCs w:val="28"/>
        </w:rPr>
        <w:t>державна система, доповнена прив</w:t>
      </w:r>
      <w:r w:rsidR="00E82E97" w:rsidRPr="0078696C">
        <w:rPr>
          <w:rFonts w:ascii="Times New Roman" w:hAnsi="Times New Roman"/>
          <w:color w:val="000000"/>
          <w:sz w:val="28"/>
          <w:szCs w:val="28"/>
        </w:rPr>
        <w:t xml:space="preserve">атним пенсійним забезпеченням; </w:t>
      </w:r>
      <w:r w:rsidRPr="0078696C">
        <w:rPr>
          <w:rFonts w:ascii="Times New Roman" w:hAnsi="Times New Roman"/>
          <w:color w:val="000000"/>
          <w:sz w:val="28"/>
          <w:szCs w:val="28"/>
        </w:rPr>
        <w:t>приватне пенсійне забезпечення, яке доповнює або час</w:t>
      </w:r>
      <w:r w:rsidR="00E82E97" w:rsidRPr="0078696C">
        <w:rPr>
          <w:rFonts w:ascii="Times New Roman" w:hAnsi="Times New Roman"/>
          <w:color w:val="000000"/>
          <w:sz w:val="28"/>
          <w:szCs w:val="28"/>
        </w:rPr>
        <w:t xml:space="preserve">тково замінює державну систему; </w:t>
      </w:r>
      <w:r w:rsidRPr="0078696C">
        <w:rPr>
          <w:rFonts w:ascii="Times New Roman" w:hAnsi="Times New Roman"/>
          <w:color w:val="000000"/>
          <w:sz w:val="28"/>
          <w:szCs w:val="28"/>
        </w:rPr>
        <w:t xml:space="preserve"> приватна система, яка повністю замінює державну.</w:t>
      </w:r>
    </w:p>
    <w:p w:rsidR="006A5EE8" w:rsidRPr="0078696C" w:rsidRDefault="006A5EE8" w:rsidP="006A5EE8">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4. Основні тенденції пенсійних реформ, як недивно, є практично однаковими для всіх країн Європи, а саме: створення накопичувальних систем при збереженні розподільних; активний розвиток добровільного страхування; проведення «інфляції» пенсійного віку та автоматичної індексації пенсій відповідно до змін цін; реформування податкових систем та тарифної політики в напрямку серйозних податкових пільг задля залучення працюючих у систему добровільних накопичувальних пенсійних систем тощо.</w:t>
      </w:r>
    </w:p>
    <w:p w:rsidR="00D51D6B" w:rsidRPr="0078696C" w:rsidRDefault="006A5EE8" w:rsidP="006A5EE8">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5. Україна почала використовувати позитивний досвід європейських країн і будувати свій економічний механізм пенсійного забезпечення, враховуючи такі основні підвалини: рівень життя, демографічну ситуацію, інвестиційну складову і пенсійну політику держави, а також ресурси і можливості вітчизняної економіки на довготривалу перспективу. Для успішного здійснення реформування вітчизняної пенсійної системи потрібно здійснити: модернізацію пенсійної системи на засадах диференціації пенсій порівняно з середнім заробітком працівника; залучення населення до участі в накопичувальній системі шляхом інвестування вільних фінансових ресурсів в </w:t>
      </w:r>
      <w:r w:rsidRPr="0078696C">
        <w:rPr>
          <w:rFonts w:ascii="Times New Roman" w:hAnsi="Times New Roman"/>
          <w:color w:val="000000"/>
          <w:sz w:val="28"/>
          <w:szCs w:val="28"/>
        </w:rPr>
        <w:lastRenderedPageBreak/>
        <w:t>різноманітні фінансові інструменти (зокрема акції підприємств-роботодавців); формування накопичувальної пенсійної системи за рахунок внесків роботодавців і працівників у формі державного накопичувального фонду з подальшою його заміною на конкурентні недержавні пенсійні фонди; проведення масштабної інформаційно-роз’яснювальної політики серед населення щодо переваг накопичу</w:t>
      </w:r>
      <w:r w:rsidR="001543CC" w:rsidRPr="0078696C">
        <w:rPr>
          <w:rFonts w:ascii="Times New Roman" w:hAnsi="Times New Roman"/>
          <w:color w:val="000000"/>
          <w:sz w:val="28"/>
          <w:szCs w:val="28"/>
        </w:rPr>
        <w:t>вальної пенсійної системи та недержавних пенсійних фондів</w:t>
      </w:r>
      <w:r w:rsidRPr="0078696C">
        <w:rPr>
          <w:rFonts w:ascii="Times New Roman" w:hAnsi="Times New Roman"/>
          <w:color w:val="000000"/>
          <w:sz w:val="28"/>
          <w:szCs w:val="28"/>
        </w:rPr>
        <w:t>.</w:t>
      </w:r>
    </w:p>
    <w:p w:rsidR="000E474A" w:rsidRPr="0078696C" w:rsidRDefault="000E474A" w:rsidP="000E474A">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 xml:space="preserve">6. Кардинальне розв’язання поточних і стратегічних проблем функціонування та розвитку пенсійної системи в нашій країні, окрім державного нормативного регулювання, </w:t>
      </w:r>
      <w:r w:rsidR="00A859E0" w:rsidRPr="0078696C">
        <w:rPr>
          <w:rFonts w:ascii="Times New Roman" w:hAnsi="Times New Roman"/>
          <w:color w:val="000000"/>
          <w:sz w:val="28"/>
          <w:szCs w:val="28"/>
        </w:rPr>
        <w:t>як</w:t>
      </w:r>
      <w:r w:rsidR="007E4A22" w:rsidRPr="0078696C">
        <w:rPr>
          <w:rFonts w:ascii="Times New Roman" w:hAnsi="Times New Roman"/>
          <w:color w:val="000000"/>
          <w:sz w:val="28"/>
          <w:szCs w:val="28"/>
        </w:rPr>
        <w:t>е</w:t>
      </w:r>
      <w:r w:rsidR="00A859E0" w:rsidRPr="0078696C">
        <w:rPr>
          <w:rFonts w:ascii="Times New Roman" w:hAnsi="Times New Roman"/>
          <w:color w:val="000000"/>
          <w:sz w:val="28"/>
          <w:szCs w:val="28"/>
        </w:rPr>
        <w:t xml:space="preserve"> автором пропонується покращити шляхом прийняття єдиного Кодексу про пенсійне забезпечення та страхування</w:t>
      </w:r>
      <w:r w:rsidR="007E4A22" w:rsidRPr="0078696C">
        <w:rPr>
          <w:rFonts w:ascii="Times New Roman" w:hAnsi="Times New Roman"/>
          <w:color w:val="000000"/>
          <w:sz w:val="28"/>
          <w:szCs w:val="28"/>
        </w:rPr>
        <w:t>,</w:t>
      </w:r>
      <w:r w:rsidRPr="0078696C">
        <w:rPr>
          <w:rFonts w:ascii="Times New Roman" w:hAnsi="Times New Roman"/>
          <w:color w:val="000000"/>
          <w:sz w:val="28"/>
          <w:szCs w:val="28"/>
        </w:rPr>
        <w:t>вбачається у поєднанні декількох напрямків її реформування:</w:t>
      </w:r>
    </w:p>
    <w:p w:rsidR="000E474A" w:rsidRPr="0078696C" w:rsidRDefault="000E474A" w:rsidP="000E474A">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По-перше, модернізація пенсійної системи на засадах подальшої диференціації пенсій порівняно з середнім заробітком працівника, його трудовим внеском на засадах дотримання соціальних прав для всіх громадян нашої країни шляхом впровадження відповідних стабільних інституційних механізмів щодо визначення умов пенсійних виплат. Інституціоналізацію відповідних правових засад цих заходів слід прискорити з метою повернення віри наших співгромадян в соціальну справедливість.</w:t>
      </w:r>
    </w:p>
    <w:p w:rsidR="000E474A" w:rsidRPr="0078696C" w:rsidRDefault="000E474A" w:rsidP="000E474A">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По-друге, розширення сфери дії накопичувальної підсистеми і стимулювання розвитку недержавного пенсійного страхування.</w:t>
      </w:r>
    </w:p>
    <w:p w:rsidR="000E474A" w:rsidRPr="0078696C" w:rsidRDefault="000E474A" w:rsidP="000E474A">
      <w:pPr>
        <w:pStyle w:val="24"/>
        <w:spacing w:after="0" w:line="360" w:lineRule="auto"/>
        <w:ind w:left="0" w:firstLine="709"/>
        <w:jc w:val="both"/>
        <w:rPr>
          <w:rFonts w:ascii="Times New Roman" w:hAnsi="Times New Roman"/>
          <w:color w:val="000000"/>
          <w:sz w:val="28"/>
          <w:szCs w:val="28"/>
        </w:rPr>
      </w:pPr>
      <w:r w:rsidRPr="0078696C">
        <w:rPr>
          <w:rFonts w:ascii="Times New Roman" w:hAnsi="Times New Roman"/>
          <w:color w:val="000000"/>
          <w:sz w:val="28"/>
          <w:szCs w:val="28"/>
        </w:rPr>
        <w:t>По-третє, водночас необхідні кардинальні зміни поза межами пенсійної системи у сфері зайнятості, оплати праці, детінізації економіки, її модернізації на інноваційних засадах і забезпечення на цій основі стабільного економічного зростання.</w:t>
      </w:r>
    </w:p>
    <w:p w:rsidR="00A54788" w:rsidRPr="0078696C" w:rsidRDefault="006A5EE8" w:rsidP="008A130C">
      <w:pPr>
        <w:jc w:val="center"/>
        <w:rPr>
          <w:rFonts w:ascii="Times New Roman" w:hAnsi="Times New Roman"/>
          <w:b/>
          <w:color w:val="000000"/>
          <w:sz w:val="28"/>
          <w:szCs w:val="28"/>
        </w:rPr>
      </w:pPr>
      <w:r w:rsidRPr="0078696C">
        <w:rPr>
          <w:rFonts w:ascii="Times New Roman" w:hAnsi="Times New Roman"/>
          <w:b/>
          <w:color w:val="000000"/>
          <w:sz w:val="28"/>
          <w:szCs w:val="28"/>
          <w:highlight w:val="yellow"/>
        </w:rPr>
        <w:br w:type="page"/>
      </w:r>
      <w:r w:rsidRPr="0078696C">
        <w:rPr>
          <w:rFonts w:ascii="Times New Roman" w:hAnsi="Times New Roman"/>
          <w:b/>
          <w:color w:val="000000"/>
          <w:sz w:val="28"/>
          <w:szCs w:val="28"/>
        </w:rPr>
        <w:lastRenderedPageBreak/>
        <w:t>ВИСНОВКИ</w:t>
      </w:r>
    </w:p>
    <w:p w:rsidR="00304244" w:rsidRPr="0078696C" w:rsidRDefault="00304244" w:rsidP="009551EC">
      <w:pPr>
        <w:rPr>
          <w:rFonts w:ascii="Times New Roman" w:hAnsi="Times New Roman"/>
          <w:b/>
          <w:color w:val="000000"/>
          <w:sz w:val="28"/>
          <w:szCs w:val="28"/>
        </w:rPr>
      </w:pPr>
    </w:p>
    <w:p w:rsidR="008A130C" w:rsidRPr="0078696C" w:rsidRDefault="008A130C" w:rsidP="009551EC">
      <w:pPr>
        <w:spacing w:after="0" w:line="360" w:lineRule="auto"/>
        <w:ind w:firstLine="709"/>
        <w:jc w:val="both"/>
        <w:rPr>
          <w:rFonts w:ascii="Times New Roman" w:hAnsi="Times New Roman"/>
          <w:color w:val="000000"/>
          <w:sz w:val="28"/>
          <w:szCs w:val="28"/>
        </w:rPr>
      </w:pPr>
      <w:r w:rsidRPr="003F53B2">
        <w:rPr>
          <w:rFonts w:ascii="Times New Roman" w:hAnsi="Times New Roman"/>
          <w:color w:val="000000"/>
          <w:sz w:val="28"/>
          <w:szCs w:val="28"/>
        </w:rPr>
        <w:t xml:space="preserve">У дисертації </w:t>
      </w:r>
      <w:r w:rsidR="003F53B2" w:rsidRPr="003F53B2">
        <w:rPr>
          <w:rFonts w:ascii="Times New Roman" w:hAnsi="Times New Roman"/>
          <w:noProof/>
          <w:sz w:val="28"/>
          <w:szCs w:val="28"/>
        </w:rPr>
        <w:t xml:space="preserve">вирішено актуальне наукове завдання – </w:t>
      </w:r>
      <w:r w:rsidRPr="003F53B2">
        <w:rPr>
          <w:rFonts w:ascii="Times New Roman" w:hAnsi="Times New Roman"/>
          <w:color w:val="000000"/>
          <w:sz w:val="28"/>
          <w:szCs w:val="28"/>
        </w:rPr>
        <w:t>здійснено</w:t>
      </w:r>
      <w:r w:rsidRPr="0078696C">
        <w:rPr>
          <w:rFonts w:ascii="Times New Roman" w:hAnsi="Times New Roman"/>
          <w:color w:val="000000"/>
          <w:sz w:val="28"/>
          <w:szCs w:val="28"/>
        </w:rPr>
        <w:t xml:space="preserve"> теоретичне узагальнення та сформульовано практичні рекомендації щодо реформування національної системи пенсійного забезпечення в контексті </w:t>
      </w:r>
      <w:r w:rsidR="00C966DD" w:rsidRPr="0078696C">
        <w:rPr>
          <w:rFonts w:ascii="Times New Roman" w:hAnsi="Times New Roman"/>
          <w:color w:val="000000"/>
          <w:sz w:val="28"/>
          <w:szCs w:val="28"/>
        </w:rPr>
        <w:t>євроінтеграції</w:t>
      </w:r>
      <w:r w:rsidRPr="0078696C">
        <w:rPr>
          <w:rFonts w:ascii="Times New Roman" w:hAnsi="Times New Roman"/>
          <w:color w:val="000000"/>
          <w:sz w:val="28"/>
          <w:szCs w:val="28"/>
        </w:rPr>
        <w:t>.</w:t>
      </w:r>
    </w:p>
    <w:p w:rsidR="009551EC" w:rsidRPr="0078696C" w:rsidRDefault="009551EC" w:rsidP="009551EC">
      <w:pPr>
        <w:spacing w:after="0" w:line="360" w:lineRule="auto"/>
        <w:ind w:firstLine="709"/>
        <w:jc w:val="both"/>
        <w:rPr>
          <w:rFonts w:ascii="Times New Roman" w:hAnsi="Times New Roman"/>
          <w:sz w:val="28"/>
          <w:szCs w:val="28"/>
        </w:rPr>
      </w:pPr>
      <w:r w:rsidRPr="0078696C">
        <w:rPr>
          <w:rFonts w:ascii="Times New Roman" w:hAnsi="Times New Roman"/>
          <w:sz w:val="28"/>
          <w:szCs w:val="28"/>
        </w:rPr>
        <w:t>Узагальнення результатів дослідження дало підстави сформулювати низку висновків і рекомендацій, що мають теоретичне і практичне значення.</w:t>
      </w:r>
    </w:p>
    <w:p w:rsidR="009551EC" w:rsidRPr="0078696C" w:rsidRDefault="009551EC" w:rsidP="009551EC">
      <w:pPr>
        <w:numPr>
          <w:ilvl w:val="0"/>
          <w:numId w:val="20"/>
        </w:numPr>
        <w:autoSpaceDE w:val="0"/>
        <w:autoSpaceDN w:val="0"/>
        <w:adjustRightInd w:val="0"/>
        <w:spacing w:after="0" w:line="360" w:lineRule="auto"/>
        <w:ind w:left="0" w:firstLine="709"/>
        <w:jc w:val="both"/>
        <w:rPr>
          <w:rFonts w:ascii="Times New Roman" w:hAnsi="Times New Roman"/>
          <w:iCs/>
          <w:sz w:val="28"/>
          <w:szCs w:val="28"/>
          <w:lang w:eastAsia="uk-UA"/>
        </w:rPr>
      </w:pPr>
      <w:r w:rsidRPr="0078696C">
        <w:rPr>
          <w:rFonts w:ascii="Times New Roman" w:hAnsi="Times New Roman"/>
          <w:iCs/>
          <w:sz w:val="28"/>
          <w:szCs w:val="28"/>
          <w:lang w:eastAsia="uk-UA"/>
        </w:rPr>
        <w:t>Досліджено понятійно-категоріальний апарат сутності поняття «пенсійного забезпечення» у контексті формування та реалізації цілей соціальної політики держави.</w:t>
      </w:r>
      <w:r w:rsidRPr="0078696C">
        <w:rPr>
          <w:rFonts w:ascii="Times New Roman" w:hAnsi="Times New Roman"/>
          <w:sz w:val="28"/>
          <w:szCs w:val="28"/>
        </w:rPr>
        <w:t xml:space="preserve"> Виокремлено </w:t>
      </w:r>
      <w:r w:rsidRPr="0078696C">
        <w:rPr>
          <w:rFonts w:ascii="Times New Roman" w:hAnsi="Times New Roman"/>
          <w:iCs/>
          <w:sz w:val="28"/>
          <w:szCs w:val="28"/>
          <w:lang w:eastAsia="uk-UA"/>
        </w:rPr>
        <w:t>широке та вузьке визначення даного поняття. Доведено, що у широкому розумінні пенсійне забезпечення включає в себе всі види пенсій, які формуються і виплачуються в рамках пенсійної системи, з урахуванням виплат із солідарного та накопичувального рівнів, а також за рахунок внесків до недержавних пенсійних фондів. У вузькому – пенсійне забезпечення розуміється як виплата пенсій за рахунок коштів державного бюджету, та не включає в себе поняття пенсійного страхування.</w:t>
      </w:r>
    </w:p>
    <w:p w:rsidR="009551EC" w:rsidRPr="0078696C" w:rsidRDefault="009551EC" w:rsidP="009551EC">
      <w:pPr>
        <w:autoSpaceDE w:val="0"/>
        <w:autoSpaceDN w:val="0"/>
        <w:adjustRightInd w:val="0"/>
        <w:spacing w:after="0" w:line="360" w:lineRule="auto"/>
        <w:ind w:firstLine="709"/>
        <w:jc w:val="both"/>
        <w:rPr>
          <w:rFonts w:ascii="Times New Roman" w:hAnsi="Times New Roman"/>
          <w:iCs/>
          <w:sz w:val="28"/>
          <w:szCs w:val="28"/>
          <w:lang w:eastAsia="uk-UA"/>
        </w:rPr>
      </w:pPr>
      <w:r w:rsidRPr="0078696C">
        <w:rPr>
          <w:rFonts w:ascii="Times New Roman" w:hAnsi="Times New Roman"/>
          <w:iCs/>
          <w:sz w:val="28"/>
          <w:szCs w:val="28"/>
          <w:lang w:eastAsia="uk-UA"/>
        </w:rPr>
        <w:t>Обґрунтовано, що метою державного управління у сфері пенсійного забезпечення є: проведення єдиної та ефективної державної політики у цій сфері; забезпечення реалізації прав громадян на пенсійне забезпечення; створення умов для ефективного функціонування та розвитку загальнообов’язкового державного та недержавного пенсійного страхування; забезпечення дотримання суб’єктами системи пенсійного забезпечення вимог законів, інших нормативно-правових актів, що регулюють відносини у цій сфері; адаптація системи загальнообов’язкового державного пенсійного страхування до міжнародних стандартів.</w:t>
      </w:r>
    </w:p>
    <w:p w:rsidR="009551EC" w:rsidRPr="0078696C" w:rsidRDefault="009551EC" w:rsidP="009551EC">
      <w:pPr>
        <w:autoSpaceDE w:val="0"/>
        <w:autoSpaceDN w:val="0"/>
        <w:adjustRightInd w:val="0"/>
        <w:spacing w:after="0" w:line="360" w:lineRule="auto"/>
        <w:ind w:firstLine="709"/>
        <w:jc w:val="both"/>
        <w:rPr>
          <w:rFonts w:ascii="Times New Roman" w:hAnsi="Times New Roman"/>
          <w:iCs/>
          <w:sz w:val="28"/>
          <w:szCs w:val="28"/>
          <w:lang w:eastAsia="uk-UA"/>
        </w:rPr>
      </w:pPr>
      <w:r w:rsidRPr="0078696C">
        <w:rPr>
          <w:rFonts w:ascii="Times New Roman" w:hAnsi="Times New Roman"/>
          <w:iCs/>
          <w:sz w:val="28"/>
          <w:szCs w:val="28"/>
          <w:lang w:eastAsia="uk-UA"/>
        </w:rPr>
        <w:t xml:space="preserve">Доведено, що поняття «джерело пенсійного забезпечення» є вужчим від поняття «джерело права» та відрізняється від останнього сферою регулювання та колом осіб, на яких воно поширюється. Вдосконалено класифікацію джерел </w:t>
      </w:r>
      <w:r w:rsidRPr="0078696C">
        <w:rPr>
          <w:rFonts w:ascii="Times New Roman" w:hAnsi="Times New Roman"/>
          <w:iCs/>
          <w:sz w:val="28"/>
          <w:szCs w:val="28"/>
          <w:lang w:eastAsia="uk-UA"/>
        </w:rPr>
        <w:lastRenderedPageBreak/>
        <w:t>пенсійного забезпечення за юридичною силою: Конституція України, ратифіковані міжнародні договори у сфері соціального та пенсійного забезпечення, закони України, акти Президента України та Кабінету міністрів, відомчі нормативно-правові акти, локальні нормативно-правові акти; за колом осіб: універсальне та спеціальне законодавство; за змістом: галузеве і комплексне законодавство; в залежності від фінансових джерел: правові акти, що регулюють пенсійне забезпечення за рахунок сплати загальнообов’язкових страхових внесків (тобто за рахунок власних надходжень до ПФУ), за рахунок бюджетних асигнувань (тобто за рахунок дотацій із державного бюджету), за рахунок власних коштів громадян (недержавне пенсійне забезпечення), за рахунок коштів підприємств, установ, організацій (витрати на відшкодування та виплату пільгових пенсій).</w:t>
      </w:r>
    </w:p>
    <w:p w:rsidR="009551EC" w:rsidRPr="0078696C" w:rsidRDefault="009551EC" w:rsidP="009551EC">
      <w:pPr>
        <w:pStyle w:val="a3"/>
        <w:numPr>
          <w:ilvl w:val="0"/>
          <w:numId w:val="20"/>
        </w:numPr>
        <w:spacing w:after="0" w:line="360" w:lineRule="auto"/>
        <w:ind w:left="0" w:firstLine="709"/>
        <w:jc w:val="both"/>
        <w:rPr>
          <w:rFonts w:ascii="Times New Roman" w:hAnsi="Times New Roman"/>
          <w:sz w:val="28"/>
          <w:szCs w:val="28"/>
          <w:lang w:val="uk-UA" w:eastAsia="uk-UA"/>
        </w:rPr>
      </w:pPr>
      <w:r w:rsidRPr="0078696C">
        <w:rPr>
          <w:rFonts w:ascii="Times New Roman" w:hAnsi="Times New Roman"/>
          <w:iCs/>
          <w:sz w:val="28"/>
          <w:szCs w:val="28"/>
          <w:lang w:val="uk-UA" w:eastAsia="uk-UA"/>
        </w:rPr>
        <w:t xml:space="preserve">Визначено основні тенденції формування та реалізації державної політики пенсійного забезпечення на території України з урахуванням історичних і географічних особливостей та доведено, що його розвиток пройшов кілька етапів: від виникнення кас взаємодопомоги, створення добровільних страхових організацій до запровадження солідарної та багаторівневої систем пенсійного забезпечення. Доведено, що </w:t>
      </w:r>
      <w:r w:rsidRPr="0078696C">
        <w:rPr>
          <w:rFonts w:ascii="Times New Roman" w:hAnsi="Times New Roman"/>
          <w:sz w:val="28"/>
          <w:szCs w:val="28"/>
          <w:lang w:val="uk-UA"/>
        </w:rPr>
        <w:t>найбільш прогресивним на початку ХХ ст. можна вважати австро-угорське соціальне страхування, в той час як соціальна політика на землях, які входили до складу Російської імперії, була менш розвинутою.</w:t>
      </w:r>
    </w:p>
    <w:p w:rsidR="009551EC" w:rsidRPr="0078696C" w:rsidRDefault="009551EC" w:rsidP="009551EC">
      <w:pPr>
        <w:pStyle w:val="a3"/>
        <w:spacing w:after="0" w:line="360" w:lineRule="auto"/>
        <w:ind w:left="0" w:firstLine="709"/>
        <w:jc w:val="both"/>
        <w:rPr>
          <w:rFonts w:ascii="Times New Roman" w:hAnsi="Times New Roman"/>
          <w:sz w:val="28"/>
          <w:szCs w:val="28"/>
          <w:lang w:val="uk-UA"/>
        </w:rPr>
      </w:pPr>
      <w:r w:rsidRPr="0078696C">
        <w:rPr>
          <w:rFonts w:ascii="Times New Roman" w:hAnsi="Times New Roman"/>
          <w:sz w:val="28"/>
          <w:szCs w:val="28"/>
          <w:lang w:val="uk-UA"/>
        </w:rPr>
        <w:t>Обґрунтовано, що перші значущі зміни, які стосувались соціальної політики та створення державної система пенсійного забезпечення населення, були пов’язані з проведенням уніфікації пенсійного законодавства шляхом прийняття законів «Про державні пенсії» 1956 року та «Про пенсії і допомоги членам колгоспу» 1964 року. З прийняттям Закону «Про пенсійне забезпечення громадян в СРСР» у 1990 році було закладено страхові основи пенсійної системи та відокремлено її від держбюджету.</w:t>
      </w:r>
    </w:p>
    <w:p w:rsidR="009551EC" w:rsidRPr="0078696C" w:rsidRDefault="009551EC" w:rsidP="009551EC">
      <w:pPr>
        <w:numPr>
          <w:ilvl w:val="0"/>
          <w:numId w:val="20"/>
        </w:numPr>
        <w:autoSpaceDE w:val="0"/>
        <w:autoSpaceDN w:val="0"/>
        <w:adjustRightInd w:val="0"/>
        <w:spacing w:after="0" w:line="360" w:lineRule="auto"/>
        <w:ind w:left="0" w:firstLine="709"/>
        <w:contextualSpacing/>
        <w:jc w:val="both"/>
        <w:rPr>
          <w:rFonts w:ascii="Times New Roman" w:hAnsi="Times New Roman"/>
          <w:iCs/>
          <w:sz w:val="28"/>
          <w:szCs w:val="28"/>
          <w:lang w:eastAsia="uk-UA"/>
        </w:rPr>
      </w:pPr>
      <w:r w:rsidRPr="0078696C">
        <w:rPr>
          <w:rFonts w:ascii="Times New Roman" w:hAnsi="Times New Roman"/>
          <w:sz w:val="28"/>
          <w:szCs w:val="28"/>
        </w:rPr>
        <w:t xml:space="preserve">На основі аналізу нормативно-правого регулювання в період з 1991 р. по 2019 р. виділено 6 основних етапів реформування </w:t>
      </w:r>
      <w:r w:rsidRPr="0078696C">
        <w:rPr>
          <w:rFonts w:ascii="Times New Roman" w:hAnsi="Times New Roman"/>
          <w:sz w:val="28"/>
          <w:szCs w:val="28"/>
          <w:lang w:eastAsia="uk-UA"/>
        </w:rPr>
        <w:t xml:space="preserve">вітчизняної системи </w:t>
      </w:r>
      <w:r w:rsidRPr="0078696C">
        <w:rPr>
          <w:rFonts w:ascii="Times New Roman" w:hAnsi="Times New Roman"/>
          <w:sz w:val="28"/>
          <w:szCs w:val="28"/>
          <w:lang w:eastAsia="uk-UA"/>
        </w:rPr>
        <w:lastRenderedPageBreak/>
        <w:t xml:space="preserve">пенсійного забезпечення, поділ на які обумовлений принциповими змінами у пенсійному законодавстві (ухвалення нових нормативно-правових актів з питань пенсійного забезпечення на страхових засадах, функціонування та діяльності органів ПФУ, запровадження трирівневої пенсійної моделі, зміни параметричних вимог щодо віку та стажу роботи тощо): </w:t>
      </w:r>
      <w:r w:rsidRPr="0078696C">
        <w:rPr>
          <w:rFonts w:ascii="Times New Roman" w:hAnsi="Times New Roman"/>
          <w:sz w:val="28"/>
          <w:szCs w:val="28"/>
        </w:rPr>
        <w:t>1 етап (1991 – 1997) – формування, розвиток та удосконалення пенсійної системи у перші роки незалежності України; 2 етап (1998 – 2003) – впровадження персоніфікованого обліку в системі загальнообов’язкового державного пенсійного страхування, об’єднання в складі єдиного органу – Пенсійного фонду України всіх необхідних підсистем; 3 етап (2004 – вересень 2011 ) – запровадження нової трирівневої пенсійної системи; 4 етап (жовтень 2011 – березень 2014) – внесення змін до пенсійного законодавства в частині підвищення пенсійного віку жінок, збільшення тривалості страхового стажу, обмеження максимального розміру пенсії тощо; 5 етап (квітень 2014 – вересень 2017) – реформування пенсійного законодавства в умовах економічної кризи; 6 етап (жовтень 2017 – до сьогодні) – проведення масштабних змін пенсійного законодавства, що спрямовані на підняття пенсійного віку та збільшення страхового стажу.</w:t>
      </w:r>
    </w:p>
    <w:p w:rsidR="009551EC" w:rsidRPr="0078696C" w:rsidRDefault="009551EC" w:rsidP="009551EC">
      <w:pPr>
        <w:numPr>
          <w:ilvl w:val="0"/>
          <w:numId w:val="20"/>
        </w:numPr>
        <w:autoSpaceDE w:val="0"/>
        <w:autoSpaceDN w:val="0"/>
        <w:adjustRightInd w:val="0"/>
        <w:spacing w:after="0" w:line="360" w:lineRule="auto"/>
        <w:ind w:left="0" w:firstLine="709"/>
        <w:jc w:val="both"/>
        <w:rPr>
          <w:rFonts w:ascii="Times New Roman" w:hAnsi="Times New Roman"/>
          <w:iCs/>
          <w:sz w:val="28"/>
          <w:szCs w:val="28"/>
          <w:lang w:eastAsia="uk-UA"/>
        </w:rPr>
      </w:pPr>
      <w:r w:rsidRPr="0078696C">
        <w:rPr>
          <w:rFonts w:ascii="Times New Roman" w:hAnsi="Times New Roman"/>
          <w:iCs/>
          <w:sz w:val="28"/>
          <w:szCs w:val="28"/>
          <w:lang w:eastAsia="uk-UA"/>
        </w:rPr>
        <w:t>Доведено, що для пенсійної системи України характерні непослідовність і циклічність, залежність від низької результативності реформ у політичній, економічній та соціальній сферах. Негативний вплив справляють невисока для більшості зайнятого населення заробітна плата, великі обсяги тіньових виплат. Система обов’язкового пенсійного страхування не є збалансованою між страховими внесками й пенсійними виплатами. Проведене практичне дослідження довело, що розмір пенсії не відповідає трудовому внеску людини, адже навіть при більш як 40-річному стажі роботи, та повній сплаті страхових внесків починаючи з 1992 року, обчислений розмір пенсійної виплати може становити навіть менше рівня прожиткового мінімуму, встановленого для осіб, які втратили працездатність.</w:t>
      </w:r>
    </w:p>
    <w:p w:rsidR="009551EC" w:rsidRPr="0078696C" w:rsidRDefault="009551EC" w:rsidP="009551EC">
      <w:pPr>
        <w:autoSpaceDE w:val="0"/>
        <w:autoSpaceDN w:val="0"/>
        <w:adjustRightInd w:val="0"/>
        <w:spacing w:after="0" w:line="360" w:lineRule="auto"/>
        <w:ind w:firstLine="709"/>
        <w:jc w:val="both"/>
        <w:rPr>
          <w:rFonts w:ascii="Times New Roman" w:hAnsi="Times New Roman"/>
          <w:iCs/>
          <w:sz w:val="28"/>
          <w:szCs w:val="28"/>
          <w:lang w:eastAsia="uk-UA"/>
        </w:rPr>
      </w:pPr>
      <w:r w:rsidRPr="0078696C">
        <w:rPr>
          <w:rFonts w:ascii="Times New Roman" w:hAnsi="Times New Roman"/>
          <w:iCs/>
          <w:sz w:val="28"/>
          <w:szCs w:val="28"/>
          <w:lang w:eastAsia="uk-UA"/>
        </w:rPr>
        <w:t xml:space="preserve">Доведено, що існують значні системні недоліки у пенсійному законодавстві, що створюють глибокий дисбаланс між пенсійними виплатами, </w:t>
      </w:r>
      <w:r w:rsidRPr="0078696C">
        <w:rPr>
          <w:rFonts w:ascii="Times New Roman" w:hAnsi="Times New Roman"/>
          <w:iCs/>
          <w:sz w:val="28"/>
          <w:szCs w:val="28"/>
          <w:lang w:eastAsia="uk-UA"/>
        </w:rPr>
        <w:lastRenderedPageBreak/>
        <w:t>призначеними за нормами універсального та спеціального законодавства. Так, чинний механізм фінансового забезпечення виплати дострокових пенсій зазвичай передбачає перекладання (повне або часткове) відповідних зобов’язань на державний бюджет. Окремі категорії осіб одержують значні преференції, пов’язані з достроковим виходом на пенсії, у вигляді більш раннього призначення пенсійних виплат та більшого періоду їх отримання, які оплачують здебільшого за рахунок коштів державного бюджету. Це дає змогу роботодавцям встановлювати оплату праці на нижчому рівні, порівняно з тим, який би спостерігався в разі відсутності подібних преференцій. Таким чином, реальну вигоду від застосування механізму дострокового виходу на пенсії одержують підприємства, зокрема ті, які створюють своїм працівникам важкі умови праці.</w:t>
      </w:r>
    </w:p>
    <w:p w:rsidR="009551EC" w:rsidRPr="0078696C" w:rsidRDefault="009551EC" w:rsidP="009551EC">
      <w:pPr>
        <w:numPr>
          <w:ilvl w:val="0"/>
          <w:numId w:val="20"/>
        </w:numPr>
        <w:autoSpaceDE w:val="0"/>
        <w:autoSpaceDN w:val="0"/>
        <w:adjustRightInd w:val="0"/>
        <w:spacing w:after="0" w:line="360" w:lineRule="auto"/>
        <w:ind w:left="0" w:firstLine="709"/>
        <w:contextualSpacing/>
        <w:jc w:val="both"/>
        <w:rPr>
          <w:rFonts w:ascii="Times New Roman" w:hAnsi="Times New Roman"/>
          <w:iCs/>
          <w:sz w:val="28"/>
          <w:szCs w:val="28"/>
          <w:lang w:eastAsia="uk-UA"/>
        </w:rPr>
      </w:pPr>
      <w:r w:rsidRPr="0078696C">
        <w:rPr>
          <w:rFonts w:ascii="Times New Roman" w:hAnsi="Times New Roman"/>
          <w:iCs/>
          <w:sz w:val="28"/>
          <w:szCs w:val="28"/>
          <w:lang w:eastAsia="uk-UA"/>
        </w:rPr>
        <w:t>Досліджено моделі і стратегії пенсійного забезпечення та обґрунтовано, що різні комбінації моделей пенсійних систем зумовлені поєднанням базових інститутів пенсійного забезпечення (соціальна пенсія, обов’язкове соціальне страхування та приватне добровільне страхування пенсії, що передбачає існування двох основних функцій державної системи пенсійного забезпечення: перерозподілу доходів і заощадження коштів на виплату пенсій (солідарна і накопичувальна системи).</w:t>
      </w:r>
    </w:p>
    <w:p w:rsidR="009551EC" w:rsidRPr="0078696C" w:rsidRDefault="009551EC" w:rsidP="009551EC">
      <w:pPr>
        <w:autoSpaceDE w:val="0"/>
        <w:autoSpaceDN w:val="0"/>
        <w:adjustRightInd w:val="0"/>
        <w:spacing w:after="0" w:line="360" w:lineRule="auto"/>
        <w:ind w:firstLine="709"/>
        <w:contextualSpacing/>
        <w:jc w:val="both"/>
        <w:rPr>
          <w:rFonts w:ascii="Times New Roman" w:hAnsi="Times New Roman"/>
          <w:iCs/>
          <w:sz w:val="28"/>
          <w:szCs w:val="28"/>
          <w:lang w:eastAsia="uk-UA"/>
        </w:rPr>
      </w:pPr>
      <w:r w:rsidRPr="0078696C">
        <w:rPr>
          <w:rFonts w:ascii="Times New Roman" w:hAnsi="Times New Roman"/>
          <w:iCs/>
          <w:sz w:val="28"/>
          <w:szCs w:val="28"/>
          <w:lang w:eastAsia="uk-UA"/>
        </w:rPr>
        <w:t>Доведено, що загальна тенденція всіх реформ пенсійних систем європейських країн – це поступовий перехід від зрівняльних систем до індивідуально-накопичувальних, які засновані на принципах особистої відповідальності за своє матеріальне забезпечення в старості і на капіталізації тих коштів, які працівник надає пенсійним фондам. Однак, державні «солідарні» схеми продовжують існувати, хоча і в значно скороченому вигляді.</w:t>
      </w:r>
    </w:p>
    <w:p w:rsidR="009551EC" w:rsidRPr="0078696C" w:rsidRDefault="009551EC" w:rsidP="009551EC">
      <w:pPr>
        <w:autoSpaceDE w:val="0"/>
        <w:autoSpaceDN w:val="0"/>
        <w:adjustRightInd w:val="0"/>
        <w:spacing w:after="0" w:line="360" w:lineRule="auto"/>
        <w:ind w:firstLine="709"/>
        <w:contextualSpacing/>
        <w:jc w:val="both"/>
        <w:rPr>
          <w:rFonts w:ascii="Times New Roman" w:hAnsi="Times New Roman"/>
          <w:iCs/>
          <w:sz w:val="28"/>
          <w:szCs w:val="28"/>
          <w:lang w:eastAsia="uk-UA"/>
        </w:rPr>
      </w:pPr>
      <w:r w:rsidRPr="0078696C">
        <w:rPr>
          <w:rFonts w:ascii="Times New Roman" w:hAnsi="Times New Roman"/>
          <w:iCs/>
          <w:sz w:val="28"/>
          <w:szCs w:val="28"/>
          <w:lang w:eastAsia="uk-UA"/>
        </w:rPr>
        <w:t xml:space="preserve">Обґрунтовано, що провідними тенденціями розвитку зарубіжних пенсійних систем в останні роки є: послаблення впливу держави на здійснення соціального захисту, розширення участі громадянського суспільства в процесі формулювання завдань соціальної політики, розвиток недержавних форм соціального захисту, поступове зростання ролі самої особи у створенні </w:t>
      </w:r>
      <w:r w:rsidRPr="0078696C">
        <w:rPr>
          <w:rFonts w:ascii="Times New Roman" w:hAnsi="Times New Roman"/>
          <w:iCs/>
          <w:sz w:val="28"/>
          <w:szCs w:val="28"/>
          <w:lang w:eastAsia="uk-UA"/>
        </w:rPr>
        <w:lastRenderedPageBreak/>
        <w:t>власного добробуту, розбудовою сфери надання пенсіонерам нефінансових послуг. Ці тенденції реалізуються через диверсифікацію джерел формування пенсійної виплати і поступове збільшення накопичувального компоненту пенсійних програм.</w:t>
      </w:r>
    </w:p>
    <w:p w:rsidR="009551EC" w:rsidRPr="0078696C" w:rsidRDefault="009551EC" w:rsidP="009551EC">
      <w:pPr>
        <w:numPr>
          <w:ilvl w:val="0"/>
          <w:numId w:val="20"/>
        </w:numPr>
        <w:autoSpaceDE w:val="0"/>
        <w:autoSpaceDN w:val="0"/>
        <w:adjustRightInd w:val="0"/>
        <w:spacing w:after="0" w:line="360" w:lineRule="auto"/>
        <w:ind w:left="0" w:firstLine="709"/>
        <w:contextualSpacing/>
        <w:jc w:val="both"/>
        <w:rPr>
          <w:rFonts w:ascii="Times New Roman" w:hAnsi="Times New Roman"/>
          <w:iCs/>
          <w:sz w:val="28"/>
          <w:szCs w:val="28"/>
          <w:lang w:eastAsia="uk-UA"/>
        </w:rPr>
      </w:pPr>
      <w:r w:rsidRPr="0078696C">
        <w:rPr>
          <w:rFonts w:ascii="Times New Roman" w:hAnsi="Times New Roman"/>
          <w:iCs/>
          <w:sz w:val="28"/>
          <w:szCs w:val="28"/>
          <w:lang w:eastAsia="uk-UA"/>
        </w:rPr>
        <w:t>Доведено, що у результаті реформування в Україні має бути створена така пенсійна система, що буде відповідати основним принципам побудови пенсійних систем країн ЄС та таким вимогам: по-перше, вона має поєднувати ефективність і економічну самодостатність із соціальною орієнтованістю; по-друге, раціонально поєднувати розподільні і накопичувальні елементи; по-третє, формувати відповідальне і мотивоване ставлення працівників і роботодавців до накопичення коштів для фінансування майбутніх пенсій. Роль держави повинна полягати у створенні організаційно-правових основ надійного функціонування системи, накопичення працездатним населенням власних пенсійних заощаджень, гарантуванні їх збереження.</w:t>
      </w:r>
    </w:p>
    <w:p w:rsidR="009551EC" w:rsidRPr="0078696C" w:rsidRDefault="009551EC" w:rsidP="009551EC">
      <w:pPr>
        <w:pStyle w:val="a3"/>
        <w:autoSpaceDE w:val="0"/>
        <w:autoSpaceDN w:val="0"/>
        <w:adjustRightInd w:val="0"/>
        <w:spacing w:after="0" w:line="360" w:lineRule="auto"/>
        <w:ind w:left="0" w:firstLine="709"/>
        <w:jc w:val="both"/>
        <w:rPr>
          <w:rFonts w:ascii="Times New Roman" w:hAnsi="Times New Roman"/>
          <w:iCs/>
          <w:sz w:val="28"/>
          <w:szCs w:val="28"/>
          <w:lang w:val="uk-UA" w:eastAsia="uk-UA"/>
        </w:rPr>
      </w:pPr>
      <w:r w:rsidRPr="0078696C">
        <w:rPr>
          <w:rFonts w:ascii="Times New Roman" w:hAnsi="Times New Roman"/>
          <w:iCs/>
          <w:sz w:val="28"/>
          <w:szCs w:val="28"/>
          <w:lang w:val="uk-UA" w:eastAsia="uk-UA"/>
        </w:rPr>
        <w:t>Обґрунтовано необхідність скасування пільг та привілеїв для окремих категорій громадян та зняття навантажень з ПФУ щодо виплати пенсій, які невластиві його функціональному призначенню.</w:t>
      </w:r>
    </w:p>
    <w:p w:rsidR="009551EC" w:rsidRPr="0078696C" w:rsidRDefault="009551EC" w:rsidP="009551EC">
      <w:pPr>
        <w:pStyle w:val="a3"/>
        <w:autoSpaceDE w:val="0"/>
        <w:autoSpaceDN w:val="0"/>
        <w:adjustRightInd w:val="0"/>
        <w:spacing w:after="0" w:line="360" w:lineRule="auto"/>
        <w:ind w:left="0" w:firstLine="709"/>
        <w:jc w:val="both"/>
        <w:rPr>
          <w:rFonts w:ascii="Times New Roman" w:hAnsi="Times New Roman"/>
          <w:iCs/>
          <w:sz w:val="28"/>
          <w:szCs w:val="28"/>
          <w:lang w:val="uk-UA" w:eastAsia="uk-UA"/>
        </w:rPr>
      </w:pPr>
      <w:r w:rsidRPr="0078696C">
        <w:rPr>
          <w:rFonts w:ascii="Times New Roman" w:hAnsi="Times New Roman"/>
          <w:iCs/>
          <w:sz w:val="28"/>
          <w:szCs w:val="28"/>
          <w:lang w:val="uk-UA" w:eastAsia="uk-UA"/>
        </w:rPr>
        <w:t>Запропоновано авторське бачення змін до пенсійного законодавства шляхом прийняття Кодексу пенсійного забезпечення та страхування на основі діючих Законів України «Про загальнообов’язкове державне пенсійне страхування», «Про пенсійне забезпечення», «Про недержавне пенсійне забезпечення» та норм спеціального законодавства, що регулюють окремі питання пенсійного забезпечення: «Про статус ветеранів війни, гарантії їх соціального захисту», «Про основні засади соціального захисту ветеранів праці та інших громадян похилого віку в Україні», «Про донорство крові та її компонентів», «Про статус гірських населених пунктів в Україні», «Про пенсії за особливі заслуги перед Україною», «Про соціальний захист дітей війни».</w:t>
      </w:r>
    </w:p>
    <w:p w:rsidR="008C02C6" w:rsidRDefault="008C02C6" w:rsidP="003D3AD8">
      <w:pPr>
        <w:contextualSpacing/>
        <w:jc w:val="center"/>
        <w:rPr>
          <w:rFonts w:ascii="Times New Roman" w:hAnsi="Times New Roman"/>
          <w:b/>
          <w:color w:val="000000"/>
          <w:sz w:val="28"/>
          <w:szCs w:val="28"/>
        </w:rPr>
      </w:pPr>
      <w:r w:rsidRPr="0078696C">
        <w:rPr>
          <w:rFonts w:ascii="Times New Roman" w:hAnsi="Times New Roman"/>
          <w:b/>
          <w:color w:val="000000"/>
          <w:sz w:val="28"/>
          <w:szCs w:val="28"/>
        </w:rPr>
        <w:br w:type="page"/>
      </w:r>
      <w:r w:rsidRPr="0078696C">
        <w:rPr>
          <w:rFonts w:ascii="Times New Roman" w:hAnsi="Times New Roman"/>
          <w:b/>
          <w:color w:val="000000"/>
          <w:sz w:val="28"/>
          <w:szCs w:val="28"/>
        </w:rPr>
        <w:lastRenderedPageBreak/>
        <w:t>СПИСОК ВИКОРИСТАНИХ ДЖЕРЕЛ</w:t>
      </w:r>
    </w:p>
    <w:p w:rsidR="00962B8D" w:rsidRPr="0078696C" w:rsidRDefault="00962B8D" w:rsidP="003D3AD8">
      <w:pPr>
        <w:contextualSpacing/>
        <w:jc w:val="center"/>
        <w:rPr>
          <w:rFonts w:ascii="Times New Roman" w:hAnsi="Times New Roman"/>
          <w:b/>
          <w:color w:val="000000"/>
          <w:sz w:val="28"/>
          <w:szCs w:val="28"/>
        </w:rPr>
      </w:pP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Андреев В.С. Право социального обеспечения СССР. М.: Юрид. лит.,1980. 312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Антропов В.В. Социальная защита в странах Европейского Союза. История, организация, финансирование, проблемы. М.: ЗАО Издательство «Экономика». 2006. 271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Антропов В.В. Экономические модели социальной защиты населения в государствах ЕС: автореф. диc. докт. экон. наук. М.: МГУ им. </w:t>
      </w:r>
      <w:r w:rsidRPr="00DA41A0">
        <w:rPr>
          <w:rFonts w:ascii="Times New Roman" w:hAnsi="Times New Roman"/>
          <w:color w:val="000000" w:themeColor="text1"/>
          <w:sz w:val="28"/>
          <w:szCs w:val="28"/>
        </w:rPr>
        <w:br/>
        <w:t>Н.В Ломоносова. 2007. 48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Ачаркан В. А. Социально-правовые аспекты труда пенсионеров. </w:t>
      </w:r>
      <w:r w:rsidRPr="00DA41A0">
        <w:rPr>
          <w:rFonts w:ascii="Times New Roman" w:hAnsi="Times New Roman"/>
          <w:i/>
          <w:color w:val="000000" w:themeColor="text1"/>
          <w:sz w:val="28"/>
          <w:szCs w:val="28"/>
        </w:rPr>
        <w:t>Советское государство и право</w:t>
      </w:r>
      <w:r w:rsidRPr="00DA41A0">
        <w:rPr>
          <w:rFonts w:ascii="Times New Roman" w:hAnsi="Times New Roman"/>
          <w:color w:val="000000" w:themeColor="text1"/>
          <w:sz w:val="28"/>
          <w:szCs w:val="28"/>
        </w:rPr>
        <w:t>. 1973. № 11. С. 39–40.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Байдин В.Е. Немецкий опыт пенсионной реформы Ристера. </w:t>
      </w:r>
      <w:r w:rsidRPr="00DA41A0">
        <w:rPr>
          <w:rFonts w:ascii="Times New Roman" w:hAnsi="Times New Roman"/>
          <w:i/>
          <w:color w:val="000000" w:themeColor="text1"/>
          <w:sz w:val="28"/>
          <w:szCs w:val="28"/>
        </w:rPr>
        <w:t>Внешнеэкономический бюлетень</w:t>
      </w:r>
      <w:r w:rsidRPr="00DA41A0">
        <w:rPr>
          <w:rFonts w:ascii="Times New Roman" w:hAnsi="Times New Roman"/>
          <w:color w:val="000000" w:themeColor="text1"/>
          <w:sz w:val="28"/>
          <w:szCs w:val="28"/>
        </w:rPr>
        <w:t>. 2005. №8. С. 38-42.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Бакуменко В.Д. Теоретичні та організаційні засади державного управління: навч. посіб. / В.Д. Бакуменко, П.І. Надолішній. К.: Міленіум, 2003. 256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Бевзенко О.В. Пенсійне страхування: сутність та порівняльна характеристика. </w:t>
      </w:r>
      <w:r w:rsidRPr="00DA41A0">
        <w:rPr>
          <w:rFonts w:ascii="Times New Roman" w:hAnsi="Times New Roman"/>
          <w:i/>
          <w:color w:val="000000" w:themeColor="text1"/>
          <w:sz w:val="28"/>
          <w:szCs w:val="28"/>
        </w:rPr>
        <w:t>Вісник Чернігівського державного технологічного університету:</w:t>
      </w:r>
      <w:r w:rsidRPr="00DA41A0">
        <w:rPr>
          <w:rFonts w:ascii="Times New Roman" w:hAnsi="Times New Roman"/>
          <w:color w:val="000000" w:themeColor="text1"/>
          <w:sz w:val="28"/>
          <w:szCs w:val="28"/>
        </w:rPr>
        <w:t xml:space="preserve"> Економічні науки. 2012. № 3 (60). С. 247–253.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shd w:val="clear" w:color="auto" w:fill="FFFFFF"/>
        </w:rPr>
        <w:t xml:space="preserve">Безверхнюк Т.М. Ресурсне забезпечення регіонального управління: теоретико-методологічні засади: [монографія]. Одеса: ОРІДУ НАДУ, 2009. </w:t>
      </w:r>
      <w:r w:rsidRPr="00DA41A0">
        <w:rPr>
          <w:rFonts w:ascii="Times New Roman" w:hAnsi="Times New Roman"/>
          <w:color w:val="000000" w:themeColor="text1"/>
          <w:sz w:val="28"/>
          <w:szCs w:val="28"/>
          <w:shd w:val="clear" w:color="auto" w:fill="FFFFFF"/>
        </w:rPr>
        <w:br/>
        <w:t>318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Бек К. Відновлення сталінської системи в повоєнній УРСР. </w:t>
      </w:r>
      <w:r w:rsidRPr="00DA41A0">
        <w:rPr>
          <w:rFonts w:ascii="Times New Roman" w:hAnsi="Times New Roman"/>
          <w:i/>
          <w:color w:val="000000" w:themeColor="text1"/>
          <w:sz w:val="28"/>
          <w:szCs w:val="28"/>
        </w:rPr>
        <w:t>Український історичний журнал</w:t>
      </w:r>
      <w:r w:rsidRPr="00DA41A0">
        <w:rPr>
          <w:rFonts w:ascii="Times New Roman" w:hAnsi="Times New Roman"/>
          <w:color w:val="000000" w:themeColor="text1"/>
          <w:sz w:val="28"/>
          <w:szCs w:val="28"/>
        </w:rPr>
        <w:t xml:space="preserve">. 2012. № 4. С. 127–139. </w:t>
      </w:r>
      <w:r w:rsidRPr="00DA41A0">
        <w:rPr>
          <w:rFonts w:ascii="Times New Roman" w:hAnsi="Times New Roman"/>
          <w:color w:val="000000" w:themeColor="text1"/>
          <w:sz w:val="28"/>
          <w:szCs w:val="28"/>
        </w:rPr>
        <w:br/>
        <w:t>URL: http://googl/HzPMZ4.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Бєлоусов В.М. Державне регулювання системи пенсійного забезпечення в контексті історії. </w:t>
      </w:r>
      <w:r w:rsidRPr="00DA41A0">
        <w:rPr>
          <w:rFonts w:ascii="Times New Roman" w:hAnsi="Times New Roman"/>
          <w:i/>
          <w:color w:val="000000" w:themeColor="text1"/>
          <w:sz w:val="28"/>
          <w:szCs w:val="28"/>
        </w:rPr>
        <w:t>Науковий вісник Академії муніципального управління</w:t>
      </w:r>
      <w:r w:rsidRPr="00DA41A0">
        <w:rPr>
          <w:rFonts w:ascii="Times New Roman" w:hAnsi="Times New Roman"/>
          <w:color w:val="000000" w:themeColor="text1"/>
          <w:sz w:val="28"/>
          <w:szCs w:val="28"/>
        </w:rPr>
        <w:t>. Серія: Управління. 2012. Вип. 1. С. 196–203.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Богданов А.А. Тектология: Всеобщая организационная наука. Редколлегия В.В. Попков (отв. ред.) и др. Сост., предисловие и комментарии Г.Д. Гловели. Послесловие В.В. Попкова. М.: Финансы, 2003. 304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Бондалетова Т.О., Харченко А.С. Етапи становлення системи пенсійного забезпечення України. </w:t>
      </w:r>
      <w:r w:rsidRPr="00DA41A0">
        <w:rPr>
          <w:rFonts w:ascii="Times New Roman" w:hAnsi="Times New Roman"/>
          <w:i/>
          <w:color w:val="000000" w:themeColor="text1"/>
          <w:sz w:val="28"/>
          <w:szCs w:val="28"/>
        </w:rPr>
        <w:t xml:space="preserve">Інновації та традиції в сучасній науковій думці: </w:t>
      </w:r>
      <w:r w:rsidRPr="00DA41A0">
        <w:rPr>
          <w:rFonts w:ascii="Times New Roman" w:hAnsi="Times New Roman"/>
          <w:color w:val="000000" w:themeColor="text1"/>
          <w:sz w:val="28"/>
          <w:szCs w:val="28"/>
        </w:rPr>
        <w:t>матер. третьої міжнар. наук.-практ. інтернет-конф. (21–23 серпня). Вінниця: [б.в.], 2014. C. 36–42.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Борисенко Н.Ю. Пенсионное обеспечение: Учебник. </w:t>
      </w:r>
      <w:r w:rsidRPr="00DA41A0">
        <w:rPr>
          <w:rFonts w:ascii="Times New Roman" w:hAnsi="Times New Roman"/>
          <w:color w:val="000000" w:themeColor="text1"/>
          <w:sz w:val="28"/>
          <w:szCs w:val="28"/>
        </w:rPr>
        <w:br/>
        <w:t>М.: Издательско-торговая корпорация «Дашков и К», 2010. 576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Бульба В.Г., Тарабукіна І.І. Державне управління реформуванням системи надання соціальних послуг. </w:t>
      </w:r>
      <w:r w:rsidRPr="00DA41A0">
        <w:rPr>
          <w:rFonts w:ascii="Times New Roman" w:hAnsi="Times New Roman"/>
          <w:i/>
          <w:color w:val="000000" w:themeColor="text1"/>
          <w:sz w:val="28"/>
          <w:szCs w:val="28"/>
        </w:rPr>
        <w:t>Теорія та практика державного управління</w:t>
      </w:r>
      <w:r w:rsidRPr="00DA41A0">
        <w:rPr>
          <w:rFonts w:ascii="Times New Roman" w:hAnsi="Times New Roman"/>
          <w:color w:val="000000" w:themeColor="text1"/>
          <w:sz w:val="28"/>
          <w:szCs w:val="28"/>
        </w:rPr>
        <w:t>. 2013. Вип. 4. С. 111–116.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Буряченко О.Є. Пенсійна система в Україні: історія становлення і теоретичні засади розвитку на сучасному етапі національного державотворення: дис. канд. наук з держ. упр. Одеса, 2017. 252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Буряченко О.Є. Сутність поняття пенсійного забезпечення в науковому дискурсі. </w:t>
      </w:r>
      <w:r w:rsidRPr="00DA41A0">
        <w:rPr>
          <w:rFonts w:ascii="Times New Roman" w:hAnsi="Times New Roman"/>
          <w:i/>
          <w:color w:val="000000" w:themeColor="text1"/>
          <w:sz w:val="28"/>
          <w:szCs w:val="28"/>
        </w:rPr>
        <w:t>Теорія та практика державного управління.</w:t>
      </w:r>
      <w:r w:rsidRPr="00DA41A0">
        <w:rPr>
          <w:rFonts w:ascii="Times New Roman" w:hAnsi="Times New Roman"/>
          <w:color w:val="000000" w:themeColor="text1"/>
          <w:sz w:val="28"/>
          <w:szCs w:val="28"/>
        </w:rPr>
        <w:t xml:space="preserve"> 2015. Вип. 2 (49). С. 90–97.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lang w:val="ru-RU"/>
        </w:rPr>
      </w:pPr>
      <w:r w:rsidRPr="00DA41A0">
        <w:rPr>
          <w:rFonts w:ascii="Times New Roman" w:hAnsi="Times New Roman"/>
          <w:color w:val="000000" w:themeColor="text1"/>
          <w:sz w:val="28"/>
          <w:szCs w:val="28"/>
        </w:rPr>
        <w:t>Васьківська</w:t>
      </w:r>
      <w:r w:rsidRPr="00DA41A0">
        <w:rPr>
          <w:rFonts w:ascii="Times New Roman" w:hAnsi="Times New Roman"/>
          <w:color w:val="000000" w:themeColor="text1"/>
          <w:sz w:val="28"/>
          <w:szCs w:val="28"/>
          <w:lang w:val="ru-RU"/>
        </w:rPr>
        <w:t xml:space="preserve"> К.</w:t>
      </w:r>
      <w:r w:rsidRPr="00DA41A0">
        <w:rPr>
          <w:rFonts w:ascii="Times New Roman" w:hAnsi="Times New Roman"/>
          <w:color w:val="000000" w:themeColor="text1"/>
          <w:sz w:val="28"/>
          <w:szCs w:val="28"/>
        </w:rPr>
        <w:t>,</w:t>
      </w:r>
      <w:r w:rsidRPr="00DA41A0">
        <w:rPr>
          <w:rFonts w:ascii="Times New Roman" w:hAnsi="Times New Roman"/>
          <w:color w:val="000000" w:themeColor="text1"/>
          <w:sz w:val="28"/>
          <w:szCs w:val="28"/>
          <w:lang w:val="ru-RU"/>
        </w:rPr>
        <w:t xml:space="preserve"> Данилюк О. Теоретичні основи функціонування системи пенсійного забезпечення в Україні. </w:t>
      </w:r>
      <w:hyperlink r:id="rId30" w:tooltip="Періодичне видання" w:history="1">
        <w:r w:rsidRPr="00DA41A0">
          <w:rPr>
            <w:rStyle w:val="a9"/>
            <w:rFonts w:ascii="Times New Roman" w:hAnsi="Times New Roman"/>
            <w:i/>
            <w:color w:val="000000" w:themeColor="text1"/>
            <w:sz w:val="28"/>
            <w:szCs w:val="28"/>
            <w:u w:val="none"/>
          </w:rPr>
          <w:t>Вісник Львівського національного аграрного університету.</w:t>
        </w:r>
        <w:r w:rsidRPr="00DA41A0">
          <w:rPr>
            <w:rStyle w:val="a9"/>
            <w:rFonts w:ascii="Times New Roman" w:hAnsi="Times New Roman"/>
            <w:color w:val="000000" w:themeColor="text1"/>
            <w:sz w:val="28"/>
            <w:szCs w:val="28"/>
            <w:u w:val="none"/>
          </w:rPr>
          <w:t xml:space="preserve"> Серія : Економіка АПК</w:t>
        </w:r>
      </w:hyperlink>
      <w:r w:rsidRPr="00DA41A0">
        <w:rPr>
          <w:rFonts w:ascii="Times New Roman" w:hAnsi="Times New Roman"/>
          <w:color w:val="000000" w:themeColor="text1"/>
          <w:sz w:val="28"/>
          <w:szCs w:val="28"/>
        </w:rPr>
        <w:t>. 2014. № 21(1). С. 49–55.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Венгеров А.Б. Теория государства и права: Учебник для юридических вузов. М.: Юриспруденция, 2000. 528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Верещак В.М. Державне управління впровадженням обов’язкової накопичувальної системи в умовах кризи чинної моделі пенсійного забезпечення в Україні: дис. канд. наук з держ. упр. К., 2017. 232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Водолажченко Д.C. Тіньова економіка сьогодні: причини та наслідки. URL: http://www.kbuapa.kharkov.ua/e-book/conf/2010-1/doc/09.pdf.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Волков A.M. Швеция: социально-экономическая модель.</w:t>
      </w:r>
      <w:r w:rsidRPr="00DA41A0">
        <w:rPr>
          <w:rFonts w:ascii="Times New Roman" w:hAnsi="Times New Roman"/>
          <w:color w:val="000000" w:themeColor="text1"/>
          <w:sz w:val="28"/>
          <w:szCs w:val="28"/>
          <w:lang w:val="ru-RU"/>
        </w:rPr>
        <w:br/>
      </w:r>
      <w:r w:rsidRPr="00DA41A0">
        <w:rPr>
          <w:rFonts w:ascii="Times New Roman" w:hAnsi="Times New Roman"/>
          <w:color w:val="000000" w:themeColor="text1"/>
          <w:sz w:val="28"/>
          <w:szCs w:val="28"/>
        </w:rPr>
        <w:t>М.: Мысль, 1991. 188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Волошина А.Ю. Пенсионные системы в современном мире: основные тенденции и причины реформирования в странах в различным уровнем экономического развития. </w:t>
      </w:r>
      <w:r w:rsidRPr="00DA41A0">
        <w:rPr>
          <w:rFonts w:ascii="Times New Roman" w:hAnsi="Times New Roman"/>
          <w:i/>
          <w:color w:val="000000" w:themeColor="text1"/>
          <w:sz w:val="28"/>
          <w:szCs w:val="28"/>
        </w:rPr>
        <w:t>Научные труды Вольного экономического общества России</w:t>
      </w:r>
      <w:r w:rsidRPr="00DA41A0">
        <w:rPr>
          <w:rFonts w:ascii="Times New Roman" w:hAnsi="Times New Roman"/>
          <w:color w:val="000000" w:themeColor="text1"/>
          <w:sz w:val="28"/>
          <w:szCs w:val="28"/>
        </w:rPr>
        <w:t>. М., 2006. Т. 72. С. 174–180.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Глущенко В.В., Левченко І. А. Формування та використання недержавних пенсійних фондів: монографія. Харків, 2012. 220 с.</w:t>
      </w:r>
    </w:p>
    <w:p w:rsidR="00344DAE" w:rsidRPr="00DA41A0" w:rsidRDefault="00344DAE" w:rsidP="00344DAE">
      <w:pPr>
        <w:numPr>
          <w:ilvl w:val="0"/>
          <w:numId w:val="44"/>
        </w:numPr>
        <w:spacing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Гутник В., Зимаков А. Пенсионная реформа в Германии. </w:t>
      </w:r>
      <w:r w:rsidRPr="00DA41A0">
        <w:rPr>
          <w:rFonts w:ascii="Times New Roman" w:hAnsi="Times New Roman"/>
          <w:i/>
          <w:color w:val="000000" w:themeColor="text1"/>
          <w:sz w:val="28"/>
          <w:szCs w:val="28"/>
        </w:rPr>
        <w:t xml:space="preserve">Современная Европа. </w:t>
      </w:r>
      <w:r w:rsidRPr="00DA41A0">
        <w:rPr>
          <w:rFonts w:ascii="Times New Roman" w:hAnsi="Times New Roman"/>
          <w:color w:val="000000" w:themeColor="text1"/>
          <w:sz w:val="28"/>
          <w:szCs w:val="28"/>
        </w:rPr>
        <w:t>2001. № 2. С. 49–60.</w:t>
      </w:r>
      <w:r w:rsidRPr="00DA41A0">
        <w:rPr>
          <w:rFonts w:ascii="Times New Roman" w:hAnsi="Times New Roman"/>
          <w:color w:val="000000" w:themeColor="text1"/>
          <w:sz w:val="28"/>
          <w:szCs w:val="28"/>
          <w:lang w:val="en-US"/>
        </w:rPr>
        <w:t>URL</w:t>
      </w:r>
      <w:r w:rsidRPr="00DA41A0">
        <w:rPr>
          <w:rFonts w:ascii="Times New Roman" w:hAnsi="Times New Roman"/>
          <w:color w:val="000000" w:themeColor="text1"/>
          <w:sz w:val="28"/>
          <w:szCs w:val="28"/>
        </w:rPr>
        <w:t>: https://pensionreform.ru/55761.</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Гущин И.В. Право членов колхозов на пенсию. М.: Юрид. лит., 1972. 192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Дегтярь Л.С. Мировой опыт пенсионных реформ и реформирование пенсионной системы в России. </w:t>
      </w:r>
      <w:r w:rsidRPr="00DA41A0">
        <w:rPr>
          <w:rFonts w:ascii="Times New Roman" w:hAnsi="Times New Roman"/>
          <w:i/>
          <w:color w:val="000000" w:themeColor="text1"/>
          <w:sz w:val="28"/>
          <w:szCs w:val="28"/>
        </w:rPr>
        <w:t>Аналитический вестник</w:t>
      </w:r>
      <w:r w:rsidRPr="00DA41A0">
        <w:rPr>
          <w:rFonts w:ascii="Times New Roman" w:hAnsi="Times New Roman"/>
          <w:color w:val="000000" w:themeColor="text1"/>
          <w:sz w:val="28"/>
          <w:szCs w:val="28"/>
        </w:rPr>
        <w:t>. № 33 (189). М., 2002. С. 35–42.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Дегтярь Л.С. Пенсионные реформы в развитых странах: новейшие тенденции и выводы для России. </w:t>
      </w:r>
      <w:r w:rsidRPr="00DA41A0">
        <w:rPr>
          <w:rFonts w:ascii="Times New Roman" w:hAnsi="Times New Roman"/>
          <w:i/>
          <w:color w:val="000000" w:themeColor="text1"/>
          <w:sz w:val="28"/>
          <w:szCs w:val="28"/>
        </w:rPr>
        <w:t>Проблемы прогнозирования</w:t>
      </w:r>
      <w:r w:rsidRPr="00DA41A0">
        <w:rPr>
          <w:rFonts w:ascii="Times New Roman" w:hAnsi="Times New Roman"/>
          <w:color w:val="000000" w:themeColor="text1"/>
          <w:sz w:val="28"/>
          <w:szCs w:val="28"/>
        </w:rPr>
        <w:t xml:space="preserve">. 2012. № 2. </w:t>
      </w:r>
      <w:r w:rsidRPr="00DA41A0">
        <w:rPr>
          <w:rFonts w:ascii="Times New Roman" w:hAnsi="Times New Roman"/>
          <w:color w:val="000000" w:themeColor="text1"/>
          <w:sz w:val="28"/>
          <w:szCs w:val="28"/>
        </w:rPr>
        <w:br/>
        <w:t>С. 101–111.</w:t>
      </w:r>
    </w:p>
    <w:p w:rsidR="00344DAE" w:rsidRPr="00DA41A0" w:rsidRDefault="00344DAE" w:rsidP="00344DAE">
      <w:pPr>
        <w:pStyle w:val="a3"/>
        <w:numPr>
          <w:ilvl w:val="0"/>
          <w:numId w:val="44"/>
        </w:numPr>
        <w:spacing w:after="0" w:line="360" w:lineRule="auto"/>
        <w:ind w:left="0" w:firstLine="709"/>
        <w:jc w:val="both"/>
        <w:rPr>
          <w:rFonts w:ascii="Times New Roman" w:hAnsi="Times New Roman"/>
          <w:color w:val="000000" w:themeColor="text1"/>
          <w:sz w:val="28"/>
          <w:szCs w:val="28"/>
          <w:lang w:val="uk-UA"/>
        </w:rPr>
      </w:pPr>
      <w:r w:rsidRPr="00DA41A0">
        <w:rPr>
          <w:rFonts w:ascii="Times New Roman" w:hAnsi="Times New Roman"/>
          <w:color w:val="000000" w:themeColor="text1"/>
          <w:sz w:val="28"/>
          <w:szCs w:val="28"/>
          <w:lang w:val="uk-UA"/>
        </w:rPr>
        <w:t xml:space="preserve">Державне управління: курс лекцій / За заг. ред. Д.І. Дзвінчука. </w:t>
      </w:r>
      <w:r w:rsidRPr="00DA41A0">
        <w:rPr>
          <w:rFonts w:ascii="Times New Roman" w:hAnsi="Times New Roman"/>
          <w:color w:val="000000" w:themeColor="text1"/>
          <w:sz w:val="28"/>
          <w:szCs w:val="28"/>
          <w:lang w:val="uk-UA"/>
        </w:rPr>
        <w:br/>
        <w:t>2-евид.,переробл. і доповн. Івано-Франківськ: Місто НВ, 2012. 616 с.</w:t>
      </w:r>
    </w:p>
    <w:p w:rsidR="00344DAE" w:rsidRPr="00DA41A0" w:rsidRDefault="00344DAE" w:rsidP="00344DAE">
      <w:pPr>
        <w:pStyle w:val="a3"/>
        <w:numPr>
          <w:ilvl w:val="0"/>
          <w:numId w:val="44"/>
        </w:numPr>
        <w:spacing w:after="0" w:line="360" w:lineRule="auto"/>
        <w:ind w:left="0" w:firstLine="709"/>
        <w:jc w:val="both"/>
        <w:rPr>
          <w:rFonts w:ascii="Times New Roman" w:hAnsi="Times New Roman"/>
          <w:color w:val="000000" w:themeColor="text1"/>
          <w:sz w:val="28"/>
          <w:szCs w:val="28"/>
          <w:lang w:val="uk-UA"/>
        </w:rPr>
      </w:pPr>
      <w:r w:rsidRPr="00DA41A0">
        <w:rPr>
          <w:rFonts w:ascii="Times New Roman" w:hAnsi="Times New Roman"/>
          <w:color w:val="000000" w:themeColor="text1"/>
          <w:sz w:val="28"/>
          <w:szCs w:val="28"/>
          <w:lang w:val="uk-UA"/>
        </w:rPr>
        <w:t>Державне управління: підручник: у 2 т. / Нац. акад. держ. упр. при Президентові України; ред. кол.: Ю.В. Ковбасюк, К.О. Ващенко, Ю.П. Сурмін [та ін.]. К.; Дніпропетровськ: НАДУ, 2012. Т. 1. 564 с.</w:t>
      </w:r>
    </w:p>
    <w:p w:rsidR="00344DAE" w:rsidRPr="00DA41A0" w:rsidRDefault="00344DAE" w:rsidP="00344DAE">
      <w:pPr>
        <w:pStyle w:val="a3"/>
        <w:numPr>
          <w:ilvl w:val="0"/>
          <w:numId w:val="44"/>
        </w:numPr>
        <w:spacing w:after="0" w:line="360" w:lineRule="auto"/>
        <w:ind w:left="0" w:firstLine="709"/>
        <w:jc w:val="both"/>
        <w:rPr>
          <w:rFonts w:ascii="Times New Roman" w:hAnsi="Times New Roman"/>
          <w:color w:val="000000" w:themeColor="text1"/>
          <w:sz w:val="28"/>
          <w:szCs w:val="28"/>
          <w:lang w:val="uk-UA"/>
        </w:rPr>
      </w:pPr>
      <w:r w:rsidRPr="00DA41A0">
        <w:rPr>
          <w:rFonts w:ascii="Times New Roman" w:hAnsi="Times New Roman"/>
          <w:color w:val="000000" w:themeColor="text1"/>
          <w:sz w:val="28"/>
          <w:szCs w:val="28"/>
          <w:lang w:val="uk-UA"/>
        </w:rPr>
        <w:t xml:space="preserve">Дзвінчук Д.І., Бутирська Т.О. Складові індексу якості державного управління як основа парадигми державного будівництва. </w:t>
      </w:r>
      <w:r w:rsidRPr="00DA41A0">
        <w:rPr>
          <w:rFonts w:ascii="Times New Roman" w:hAnsi="Times New Roman"/>
          <w:i/>
          <w:color w:val="000000" w:themeColor="text1"/>
          <w:sz w:val="28"/>
          <w:szCs w:val="28"/>
          <w:lang w:val="uk-UA"/>
        </w:rPr>
        <w:t>Аспекти публічного управління</w:t>
      </w:r>
      <w:r w:rsidRPr="00DA41A0">
        <w:rPr>
          <w:rFonts w:ascii="Times New Roman" w:hAnsi="Times New Roman"/>
          <w:color w:val="000000" w:themeColor="text1"/>
          <w:sz w:val="28"/>
          <w:szCs w:val="28"/>
          <w:lang w:val="uk-UA"/>
        </w:rPr>
        <w:t>: зб. наук. пр. / редкол.: С.М. Серьогін [та ін.]. Д.: ДРІДУ НАДУ. 2017. Том 5, № 5–6. С. 52–62.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Дідковська Т.О. Пенсійне забезпечення працівників на роботах зі шкідливими та важкими умовами праці: автореф. дис. канд. юрид. наук. </w:t>
      </w:r>
      <w:r w:rsidRPr="00DA41A0">
        <w:rPr>
          <w:rFonts w:ascii="Times New Roman" w:hAnsi="Times New Roman"/>
          <w:color w:val="000000" w:themeColor="text1"/>
          <w:sz w:val="28"/>
          <w:szCs w:val="28"/>
        </w:rPr>
        <w:br/>
        <w:t>Х., 2008. 19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Договір між Україною і Латвійською Республікою про співробітництво в галузі соціального забезпечення: Міжнародний документ від 26.02.1998 р. URL: </w:t>
      </w:r>
      <w:hyperlink r:id="rId31" w:history="1">
        <w:r w:rsidRPr="00DA41A0">
          <w:rPr>
            <w:rStyle w:val="a9"/>
            <w:rFonts w:ascii="Times New Roman" w:hAnsi="Times New Roman"/>
            <w:color w:val="000000" w:themeColor="text1"/>
            <w:sz w:val="28"/>
            <w:szCs w:val="28"/>
            <w:u w:val="none"/>
          </w:rPr>
          <w:t>http://zakon.rada.gov.ua/laws/show/428_010</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Договір між Україною та Литовською Республікою про соціальне забезпечення: Міжнародний документ від 23.04.2001 р. URL: </w:t>
      </w:r>
      <w:hyperlink r:id="rId32" w:history="1">
        <w:r w:rsidRPr="00DA41A0">
          <w:rPr>
            <w:rStyle w:val="a9"/>
            <w:rFonts w:ascii="Times New Roman" w:hAnsi="Times New Roman"/>
            <w:color w:val="000000" w:themeColor="text1"/>
            <w:sz w:val="28"/>
            <w:szCs w:val="28"/>
            <w:u w:val="none"/>
          </w:rPr>
          <w:t>http://zakon.rada.</w:t>
        </w:r>
        <w:r w:rsidRPr="00DA41A0">
          <w:rPr>
            <w:rStyle w:val="a9"/>
            <w:rFonts w:ascii="Times New Roman" w:hAnsi="Times New Roman"/>
            <w:color w:val="000000" w:themeColor="text1"/>
            <w:sz w:val="28"/>
            <w:szCs w:val="28"/>
            <w:u w:val="none"/>
          </w:rPr>
          <w:br/>
          <w:t>gov.ua/laws/show/440_022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Договір між Україною та Республікою Болгарія про соціальне забезпечення: Міжнародний документ від 04.09.2001 р. URL: http://zakon.rada.</w:t>
      </w:r>
      <w:r w:rsidRPr="00DA41A0">
        <w:rPr>
          <w:rFonts w:ascii="Times New Roman" w:hAnsi="Times New Roman"/>
          <w:color w:val="000000" w:themeColor="text1"/>
          <w:sz w:val="28"/>
          <w:szCs w:val="28"/>
        </w:rPr>
        <w:br/>
        <w:t>gov.ua/laws/show/100_028.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Договір між Україною та Словацькою Республікою про соціальне забезпечення: Міжнародний документ від 05.12.2000 р. URL: http://zakon.rada.</w:t>
      </w:r>
      <w:r w:rsidRPr="00DA41A0">
        <w:rPr>
          <w:rFonts w:ascii="Times New Roman" w:hAnsi="Times New Roman"/>
          <w:color w:val="000000" w:themeColor="text1"/>
          <w:sz w:val="28"/>
          <w:szCs w:val="28"/>
        </w:rPr>
        <w:br/>
        <w:t>gov.ua/laws/show/703_009.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Договір між Україною та Чеською Республікою про соціальне забезпечення: Міжнародний документ від 04.07.2001 р. URL: http://zakon.rada.</w:t>
      </w:r>
      <w:r w:rsidRPr="00DA41A0">
        <w:rPr>
          <w:rFonts w:ascii="Times New Roman" w:hAnsi="Times New Roman"/>
          <w:color w:val="000000" w:themeColor="text1"/>
          <w:sz w:val="28"/>
          <w:szCs w:val="28"/>
        </w:rPr>
        <w:br/>
        <w:t>gov.ua/laws/show/203_019.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Дорош Е., Нечай А.Украине важен второй уровень пенсионной системы</w:t>
      </w:r>
      <w:r w:rsidRPr="00DA41A0">
        <w:rPr>
          <w:rFonts w:ascii="Times New Roman" w:hAnsi="Times New Roman"/>
          <w:i/>
          <w:color w:val="000000" w:themeColor="text1"/>
          <w:sz w:val="28"/>
          <w:szCs w:val="28"/>
        </w:rPr>
        <w:t>. Пенсионный курьер</w:t>
      </w:r>
      <w:r w:rsidRPr="00DA41A0">
        <w:rPr>
          <w:rFonts w:ascii="Times New Roman" w:hAnsi="Times New Roman"/>
          <w:color w:val="000000" w:themeColor="text1"/>
          <w:sz w:val="28"/>
          <w:szCs w:val="28"/>
        </w:rPr>
        <w:t>. 2009. 24 июля. № 30. С. 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Економічна енциклопедія: У трьох томах. Т. 2 / відп. ред. </w:t>
      </w:r>
      <w:r w:rsidRPr="00DA41A0">
        <w:rPr>
          <w:rFonts w:ascii="Times New Roman" w:hAnsi="Times New Roman"/>
          <w:color w:val="000000" w:themeColor="text1"/>
          <w:sz w:val="28"/>
          <w:szCs w:val="28"/>
        </w:rPr>
        <w:br/>
        <w:t>С.В. Мочерний. К.: Вид. центр Академія, 2001. 847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Економічний словник / За ред. П.І. Багрія, С.І. Дорогунцова. </w:t>
      </w:r>
      <w:r w:rsidRPr="00DA41A0">
        <w:rPr>
          <w:rFonts w:ascii="Times New Roman" w:hAnsi="Times New Roman"/>
          <w:color w:val="000000" w:themeColor="text1"/>
          <w:sz w:val="28"/>
          <w:szCs w:val="28"/>
        </w:rPr>
        <w:br/>
        <w:t>К., 1973. 621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Економічний словник / За ред. Й.С. Завадського, Т.В. Осовської. </w:t>
      </w:r>
      <w:r w:rsidRPr="00DA41A0">
        <w:rPr>
          <w:rFonts w:ascii="Times New Roman" w:hAnsi="Times New Roman"/>
          <w:color w:val="000000" w:themeColor="text1"/>
          <w:sz w:val="28"/>
          <w:szCs w:val="28"/>
        </w:rPr>
        <w:br/>
        <w:t>К.: Кондор, 2006. 356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Енциклопедія Українознавства / За ред. В. Кубійовича. </w:t>
      </w:r>
      <w:r w:rsidRPr="00DA41A0">
        <w:rPr>
          <w:rFonts w:ascii="Times New Roman" w:hAnsi="Times New Roman"/>
          <w:color w:val="000000" w:themeColor="text1"/>
          <w:sz w:val="28"/>
          <w:szCs w:val="28"/>
          <w:shd w:val="clear" w:color="auto" w:fill="FDFCFC"/>
        </w:rPr>
        <w:t>Париж; Нью-Йорк, 1966. T. 5. С. 1600</w:t>
      </w:r>
      <w:r w:rsidRPr="00DA41A0">
        <w:rPr>
          <w:rFonts w:ascii="Times New Roman" w:hAnsi="Times New Roman"/>
          <w:color w:val="000000" w:themeColor="text1"/>
          <w:sz w:val="28"/>
          <w:szCs w:val="28"/>
        </w:rPr>
        <w:t>–</w:t>
      </w:r>
      <w:r w:rsidRPr="00DA41A0">
        <w:rPr>
          <w:rFonts w:ascii="Times New Roman" w:hAnsi="Times New Roman"/>
          <w:color w:val="000000" w:themeColor="text1"/>
          <w:sz w:val="28"/>
          <w:szCs w:val="28"/>
          <w:shd w:val="clear" w:color="auto" w:fill="FDFCFC"/>
        </w:rPr>
        <w:t>2000.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Ермаков Д.Н. Пенсионные системы западных стран: особенности и отличия. </w:t>
      </w:r>
      <w:r w:rsidRPr="00DA41A0">
        <w:rPr>
          <w:rFonts w:ascii="Times New Roman" w:hAnsi="Times New Roman"/>
          <w:i/>
          <w:color w:val="000000" w:themeColor="text1"/>
          <w:sz w:val="28"/>
          <w:szCs w:val="28"/>
        </w:rPr>
        <w:t>Человек и труд</w:t>
      </w:r>
      <w:r w:rsidRPr="00DA41A0">
        <w:rPr>
          <w:rFonts w:ascii="Times New Roman" w:hAnsi="Times New Roman"/>
          <w:color w:val="000000" w:themeColor="text1"/>
          <w:sz w:val="28"/>
          <w:szCs w:val="28"/>
        </w:rPr>
        <w:t>: наук.-практ. журнал. 2011. № 10. C. 35–38.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Ермаков Д.Н. Частное (приватное) пенсионное страхование в современной Германии. </w:t>
      </w:r>
      <w:r w:rsidRPr="00DA41A0">
        <w:rPr>
          <w:rFonts w:ascii="Times New Roman" w:hAnsi="Times New Roman"/>
          <w:i/>
          <w:color w:val="000000" w:themeColor="text1"/>
          <w:sz w:val="28"/>
          <w:szCs w:val="28"/>
        </w:rPr>
        <w:t>Вестник МГОУ</w:t>
      </w:r>
      <w:r w:rsidRPr="00DA41A0">
        <w:rPr>
          <w:rFonts w:ascii="Times New Roman" w:hAnsi="Times New Roman"/>
          <w:color w:val="000000" w:themeColor="text1"/>
          <w:sz w:val="28"/>
          <w:szCs w:val="28"/>
        </w:rPr>
        <w:t xml:space="preserve">. Серия «Экономика». № 4 / 2011. </w:t>
      </w:r>
      <w:r w:rsidRPr="00DA41A0">
        <w:rPr>
          <w:rFonts w:ascii="Times New Roman" w:hAnsi="Times New Roman"/>
          <w:color w:val="000000" w:themeColor="text1"/>
          <w:sz w:val="28"/>
          <w:szCs w:val="28"/>
        </w:rPr>
        <w:br/>
        <w:t>С. 10–13.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Єдиний державний реєстр судових рішень. URL: http://reyestr.court.gov.ua.</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Жмурко І.В. Сутність пенсійної системи та її місце в системі соціального захисту населення. </w:t>
      </w:r>
      <w:r w:rsidRPr="00DA41A0">
        <w:rPr>
          <w:rFonts w:ascii="Times New Roman" w:hAnsi="Times New Roman"/>
          <w:i/>
          <w:color w:val="000000" w:themeColor="text1"/>
          <w:sz w:val="28"/>
          <w:szCs w:val="28"/>
        </w:rPr>
        <w:t>Бізнес-інформ</w:t>
      </w:r>
      <w:r w:rsidRPr="00DA41A0">
        <w:rPr>
          <w:rFonts w:ascii="Times New Roman" w:hAnsi="Times New Roman"/>
          <w:color w:val="000000" w:themeColor="text1"/>
          <w:sz w:val="28"/>
          <w:szCs w:val="28"/>
        </w:rPr>
        <w:t>. 2014. № 12. С. 303–306.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Заболотский Е.Д. Опыт реформирования пенсионных систем стран Европейского Союза и возможности его использования в России. </w:t>
      </w:r>
      <w:r w:rsidRPr="00DA41A0">
        <w:rPr>
          <w:rFonts w:ascii="Times New Roman" w:hAnsi="Times New Roman"/>
          <w:i/>
          <w:color w:val="000000" w:themeColor="text1"/>
          <w:sz w:val="28"/>
          <w:szCs w:val="28"/>
        </w:rPr>
        <w:t xml:space="preserve">Вестник СПбГУ. </w:t>
      </w:r>
      <w:r w:rsidRPr="00DA41A0">
        <w:rPr>
          <w:rFonts w:ascii="Times New Roman" w:hAnsi="Times New Roman"/>
          <w:color w:val="000000" w:themeColor="text1"/>
          <w:sz w:val="28"/>
          <w:szCs w:val="28"/>
        </w:rPr>
        <w:t>Экономика. 2017. Т. 33. Вып. 3. С. 472–497.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Загальна теорія держави і права: (основні поняття, категорії, прав. конструкції та наук. концепції): навчальний посібник / За ред. Зайчука О.В., Оніщенко Н.М. К.: Юрінком Інтер, 2008. 400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Законопроект «Про внесення змін до деяких законодавчих актів України щодо справедливого механізму нарахування єдиного внеску на загальнообов'язкове державне соціальне страхування». URL: http://spo.fpsu.</w:t>
      </w:r>
      <w:r w:rsidRPr="00DA41A0">
        <w:rPr>
          <w:rFonts w:ascii="Times New Roman" w:hAnsi="Times New Roman"/>
          <w:color w:val="000000" w:themeColor="text1"/>
          <w:sz w:val="28"/>
          <w:szCs w:val="28"/>
        </w:rPr>
        <w:br/>
        <w:t>org.ua/images/2018/3432%20сайт_1.</w:t>
      </w:r>
      <w:r w:rsidRPr="00DA41A0">
        <w:rPr>
          <w:rFonts w:ascii="Times New Roman" w:hAnsi="Times New Roman"/>
          <w:color w:val="000000" w:themeColor="text1"/>
          <w:sz w:val="28"/>
          <w:szCs w:val="28"/>
          <w:lang w:val="en-US"/>
        </w:rPr>
        <w:t>pdf</w:t>
      </w:r>
      <w:r w:rsidRPr="00DA41A0">
        <w:rPr>
          <w:rFonts w:ascii="Times New Roman" w:hAnsi="Times New Roman"/>
          <w:color w:val="000000" w:themeColor="text1"/>
          <w:sz w:val="28"/>
          <w:szCs w:val="28"/>
          <w:lang w:val="ru-RU"/>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Запровадження накопичувальної пенсійної системи перенесли на рік. URL: http://www.epravda.com.ua/news/2018/11/15/642675/.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Історія формування організаційної структури Пенсійного фонду: офіційний веб-сайт Пенсійного фонду України. </w:t>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xml:space="preserve"> http://www.pfu.gov.ua/od/</w:t>
      </w:r>
      <w:r w:rsidRPr="00DA41A0">
        <w:rPr>
          <w:rFonts w:ascii="Times New Roman" w:hAnsi="Times New Roman"/>
          <w:color w:val="000000" w:themeColor="text1"/>
          <w:sz w:val="28"/>
          <w:szCs w:val="28"/>
        </w:rPr>
        <w:br/>
        <w:t>292-istoriya-formuvannya-organizatsijnoyi-struktury-pensijnogo-fondu/.</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Коваль О.П. Пенсійний вік: іноземний досвід та вітчизняні реалії. Аналіт. доп. К.: НІСД, 2013. 37 с. URL: http://www.niss.gov.ua/content/articles/</w:t>
      </w:r>
      <w:r w:rsidRPr="00DA41A0">
        <w:rPr>
          <w:rFonts w:ascii="Times New Roman" w:hAnsi="Times New Roman"/>
          <w:color w:val="000000" w:themeColor="text1"/>
          <w:sz w:val="28"/>
          <w:szCs w:val="28"/>
        </w:rPr>
        <w:br/>
        <w:t>files/pens_vozrast-e0371.pdf.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Кодекс адміністративного судочинства України: Закон України від 06.07.2005 р. № </w:t>
      </w:r>
      <w:r w:rsidRPr="00DA41A0">
        <w:rPr>
          <w:rFonts w:ascii="Times New Roman" w:hAnsi="Times New Roman"/>
          <w:bCs/>
          <w:color w:val="000000" w:themeColor="text1"/>
          <w:sz w:val="28"/>
          <w:szCs w:val="28"/>
        </w:rPr>
        <w:t>2747-IV. URL: http://zakon.rada.gov.ua/laws/show/2747-15#</w:t>
      </w:r>
      <w:r w:rsidRPr="00DA41A0">
        <w:rPr>
          <w:rFonts w:ascii="Times New Roman" w:hAnsi="Times New Roman"/>
          <w:bCs/>
          <w:color w:val="000000" w:themeColor="text1"/>
          <w:sz w:val="28"/>
          <w:szCs w:val="28"/>
        </w:rPr>
        <w:br/>
        <w:t>n11305.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Кодекс законів про працю України: Закон УРСР від 10.12.1971 р. </w:t>
      </w:r>
      <w:r w:rsidRPr="00DA41A0">
        <w:rPr>
          <w:rFonts w:ascii="Times New Roman" w:hAnsi="Times New Roman"/>
          <w:color w:val="000000" w:themeColor="text1"/>
          <w:sz w:val="28"/>
          <w:szCs w:val="28"/>
        </w:rPr>
        <w:br/>
        <w:t xml:space="preserve">№ </w:t>
      </w:r>
      <w:r w:rsidRPr="00DA41A0">
        <w:rPr>
          <w:rFonts w:ascii="Times New Roman" w:hAnsi="Times New Roman"/>
          <w:bCs/>
          <w:color w:val="000000" w:themeColor="text1"/>
          <w:sz w:val="28"/>
          <w:szCs w:val="28"/>
        </w:rPr>
        <w:t>322-VIII</w:t>
      </w:r>
      <w:r w:rsidRPr="00DA41A0">
        <w:rPr>
          <w:rFonts w:ascii="Times New Roman" w:hAnsi="Times New Roman"/>
          <w:color w:val="000000" w:themeColor="text1"/>
          <w:sz w:val="28"/>
          <w:szCs w:val="28"/>
        </w:rPr>
        <w:t>. URL: http://zakon.rada.gov.ua/laws/show/322-08.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Кокорев Р.А. Негосударственные пенсионные фонды: болевые точки и возможности роста. </w:t>
      </w:r>
      <w:r w:rsidRPr="00DA41A0">
        <w:rPr>
          <w:rFonts w:ascii="Times New Roman" w:hAnsi="Times New Roman"/>
          <w:i/>
          <w:color w:val="000000" w:themeColor="text1"/>
          <w:sz w:val="28"/>
          <w:szCs w:val="28"/>
        </w:rPr>
        <w:t>Аналитический вестник</w:t>
      </w:r>
      <w:r w:rsidRPr="00DA41A0">
        <w:rPr>
          <w:rFonts w:ascii="Times New Roman" w:hAnsi="Times New Roman"/>
          <w:color w:val="000000" w:themeColor="text1"/>
          <w:sz w:val="28"/>
          <w:szCs w:val="28"/>
        </w:rPr>
        <w:t xml:space="preserve"> (издание Аналитического </w:t>
      </w:r>
      <w:r w:rsidRPr="00DA41A0">
        <w:rPr>
          <w:rFonts w:ascii="Times New Roman" w:hAnsi="Times New Roman"/>
          <w:color w:val="000000" w:themeColor="text1"/>
          <w:sz w:val="28"/>
          <w:szCs w:val="28"/>
        </w:rPr>
        <w:lastRenderedPageBreak/>
        <w:t xml:space="preserve">управления Совета Федерации ФедеральногоСобрания Российской Федерации). 2006. № 11 (289). </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Конституція України: Закон України від 28.06.1996 р. № 254к/96-ВР. URL: </w:t>
      </w:r>
      <w:hyperlink r:id="rId33" w:history="1">
        <w:r w:rsidRPr="00DA41A0">
          <w:rPr>
            <w:rStyle w:val="a9"/>
            <w:rFonts w:ascii="Times New Roman" w:hAnsi="Times New Roman"/>
            <w:color w:val="000000" w:themeColor="text1"/>
            <w:sz w:val="28"/>
            <w:szCs w:val="28"/>
            <w:u w:val="none"/>
          </w:rPr>
          <w:t>http://zakon.rada.gov.ua/laws/show/254к/96-вр</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tabs>
          <w:tab w:val="left" w:pos="0"/>
        </w:tabs>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Кудрявцев Г.С. О государственных пенсиях. Л.: Лениздат, 1958. </w:t>
      </w:r>
      <w:r w:rsidRPr="00DA41A0">
        <w:rPr>
          <w:rFonts w:ascii="Times New Roman" w:hAnsi="Times New Roman"/>
          <w:color w:val="000000" w:themeColor="text1"/>
          <w:sz w:val="28"/>
          <w:szCs w:val="28"/>
        </w:rPr>
        <w:br/>
        <w:t>133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Кравченко М. В. Європейські підходи та механізми пенсійної реформи. </w:t>
      </w:r>
      <w:r w:rsidRPr="00DA41A0">
        <w:rPr>
          <w:rFonts w:ascii="Times New Roman" w:hAnsi="Times New Roman"/>
          <w:i/>
          <w:color w:val="000000" w:themeColor="text1"/>
          <w:sz w:val="28"/>
          <w:szCs w:val="28"/>
        </w:rPr>
        <w:t>Державне управління: удосконалення та розвиток.</w:t>
      </w:r>
      <w:r w:rsidRPr="00DA41A0">
        <w:rPr>
          <w:rFonts w:ascii="Times New Roman" w:hAnsi="Times New Roman"/>
          <w:color w:val="000000" w:themeColor="text1"/>
          <w:sz w:val="28"/>
          <w:szCs w:val="28"/>
        </w:rPr>
        <w:t xml:space="preserve"> 2015. № 5. URL : http://www.dy.nayka.com.ua/?op=1&amp;z=849.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Кравченко М.В. Основні міжнародні тенденції реформування солідарної пенсійної системи. </w:t>
      </w:r>
      <w:r w:rsidRPr="00DA41A0">
        <w:rPr>
          <w:rFonts w:ascii="Times New Roman" w:hAnsi="Times New Roman"/>
          <w:i/>
          <w:color w:val="000000" w:themeColor="text1"/>
          <w:sz w:val="28"/>
          <w:szCs w:val="28"/>
        </w:rPr>
        <w:t xml:space="preserve">Аспекти публічного управління. </w:t>
      </w:r>
      <w:r w:rsidRPr="00DA41A0">
        <w:rPr>
          <w:rFonts w:ascii="Times New Roman" w:hAnsi="Times New Roman"/>
          <w:color w:val="000000" w:themeColor="text1"/>
          <w:sz w:val="28"/>
          <w:szCs w:val="28"/>
        </w:rPr>
        <w:t>2015. № 5–6 (19–20). С. 39–46.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Кравченко М.В. Система соціального захисту населення як об’єкт державної політики: методологія та практика: монографія. К.: Інформ.-аналіт. агентство, 2012. 451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Кравчук Т.В. Пенсійне забезпечення у разівтрати годувальника у солідарній пенсійній системі України: автореф. дис. канд. юрид. наук. О., 2008. 20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Крестовська Н.М., Матвеева Л.Г. Теорія держави і права: Елементарний курс. Видання друге. X.: ТОВ «Одіссей», 2008. 432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Кривощекова Е., Окунева Е., Окунев В. Обязательное пенсионное страхование: теория и практика российской пенсионной реформы. </w:t>
      </w:r>
      <w:r w:rsidRPr="00DA41A0">
        <w:rPr>
          <w:rFonts w:ascii="Times New Roman" w:hAnsi="Times New Roman"/>
          <w:i/>
          <w:color w:val="000000" w:themeColor="text1"/>
          <w:sz w:val="28"/>
          <w:szCs w:val="28"/>
        </w:rPr>
        <w:t>Вопросы экономики</w:t>
      </w:r>
      <w:r w:rsidRPr="00DA41A0">
        <w:rPr>
          <w:rFonts w:ascii="Times New Roman" w:hAnsi="Times New Roman"/>
          <w:color w:val="000000" w:themeColor="text1"/>
          <w:sz w:val="28"/>
          <w:szCs w:val="28"/>
        </w:rPr>
        <w:t>. 2006. № 6. С. 120–135.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Криза розподільчої пенсійної системи в Україні та напрями диверсифікації «пенсійного портфеля»: аналіт. доп. / О.М. Пищуліна, О.П. Коваль, А.М. Авчухова / за ред. Я.А. Жаліла. К.: НІСД, 2010. 104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Кульков Ю.А., Тян Р.Б Формування збалансованої системи пенсійного забезпечення. </w:t>
      </w:r>
      <w:r w:rsidRPr="00DA41A0">
        <w:rPr>
          <w:rFonts w:ascii="Times New Roman" w:hAnsi="Times New Roman"/>
          <w:i/>
          <w:color w:val="000000" w:themeColor="text1"/>
          <w:sz w:val="28"/>
          <w:szCs w:val="28"/>
        </w:rPr>
        <w:t>V Міжнародна науково-практична конференція аспірантів, молодих учених та науковців «Проблеми та перспективи розвитку регіональної ринкової економіки</w:t>
      </w:r>
      <w:r w:rsidRPr="00DA41A0">
        <w:rPr>
          <w:rFonts w:ascii="Times New Roman" w:hAnsi="Times New Roman"/>
          <w:color w:val="000000" w:themeColor="text1"/>
          <w:sz w:val="28"/>
          <w:szCs w:val="28"/>
        </w:rPr>
        <w:t>». КІДУЕП. К., 2010. С. 22–24.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Лазаревский А.А. Велика Британия пенсионной системой. </w:t>
      </w:r>
      <w:r w:rsidRPr="00DA41A0">
        <w:rPr>
          <w:rFonts w:ascii="Times New Roman" w:hAnsi="Times New Roman"/>
          <w:i/>
          <w:color w:val="000000" w:themeColor="text1"/>
          <w:sz w:val="28"/>
          <w:szCs w:val="28"/>
        </w:rPr>
        <w:t>Финансы и кредит.</w:t>
      </w:r>
      <w:r w:rsidRPr="00DA41A0">
        <w:rPr>
          <w:rFonts w:ascii="Times New Roman" w:hAnsi="Times New Roman"/>
          <w:color w:val="000000" w:themeColor="text1"/>
          <w:sz w:val="28"/>
          <w:szCs w:val="28"/>
        </w:rPr>
        <w:t xml:space="preserve"> 2002. № 3. С. 18–20.</w:t>
      </w:r>
    </w:p>
    <w:p w:rsidR="00344DAE" w:rsidRPr="00DA41A0" w:rsidRDefault="00344DAE" w:rsidP="00344DAE">
      <w:pPr>
        <w:numPr>
          <w:ilvl w:val="0"/>
          <w:numId w:val="44"/>
        </w:numPr>
        <w:spacing w:line="360" w:lineRule="auto"/>
        <w:ind w:left="0" w:firstLine="709"/>
        <w:contextualSpacing/>
        <w:jc w:val="both"/>
        <w:rPr>
          <w:rFonts w:ascii="Times New Roman" w:hAnsi="Times New Roman"/>
          <w:b/>
          <w:bCs/>
          <w:color w:val="000000" w:themeColor="text1"/>
          <w:sz w:val="28"/>
          <w:szCs w:val="28"/>
        </w:rPr>
      </w:pPr>
      <w:r w:rsidRPr="00DA41A0">
        <w:rPr>
          <w:rFonts w:ascii="Times New Roman" w:hAnsi="Times New Roman"/>
          <w:color w:val="000000" w:themeColor="text1"/>
          <w:sz w:val="28"/>
          <w:szCs w:val="28"/>
        </w:rPr>
        <w:t xml:space="preserve">Линдюк О.А. </w:t>
      </w:r>
      <w:r w:rsidRPr="00DA41A0">
        <w:rPr>
          <w:rFonts w:ascii="Times New Roman" w:hAnsi="Times New Roman"/>
          <w:bCs/>
          <w:color w:val="000000" w:themeColor="text1"/>
          <w:sz w:val="28"/>
          <w:szCs w:val="28"/>
        </w:rPr>
        <w:t xml:space="preserve">Шляхи удосконалення механізмів державного регулювання фінансового забезпечення пенсійної системи України. URL: </w:t>
      </w:r>
      <w:hyperlink r:id="rId34" w:history="1">
        <w:r w:rsidRPr="00DA41A0">
          <w:rPr>
            <w:rFonts w:ascii="Times New Roman" w:hAnsi="Times New Roman"/>
            <w:bCs/>
            <w:color w:val="000000" w:themeColor="text1"/>
            <w:sz w:val="28"/>
            <w:szCs w:val="28"/>
          </w:rPr>
          <w:t>http://academy.gov.ua/ej/ej14/txts/Lyndiuk.pdf</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Луговенко Н. Соціальні функції пенсійного забезпечення. </w:t>
      </w:r>
      <w:r w:rsidRPr="00DA41A0">
        <w:rPr>
          <w:rFonts w:ascii="Times New Roman" w:hAnsi="Times New Roman"/>
          <w:i/>
          <w:color w:val="000000" w:themeColor="text1"/>
          <w:sz w:val="28"/>
          <w:szCs w:val="28"/>
        </w:rPr>
        <w:t>Вісник Академії державного управління при Президентові України</w:t>
      </w:r>
      <w:r w:rsidRPr="00DA41A0">
        <w:rPr>
          <w:rFonts w:ascii="Times New Roman" w:hAnsi="Times New Roman"/>
          <w:color w:val="000000" w:themeColor="text1"/>
          <w:sz w:val="28"/>
          <w:szCs w:val="28"/>
        </w:rPr>
        <w:t xml:space="preserve">. 2005. № 4. </w:t>
      </w:r>
      <w:r w:rsidRPr="00DA41A0">
        <w:rPr>
          <w:rFonts w:ascii="Times New Roman" w:hAnsi="Times New Roman"/>
          <w:color w:val="000000" w:themeColor="text1"/>
          <w:sz w:val="28"/>
          <w:szCs w:val="28"/>
        </w:rPr>
        <w:br/>
        <w:t>C. 420–423.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Макаренко О.М. Державне управління пенсійним забезпеченням осіб похилого віку в Україні: автореф. дис. на здобуття наук. ступеня канд. наук з держ. упр. Х., 2009. 20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Малімон В.І., Максимонько О.І. Проблемні аспекти пенсійного забезпечення в Україні. Матеріали Всеукраїнської науково-практичної інтернет-конференції «</w:t>
      </w:r>
      <w:r w:rsidRPr="00DA41A0">
        <w:rPr>
          <w:rFonts w:ascii="Times New Roman" w:hAnsi="Times New Roman"/>
          <w:i/>
          <w:color w:val="000000" w:themeColor="text1"/>
          <w:sz w:val="28"/>
          <w:szCs w:val="28"/>
        </w:rPr>
        <w:t>Загально-філософські, психологічні та юридичні проблеми у здійсненні правової допомоги населенню України»</w:t>
      </w:r>
      <w:r w:rsidRPr="00DA41A0">
        <w:rPr>
          <w:rFonts w:ascii="Times New Roman" w:hAnsi="Times New Roman"/>
          <w:color w:val="000000" w:themeColor="text1"/>
          <w:sz w:val="28"/>
          <w:szCs w:val="28"/>
        </w:rPr>
        <w:t xml:space="preserve"> (травень 2017 р., м. Івано-Франківськ). С. 153–157.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Малютина Н.Н. Развитие системы пенсионного обеспечения в зарубежных странах. </w:t>
      </w:r>
      <w:r w:rsidRPr="00DA41A0">
        <w:rPr>
          <w:rFonts w:ascii="Times New Roman" w:hAnsi="Times New Roman"/>
          <w:i/>
          <w:color w:val="000000" w:themeColor="text1"/>
          <w:sz w:val="28"/>
          <w:szCs w:val="28"/>
        </w:rPr>
        <w:t>Труд за рубежом</w:t>
      </w:r>
      <w:r w:rsidRPr="00DA41A0">
        <w:rPr>
          <w:rFonts w:ascii="Times New Roman" w:hAnsi="Times New Roman"/>
          <w:color w:val="000000" w:themeColor="text1"/>
          <w:sz w:val="28"/>
          <w:szCs w:val="28"/>
        </w:rPr>
        <w:t xml:space="preserve">: науч.-аналит. журнал. М., 2005. № 3. </w:t>
      </w:r>
      <w:r w:rsidRPr="00DA41A0">
        <w:rPr>
          <w:rFonts w:ascii="Times New Roman" w:hAnsi="Times New Roman"/>
          <w:color w:val="000000" w:themeColor="text1"/>
          <w:sz w:val="28"/>
          <w:szCs w:val="28"/>
        </w:rPr>
        <w:br/>
        <w:t>C. 104–106.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Мальований М. Історичний розвиток системи пенсійного забезпечення в світі</w:t>
      </w:r>
      <w:r w:rsidRPr="00DA41A0">
        <w:rPr>
          <w:rFonts w:ascii="Times New Roman" w:hAnsi="Times New Roman"/>
          <w:i/>
          <w:color w:val="000000" w:themeColor="text1"/>
          <w:sz w:val="28"/>
          <w:szCs w:val="28"/>
        </w:rPr>
        <w:t>. Економіка АПК</w:t>
      </w:r>
      <w:r w:rsidRPr="00DA41A0">
        <w:rPr>
          <w:rFonts w:ascii="Times New Roman" w:hAnsi="Times New Roman"/>
          <w:color w:val="000000" w:themeColor="text1"/>
          <w:sz w:val="28"/>
          <w:szCs w:val="28"/>
        </w:rPr>
        <w:t>. 2005. № 3. С. 31–36.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Мартиненко Н.В. Теоретичні засади становлення і розвитку національних пенсійних систем. </w:t>
      </w:r>
      <w:r w:rsidRPr="00DA41A0">
        <w:rPr>
          <w:rFonts w:ascii="Times New Roman" w:hAnsi="Times New Roman"/>
          <w:i/>
          <w:color w:val="000000" w:themeColor="text1"/>
          <w:sz w:val="28"/>
          <w:szCs w:val="28"/>
        </w:rPr>
        <w:t>Актуальні проблеми державного управління.</w:t>
      </w:r>
      <w:r w:rsidRPr="00DA41A0">
        <w:rPr>
          <w:rFonts w:ascii="Times New Roman" w:hAnsi="Times New Roman"/>
          <w:i/>
          <w:color w:val="000000" w:themeColor="text1"/>
          <w:sz w:val="28"/>
          <w:szCs w:val="28"/>
        </w:rPr>
        <w:br/>
      </w:r>
      <w:r w:rsidRPr="00DA41A0">
        <w:rPr>
          <w:rFonts w:ascii="Times New Roman" w:hAnsi="Times New Roman"/>
          <w:color w:val="000000" w:themeColor="text1"/>
          <w:sz w:val="28"/>
          <w:szCs w:val="28"/>
        </w:rPr>
        <w:t>1 (53)/2018. С. 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Марченко М.М. Теорія держави і права: Підручник. К.: Видавництво «Зерцало», 2004. 264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Махмудов Х.З., Даценко В. В. Зарубіжний досвід формування пенсійного страхування в Україні. </w:t>
      </w:r>
      <w:r w:rsidRPr="00DA41A0">
        <w:rPr>
          <w:rFonts w:ascii="Times New Roman" w:hAnsi="Times New Roman"/>
          <w:i/>
          <w:color w:val="000000" w:themeColor="text1"/>
          <w:sz w:val="28"/>
          <w:szCs w:val="28"/>
        </w:rPr>
        <w:t>Вісник Дніпропетровської державної фінансової академії</w:t>
      </w:r>
      <w:r w:rsidRPr="00DA41A0">
        <w:rPr>
          <w:rFonts w:ascii="Times New Roman" w:hAnsi="Times New Roman"/>
          <w:color w:val="000000" w:themeColor="text1"/>
          <w:sz w:val="28"/>
          <w:szCs w:val="28"/>
        </w:rPr>
        <w:t>. 2011. С. 30–38.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Мельніков С.А. Пенсійне страхування та напрями його реформування в Україні : автореф. дис. на здобуття наук. ступеня канд. економ. наук. К., 2009. 16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Меркулова В.И., Сахарова И.М. Пенсии по старости рабочим и служащим в СССР. М.: Госюриздат, 1957. 55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Методичні рекомендації для проведення атестації робочих місць за умовами праці: постанова Мінпраці № 41 від 01.09.1992 р. URL: </w:t>
      </w:r>
      <w:hyperlink r:id="rId35" w:history="1">
        <w:r w:rsidRPr="00DA41A0">
          <w:rPr>
            <w:rStyle w:val="a9"/>
            <w:rFonts w:ascii="Times New Roman" w:hAnsi="Times New Roman"/>
            <w:color w:val="000000" w:themeColor="text1"/>
            <w:sz w:val="28"/>
            <w:szCs w:val="28"/>
            <w:u w:val="none"/>
          </w:rPr>
          <w:t>http://zakon.</w:t>
        </w:r>
        <w:r w:rsidRPr="00DA41A0">
          <w:rPr>
            <w:rStyle w:val="a9"/>
            <w:rFonts w:ascii="Times New Roman" w:hAnsi="Times New Roman"/>
            <w:color w:val="000000" w:themeColor="text1"/>
            <w:sz w:val="28"/>
            <w:szCs w:val="28"/>
            <w:u w:val="none"/>
          </w:rPr>
          <w:br/>
          <w:t>rada.gov.ua/rada/show/v0041205-92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Методологія наукових досліджень з державного управління: хрестоматія / упоряд.: С.В. Загороднюк, О.Л. Євмєшкіна, В.В. Лещенко; за заг. ред.д-ра політ. наук К.О. Ващенка. К.: НАДУ, 2014. 180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Мисник Т.Г. Особливості функціонування пенсійних систем в економічно розвинутих країнах. URL: </w:t>
      </w:r>
      <w:hyperlink r:id="rId36" w:history="1">
        <w:r w:rsidRPr="00DA41A0">
          <w:rPr>
            <w:rStyle w:val="a9"/>
            <w:rFonts w:ascii="Times New Roman" w:hAnsi="Times New Roman"/>
            <w:color w:val="000000" w:themeColor="text1"/>
            <w:sz w:val="28"/>
            <w:szCs w:val="28"/>
            <w:u w:val="none"/>
          </w:rPr>
          <w:t>http://www.rusnauka.com/11_EISN_2011</w:t>
        </w:r>
        <w:r w:rsidRPr="00DA41A0">
          <w:rPr>
            <w:rStyle w:val="a9"/>
            <w:rFonts w:ascii="Times New Roman" w:hAnsi="Times New Roman"/>
            <w:color w:val="000000" w:themeColor="text1"/>
            <w:sz w:val="28"/>
            <w:szCs w:val="28"/>
            <w:u w:val="none"/>
          </w:rPr>
          <w:br/>
          <w:t>/Economics/3_84663.doc.htm</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Митний кодекс України: Закон України № 4495-VI від 13.03.2012 р. URL: http://zakon.rada.gov.ua/laws/show/4495-17#n4354.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Михайлова І.Ю. Розвиток пенсійного законодавства в СРСР у післявоєнний період. </w:t>
      </w:r>
      <w:r w:rsidRPr="00DA41A0">
        <w:rPr>
          <w:rFonts w:ascii="Times New Roman" w:hAnsi="Times New Roman"/>
          <w:i/>
          <w:color w:val="000000" w:themeColor="text1"/>
          <w:sz w:val="28"/>
          <w:szCs w:val="28"/>
        </w:rPr>
        <w:t>Університетські наукові записки</w:t>
      </w:r>
      <w:r w:rsidRPr="00DA41A0">
        <w:rPr>
          <w:rFonts w:ascii="Times New Roman" w:hAnsi="Times New Roman"/>
          <w:color w:val="000000" w:themeColor="text1"/>
          <w:sz w:val="28"/>
          <w:szCs w:val="28"/>
        </w:rPr>
        <w:t xml:space="preserve">. 2017. С. 193–203. </w:t>
      </w:r>
      <w:r w:rsidRPr="00DA41A0">
        <w:rPr>
          <w:rFonts w:ascii="Times New Roman" w:hAnsi="Times New Roman"/>
          <w:color w:val="000000" w:themeColor="text1"/>
          <w:sz w:val="28"/>
          <w:szCs w:val="28"/>
        </w:rPr>
        <w:br/>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xml:space="preserve">: </w:t>
      </w:r>
      <w:hyperlink r:id="rId37" w:history="1">
        <w:r w:rsidRPr="00DA41A0">
          <w:rPr>
            <w:rFonts w:ascii="Times New Roman" w:hAnsi="Times New Roman"/>
            <w:color w:val="000000" w:themeColor="text1"/>
            <w:sz w:val="28"/>
            <w:szCs w:val="28"/>
          </w:rPr>
          <w:t>http://www.univer.km.ua/visnyk/</w:t>
        </w:r>
      </w:hyperlink>
      <w:r w:rsidRPr="00DA41A0">
        <w:rPr>
          <w:rFonts w:ascii="Times New Roman" w:hAnsi="Times New Roman"/>
          <w:color w:val="000000" w:themeColor="text1"/>
          <w:sz w:val="28"/>
          <w:szCs w:val="28"/>
        </w:rPr>
        <w:t xml:space="preserve"> 1656.pdf.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Міндова О.І. Теоретичний аналіз економічної сутності пенсійного забезпечення. </w:t>
      </w:r>
      <w:r w:rsidRPr="00DA41A0">
        <w:rPr>
          <w:rFonts w:ascii="Times New Roman" w:hAnsi="Times New Roman"/>
          <w:i/>
          <w:color w:val="000000" w:themeColor="text1"/>
          <w:sz w:val="28"/>
          <w:szCs w:val="28"/>
        </w:rPr>
        <w:t>Науковий вісник Херсонського державного університету</w:t>
      </w:r>
      <w:r w:rsidRPr="00DA41A0">
        <w:rPr>
          <w:rFonts w:ascii="Times New Roman" w:hAnsi="Times New Roman"/>
          <w:color w:val="000000" w:themeColor="text1"/>
          <w:sz w:val="28"/>
          <w:szCs w:val="28"/>
        </w:rPr>
        <w:t>. Випуск 17. Частина 4. 2016. С. 102–106.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Міндова О.І. Трансформація системи пенсійного забезпечення в умовах євроінтеграції України: дис. канд. економ. наук. К., 2016. 253 с.  </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Молодцов О.В., Радченко О.В. Деякі аспекти проблеми інституціональної синхронізації процесів децентралізації в Україні. </w:t>
      </w:r>
      <w:r w:rsidRPr="00DA41A0">
        <w:rPr>
          <w:rFonts w:ascii="Times New Roman" w:hAnsi="Times New Roman"/>
          <w:i/>
          <w:color w:val="000000" w:themeColor="text1"/>
          <w:sz w:val="28"/>
          <w:szCs w:val="28"/>
        </w:rPr>
        <w:t>Теорія та практика державного управління і місцевого самоврядування</w:t>
      </w:r>
      <w:r w:rsidRPr="00DA41A0">
        <w:rPr>
          <w:rFonts w:ascii="Times New Roman" w:hAnsi="Times New Roman"/>
          <w:color w:val="000000" w:themeColor="text1"/>
          <w:sz w:val="28"/>
          <w:szCs w:val="28"/>
        </w:rPr>
        <w:t xml:space="preserve">: електр. наук. фах. вид. Херсонського національного технічного університету / голов. ред. проф. Лопушинський І.П. Херсон: ХНТУ. 2017. № 1. </w:t>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xml:space="preserve">: </w:t>
      </w:r>
      <w:hyperlink r:id="rId38" w:history="1">
        <w:r w:rsidRPr="00DA41A0">
          <w:rPr>
            <w:rStyle w:val="a9"/>
            <w:rFonts w:ascii="Times New Roman" w:hAnsi="Times New Roman"/>
            <w:color w:val="000000" w:themeColor="text1"/>
            <w:sz w:val="28"/>
            <w:szCs w:val="28"/>
            <w:u w:val="none"/>
          </w:rPr>
          <w:t>http://nbuv.gov.ua/UJRN/Ttpdu_2017_1_10</w:t>
        </w:r>
      </w:hyperlink>
      <w:r w:rsidRPr="00DA41A0">
        <w:rPr>
          <w:rStyle w:val="a9"/>
          <w:rFonts w:ascii="Times New Roman" w:hAnsi="Times New Roman"/>
          <w:color w:val="000000" w:themeColor="text1"/>
          <w:sz w:val="28"/>
          <w:szCs w:val="28"/>
          <w:u w:val="none"/>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Мосейко В.В. Генезис пенсионных систем как проявление социальной функции государства. URL: http://www.rusrand.ru/Doklad5/</w:t>
      </w:r>
      <w:r w:rsidRPr="00DA41A0">
        <w:rPr>
          <w:rFonts w:ascii="Times New Roman" w:hAnsi="Times New Roman"/>
          <w:color w:val="000000" w:themeColor="text1"/>
          <w:sz w:val="28"/>
          <w:szCs w:val="28"/>
        </w:rPr>
        <w:br/>
        <w:t>Moseiko.pdf.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Нагорна Г.О. Використання соціального проектування у процесі підготовки та реалізації державних реформ. </w:t>
      </w:r>
      <w:r w:rsidRPr="00DA41A0">
        <w:rPr>
          <w:rFonts w:ascii="Times New Roman" w:hAnsi="Times New Roman"/>
          <w:i/>
          <w:color w:val="000000" w:themeColor="text1"/>
          <w:sz w:val="28"/>
          <w:szCs w:val="28"/>
        </w:rPr>
        <w:t>Ефективність державного управління:</w:t>
      </w:r>
      <w:r w:rsidRPr="00DA41A0">
        <w:rPr>
          <w:rFonts w:ascii="Times New Roman" w:hAnsi="Times New Roman"/>
          <w:color w:val="000000" w:themeColor="text1"/>
          <w:sz w:val="28"/>
          <w:szCs w:val="28"/>
        </w:rPr>
        <w:t xml:space="preserve"> зб. наук. пр. Львівського регіонального інституту державного управління Національної академії державного управління при Президентові України. / за заг. ред. чл.-кор. НАН України В. С. Загорського, доц. </w:t>
      </w:r>
      <w:r w:rsidRPr="00DA41A0">
        <w:rPr>
          <w:rFonts w:ascii="Times New Roman" w:hAnsi="Times New Roman"/>
          <w:color w:val="000000" w:themeColor="text1"/>
          <w:sz w:val="28"/>
          <w:szCs w:val="28"/>
        </w:rPr>
        <w:br/>
        <w:t>А. В. Ліпенцева. Львів : ЛРІДУ НАДУ, 2015. Вип. 42. С. 94-99.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Нерсесянц В.С. Проблемы общей теории права и государства. Учебник для вузов / Под общ. ред. члена-корр. РАН, доктора юрид. наук, проф. В.С. Нерсесянца. М.: Издательская группа НОРМА-ИНФРА М, 1999. 832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О мероприятиях по дальнейшему повышению благосостояния советского народа: постановление ЦК КПСС и Совета Министров СССР от 26.09.1967 г. № 888 / Законодательство СССР. Библиотека нормативноправовых актов Союза Советских Социалистических Республик. URL: http://goo.gl/2CHswi.</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Об уставе сельскохозяйственной артели и дальнейшем развитии инициативы колхозников в организации колхозного производства и управлении делами артели: постановление ЦК КПСС и Совета Министров СССР от 06.03.1956 г. № 312 / Вологодская областная универсальная научная библиотека. URL: http://goo.gl/vVbf1A.</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Об утверждении Инструкции о порядке взимания и учета страховых взносов в Пенсионный фонд СССР и расходования средств Пенсионного Фонда СССР : Постановление Пенсионного фонда СССР, Государственного комитета СССР по труду и социальным вопросам, Министерства финансов СССР и Всеобщей конфедерации профессиональных союзов СССР от 19 декабря </w:t>
      </w:r>
      <w:r>
        <w:rPr>
          <w:rFonts w:ascii="Times New Roman" w:hAnsi="Times New Roman"/>
          <w:color w:val="000000" w:themeColor="text1"/>
          <w:sz w:val="28"/>
          <w:szCs w:val="28"/>
        </w:rPr>
        <w:br/>
      </w:r>
      <w:r w:rsidRPr="00DA41A0">
        <w:rPr>
          <w:rFonts w:ascii="Times New Roman" w:hAnsi="Times New Roman"/>
          <w:color w:val="000000" w:themeColor="text1"/>
          <w:sz w:val="28"/>
          <w:szCs w:val="28"/>
        </w:rPr>
        <w:t xml:space="preserve">1990 г. № 52-ПФ. </w:t>
      </w:r>
      <w:r w:rsidRPr="00DA41A0">
        <w:rPr>
          <w:rFonts w:ascii="Times New Roman" w:hAnsi="Times New Roman"/>
          <w:bCs/>
          <w:color w:val="000000" w:themeColor="text1"/>
          <w:sz w:val="28"/>
          <w:szCs w:val="28"/>
        </w:rPr>
        <w:t xml:space="preserve">URL: </w:t>
      </w:r>
      <w:hyperlink r:id="rId39" w:history="1">
        <w:r w:rsidRPr="00DA41A0">
          <w:rPr>
            <w:rFonts w:ascii="Times New Roman" w:hAnsi="Times New Roman"/>
            <w:color w:val="000000" w:themeColor="text1"/>
            <w:sz w:val="28"/>
            <w:szCs w:val="28"/>
          </w:rPr>
          <w:t>http://www.libussr.ru/doc_ussr/</w:t>
        </w:r>
      </w:hyperlink>
      <w:r w:rsidRPr="00DA41A0">
        <w:rPr>
          <w:rFonts w:ascii="Times New Roman" w:hAnsi="Times New Roman"/>
          <w:color w:val="000000" w:themeColor="text1"/>
          <w:sz w:val="28"/>
          <w:szCs w:val="28"/>
        </w:rPr>
        <w:t xml:space="preserve"> usr_17824.htm.</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Оверчук В.С., Калюга Є.В. Історичний аспект розвитку пенсійної системи в Україні. </w:t>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http://irbisnbuv.gov.ua/.../cgiirbis_64.exe.</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Орлов-Карба П.А. Всё о пенсионной реформе в России: моногр. М.: Гардарики, 2005. 302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Основи законодавства України про загальнообов’язкове державне соціальне страхування: Закон України від 14 січня 1998 року № 16/98-ВР.URL: http://zakon.rada.gov.ua/laws/show/en/16/98-вр.</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Основные предпосылки и тенденции реформирования пенсионных систем в современных условиях: обзорная информация. </w:t>
      </w:r>
      <w:r w:rsidRPr="00DA41A0">
        <w:rPr>
          <w:rFonts w:ascii="Times New Roman" w:hAnsi="Times New Roman"/>
          <w:i/>
          <w:color w:val="000000" w:themeColor="text1"/>
          <w:sz w:val="28"/>
          <w:szCs w:val="28"/>
        </w:rPr>
        <w:t>Вестник Приднестровского республиканского банка</w:t>
      </w:r>
      <w:r w:rsidRPr="00DA41A0">
        <w:rPr>
          <w:rFonts w:ascii="Times New Roman" w:hAnsi="Times New Roman"/>
          <w:color w:val="000000" w:themeColor="text1"/>
          <w:sz w:val="28"/>
          <w:szCs w:val="28"/>
        </w:rPr>
        <w:t xml:space="preserve">. 2013. № 9. URL: </w:t>
      </w:r>
      <w:hyperlink r:id="rId40" w:history="1">
        <w:r w:rsidRPr="00DA41A0">
          <w:rPr>
            <w:rStyle w:val="a9"/>
            <w:rFonts w:ascii="Times New Roman" w:hAnsi="Times New Roman"/>
            <w:color w:val="000000" w:themeColor="text1"/>
            <w:sz w:val="28"/>
            <w:szCs w:val="28"/>
            <w:u w:val="none"/>
          </w:rPr>
          <w:t>http</w:t>
        </w:r>
        <w:r w:rsidRPr="00DA41A0">
          <w:rPr>
            <w:rStyle w:val="a9"/>
            <w:rFonts w:ascii="Times New Roman" w:hAnsi="Times New Roman"/>
            <w:color w:val="000000" w:themeColor="text1"/>
            <w:sz w:val="28"/>
            <w:szCs w:val="28"/>
            <w:u w:val="none"/>
            <w:lang w:val="en-US"/>
          </w:rPr>
          <w:t>s</w:t>
        </w:r>
        <w:r w:rsidRPr="00DA41A0">
          <w:rPr>
            <w:rStyle w:val="a9"/>
            <w:rFonts w:ascii="Times New Roman" w:hAnsi="Times New Roman"/>
            <w:color w:val="000000" w:themeColor="text1"/>
            <w:sz w:val="28"/>
            <w:szCs w:val="28"/>
            <w:u w:val="none"/>
          </w:rPr>
          <w:t>://www.cbpmr.net/resource/prbvd172-5.pdf</w:t>
        </w:r>
      </w:hyperlink>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Офіційний веб-сайт Пенсійного фонду України. URL: http://www.</w:t>
      </w:r>
      <w:r w:rsidRPr="00DA41A0">
        <w:rPr>
          <w:rFonts w:ascii="Times New Roman" w:hAnsi="Times New Roman"/>
          <w:color w:val="000000" w:themeColor="text1"/>
          <w:sz w:val="28"/>
          <w:szCs w:val="28"/>
        </w:rPr>
        <w:br/>
        <w:t>pfu.gov.ua/.</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Павлюченко В.Г. Социальное страхование. М., 2007. 412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Пенсійна реформа в Україні: дослідження суспільної думки. USAID. Проект розвитку ринку капіталів, липень 2010 р. URL: http://www.uaib.com.ua/files/artcles/1277/86_4pdf.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Пенсійна реформа в Україні: напрями реалізації. Кол. монографія / За ред. Е.М. Лібанової. К.: Ін-т демографії та соціальних досліджень ім. М.В. Птухи НАН України, 2010. 270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Пенсійне забезпечення в Україні та Білорусі: історія становлення і перспективи розвитку: монографія / за ред. Михайла Шумила, Ірини Комоцької. Київ: Ніка-Центр, 2018.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Пенсійне забезпечення: навч. посіб. / І.А. Вєтухова, Г.О. Яковлєва, О.М. Ярошенко, за заг. ред. В.В. Жернакова. Х.: Нац.ун-т Юрид. акад. України ім. Ярослава Мудрого, 2013. 230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Петрушка О.В. </w:t>
      </w:r>
      <w:r w:rsidRPr="00DA41A0">
        <w:rPr>
          <w:rFonts w:ascii="Times New Roman" w:hAnsi="Times New Roman"/>
          <w:bCs/>
          <w:color w:val="000000" w:themeColor="text1"/>
          <w:sz w:val="28"/>
          <w:szCs w:val="28"/>
        </w:rPr>
        <w:t>Державне пенсійне страхування в умовах реформування пенсійної системи України: дис. канд. економ. наук. Тернопіль, 2013. 198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Питання Пенсійного фонду України: постанова Кабінету Міністрів України від 16 вересня 1992 року № 534. </w:t>
      </w:r>
      <w:r w:rsidRPr="00DA41A0">
        <w:rPr>
          <w:rFonts w:ascii="Times New Roman" w:hAnsi="Times New Roman"/>
          <w:bCs/>
          <w:color w:val="000000" w:themeColor="text1"/>
          <w:sz w:val="28"/>
          <w:szCs w:val="28"/>
        </w:rPr>
        <w:t>URL: http://search.ligazakon.ua/</w:t>
      </w:r>
      <w:r w:rsidRPr="00DA41A0">
        <w:rPr>
          <w:rFonts w:ascii="Times New Roman" w:hAnsi="Times New Roman"/>
          <w:bCs/>
          <w:color w:val="000000" w:themeColor="text1"/>
          <w:sz w:val="28"/>
          <w:szCs w:val="28"/>
        </w:rPr>
        <w:br/>
        <w:t>l_doc2.nsf/link1/KMP92534.html.</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bCs/>
          <w:color w:val="000000" w:themeColor="text1"/>
          <w:sz w:val="28"/>
          <w:szCs w:val="28"/>
        </w:rPr>
        <w:lastRenderedPageBreak/>
        <w:t>Питання соціального страхування</w:t>
      </w:r>
      <w:r w:rsidRPr="00DA41A0">
        <w:rPr>
          <w:rFonts w:ascii="Times New Roman" w:hAnsi="Times New Roman"/>
          <w:color w:val="000000" w:themeColor="text1"/>
          <w:sz w:val="28"/>
          <w:szCs w:val="28"/>
        </w:rPr>
        <w:t xml:space="preserve">: постанова Кабінету Міністрів </w:t>
      </w:r>
      <w:r w:rsidRPr="00DA41A0">
        <w:rPr>
          <w:rFonts w:ascii="Times New Roman" w:hAnsi="Times New Roman"/>
          <w:bCs/>
          <w:color w:val="000000" w:themeColor="text1"/>
          <w:sz w:val="28"/>
          <w:szCs w:val="28"/>
        </w:rPr>
        <w:t>від 2 червня 1993 р. № 398</w:t>
      </w:r>
      <w:r w:rsidRPr="00DA41A0">
        <w:rPr>
          <w:rFonts w:ascii="Times New Roman" w:hAnsi="Times New Roman"/>
          <w:color w:val="000000" w:themeColor="text1"/>
          <w:sz w:val="28"/>
          <w:szCs w:val="28"/>
        </w:rPr>
        <w:t>. URL: http://zakon.rada.gov.ua/laws/show/398-93.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Підсумки розвитку системи недержавного пенсійного забезпечення станом на 30.06.2018. URL: </w:t>
      </w:r>
      <w:hyperlink r:id="rId41" w:history="1">
        <w:r w:rsidRPr="00DA41A0">
          <w:rPr>
            <w:rFonts w:ascii="Times New Roman" w:hAnsi="Times New Roman"/>
            <w:color w:val="000000" w:themeColor="text1"/>
            <w:sz w:val="28"/>
            <w:szCs w:val="28"/>
          </w:rPr>
          <w:t>https://www.nfp.gov.ua/files/OgliadRinkiv/ NPF/OsnPokazn/NPF_II_kv_ 2018.pdf</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Підсумки розвитку системи недержавного пенсійного забезпечення станом на 31.12.2018. URL: </w:t>
      </w:r>
      <w:hyperlink r:id="rId42" w:history="1">
        <w:r w:rsidRPr="00DA41A0">
          <w:rPr>
            <w:rFonts w:ascii="Times New Roman" w:hAnsi="Times New Roman"/>
            <w:color w:val="000000" w:themeColor="text1"/>
            <w:sz w:val="28"/>
            <w:szCs w:val="28"/>
          </w:rPr>
          <w:t>https://www.nfp.gov.ua/files/OgliadRinkiv/ NPF/NPF_IV_kv%202018.pdf</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Погорєлова С. Історія становлення державної системи соціального захисту в європейських країнах. </w:t>
      </w:r>
      <w:r w:rsidRPr="00DA41A0">
        <w:rPr>
          <w:rFonts w:ascii="Times New Roman" w:hAnsi="Times New Roman"/>
          <w:i/>
          <w:color w:val="000000" w:themeColor="text1"/>
          <w:sz w:val="28"/>
          <w:szCs w:val="28"/>
        </w:rPr>
        <w:t xml:space="preserve">Вісник пенсійного фонду України. </w:t>
      </w:r>
      <w:r w:rsidRPr="00DA41A0">
        <w:rPr>
          <w:rFonts w:ascii="Times New Roman" w:hAnsi="Times New Roman"/>
          <w:color w:val="000000" w:themeColor="text1"/>
          <w:sz w:val="28"/>
          <w:szCs w:val="28"/>
        </w:rPr>
        <w:t xml:space="preserve">2008. № 5. </w:t>
      </w:r>
      <w:r w:rsidRPr="00DA41A0">
        <w:rPr>
          <w:rFonts w:ascii="Times New Roman" w:hAnsi="Times New Roman"/>
          <w:color w:val="000000" w:themeColor="text1"/>
          <w:sz w:val="28"/>
          <w:szCs w:val="28"/>
        </w:rPr>
        <w:br/>
        <w:t>С. 12–13.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Податковий кодекс України: Закон України від 02.12.2010 р. №2755-VI. URL: </w:t>
      </w:r>
      <w:hyperlink r:id="rId43" w:history="1">
        <w:r w:rsidRPr="00DA41A0">
          <w:rPr>
            <w:rStyle w:val="a9"/>
            <w:rFonts w:ascii="Times New Roman" w:hAnsi="Times New Roman"/>
            <w:color w:val="000000" w:themeColor="text1"/>
            <w:sz w:val="28"/>
            <w:szCs w:val="28"/>
            <w:u w:val="none"/>
          </w:rPr>
          <w:t>http://zakon.rada.gov.ua/laws/show/2755-17</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Порядок підтвердження періодів роботи, що зараховується до трудового стажу при призначенні пенсії на пільгових умовах або вислугу років: постанова Пенсійного фонду України № 18-1 від 10.11. 2006 року. URL: http://zakon.rada.gov.ua/laws/show/z1231-06.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Порядок подання та оформлення документів для призначення (перерахунку) пенсій відповідно до Закону України «Про загальнообов’язкове державне пенсійне страхування»: постанова Правління Пенсійного фонду України від 25 листопада 2005 р. № 22-1. URL: http://zakon.rada.gov.ua/</w:t>
      </w:r>
      <w:r w:rsidRPr="00DA41A0">
        <w:rPr>
          <w:rFonts w:ascii="Times New Roman" w:hAnsi="Times New Roman"/>
          <w:color w:val="000000" w:themeColor="text1"/>
          <w:sz w:val="28"/>
          <w:szCs w:val="28"/>
        </w:rPr>
        <w:br/>
        <w:t>laws/show/z0991-15.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Пояснювальна записка до проекту Закону України «Про внесення змін до деяких законодавчих актів України щодо підвищення пенсій». URL: http://w1.c1.rada.gov.ua/pls/zweb2/webproc4_1?pf3511 =62088.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Право социального обеспечения России / М.О. Буянова, К.Н. Гусов и др.; под ред. К.Н. Гусова. 3-е изд. М.: ТК Велби, Проспект, 2004.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Прилипко С.М. Юридична природа та сутність загально-обов’язкового державного соціального страхування. </w:t>
      </w:r>
      <w:r w:rsidRPr="00DA41A0">
        <w:rPr>
          <w:rFonts w:ascii="Times New Roman" w:hAnsi="Times New Roman"/>
          <w:i/>
          <w:color w:val="000000" w:themeColor="text1"/>
          <w:sz w:val="28"/>
          <w:szCs w:val="28"/>
        </w:rPr>
        <w:t>Правова держава.</w:t>
      </w:r>
      <w:r w:rsidRPr="00DA41A0">
        <w:rPr>
          <w:rFonts w:ascii="Times New Roman" w:hAnsi="Times New Roman"/>
          <w:color w:val="000000" w:themeColor="text1"/>
          <w:sz w:val="28"/>
          <w:szCs w:val="28"/>
        </w:rPr>
        <w:t xml:space="preserve"> 2004. Вип. 15. С. 216–229.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Про визнання такими, що втратили чинність, деяких указів Президента України: Указ Президента України від 20.06.2019 р. № 419/2019. URL: http://zakon.rada.gov.ua/laws/show/419/2019#n13.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внесення змін до деяких законів України :Закон України від 17.02.2000 р. № 1461-III. URL: http://zakon.rada.gov.ua/laws/show/1461-14/ed20000315.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внесення змін до деяких законів України: Закон України від 17.11.1999 р. № 1222-XIV. URL: http://zakon.rada.gov.ua/laws/show/1222-14/ed19991207.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внесення змін до деяких законодавчих актів України щодо забезпечення проведення мобілізації: Закон України від 27 березня 2014 року </w:t>
      </w:r>
      <w:r w:rsidRPr="00DA41A0">
        <w:rPr>
          <w:rFonts w:ascii="Times New Roman" w:hAnsi="Times New Roman"/>
          <w:color w:val="000000" w:themeColor="text1"/>
          <w:sz w:val="28"/>
          <w:szCs w:val="28"/>
        </w:rPr>
        <w:br/>
        <w:t xml:space="preserve">№ 1169. </w:t>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http://zakon.rada.gov.ua/laws/show/1169-18.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внесення змін до деяких законодавчих актів України щодо підвищення пенсій: Закон України від 03 жовтня 2017 року № 2148-VIII. URL: http://zakon.rada.gov.ua/laws/show/ 2148-19.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внесення змін до деяких указів Президента України: Указ Президента України від 10.09.1998 р. № 997/98. </w:t>
      </w:r>
      <w:r w:rsidRPr="00DA41A0">
        <w:rPr>
          <w:rFonts w:ascii="Times New Roman" w:hAnsi="Times New Roman"/>
          <w:bCs/>
          <w:color w:val="000000" w:themeColor="text1"/>
          <w:sz w:val="28"/>
          <w:szCs w:val="28"/>
        </w:rPr>
        <w:t>URL: http://zakon.rada.gov.ua/</w:t>
      </w:r>
      <w:r w:rsidRPr="00DA41A0">
        <w:rPr>
          <w:rFonts w:ascii="Times New Roman" w:hAnsi="Times New Roman"/>
          <w:bCs/>
          <w:color w:val="000000" w:themeColor="text1"/>
          <w:sz w:val="28"/>
          <w:szCs w:val="28"/>
        </w:rPr>
        <w:br/>
        <w:t>laws/show/997/98.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color w:val="000000" w:themeColor="text1"/>
          <w:sz w:val="28"/>
          <w:szCs w:val="28"/>
        </w:rPr>
        <w:t xml:space="preserve">Про внесення змін до Закону України «Про збір на обов'язкове державне пенсійне страхування»: Закон України від </w:t>
      </w:r>
      <w:r w:rsidRPr="00DA41A0">
        <w:rPr>
          <w:rFonts w:ascii="Times New Roman" w:hAnsi="Times New Roman"/>
          <w:bCs/>
          <w:color w:val="000000" w:themeColor="text1"/>
          <w:sz w:val="28"/>
          <w:szCs w:val="28"/>
        </w:rPr>
        <w:t xml:space="preserve">22.10.1998 р. № 208-XIV. URL: </w:t>
      </w:r>
      <w:hyperlink r:id="rId44" w:history="1">
        <w:r w:rsidRPr="00DA41A0">
          <w:rPr>
            <w:rStyle w:val="a9"/>
            <w:rFonts w:ascii="Times New Roman" w:hAnsi="Times New Roman"/>
            <w:bCs/>
            <w:color w:val="000000" w:themeColor="text1"/>
            <w:sz w:val="28"/>
            <w:szCs w:val="28"/>
            <w:u w:val="none"/>
          </w:rPr>
          <w:t>http://zakon.rada.gov.ua/laws/show/208-14/ed19981110</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внесення змін до Закону України «Про збір на обов'язкове державне пенсійне страхування»: Закон України від 22.10.1998 р. № 208-XIV. URL: http://zakon.rada.gov.ua/laws/show/208-14/ed19981110.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внесення змін до Закону України «Про збір на обов'язкове державне пенсійне страхування»: Закон України від 15.07.1999 р. № 967-XIV. URL: http://zakon.rada.gov.ua/laws/show/967-14/ed19990819.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внесення змін до Податкового кодексу України та деяких законодавчих актів України щодо забезпечення збалансованості бюджетних </w:t>
      </w:r>
      <w:r w:rsidRPr="00DA41A0">
        <w:rPr>
          <w:rFonts w:ascii="Times New Roman" w:hAnsi="Times New Roman"/>
          <w:color w:val="000000" w:themeColor="text1"/>
          <w:sz w:val="28"/>
          <w:szCs w:val="28"/>
        </w:rPr>
        <w:lastRenderedPageBreak/>
        <w:t>надходжень у 2016 році: Закон України від 24.12.2015 р. № 909-VIII. URL: http://zakon.rada.gov.ua/laws/show/909-19.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bCs/>
          <w:color w:val="000000" w:themeColor="text1"/>
          <w:sz w:val="28"/>
          <w:szCs w:val="28"/>
        </w:rPr>
        <w:t>Про внесення змін до Постанови Верховної Ради України</w:t>
      </w:r>
      <w:r w:rsidRPr="00DA41A0">
        <w:rPr>
          <w:rFonts w:ascii="Times New Roman" w:hAnsi="Times New Roman"/>
          <w:color w:val="000000" w:themeColor="text1"/>
          <w:sz w:val="28"/>
          <w:szCs w:val="28"/>
        </w:rPr>
        <w:t xml:space="preserve"> «Про порядок введення в дію Закону України «Про внесення змін і доповнень до Закону України «Про пенсійне забезпечення»: Постанова Верховної Ради України від </w:t>
      </w:r>
      <w:r w:rsidRPr="00DA41A0">
        <w:rPr>
          <w:rFonts w:ascii="Times New Roman" w:hAnsi="Times New Roman"/>
          <w:bCs/>
          <w:color w:val="000000" w:themeColor="text1"/>
          <w:sz w:val="28"/>
          <w:szCs w:val="28"/>
        </w:rPr>
        <w:t>07.02.1996 р. № 36/96-ВР. URL: http://zakon.rada.gov.ua/laws/</w:t>
      </w:r>
      <w:r w:rsidRPr="00DA41A0">
        <w:rPr>
          <w:rFonts w:ascii="Times New Roman" w:hAnsi="Times New Roman"/>
          <w:bCs/>
          <w:color w:val="000000" w:themeColor="text1"/>
          <w:sz w:val="28"/>
          <w:szCs w:val="28"/>
        </w:rPr>
        <w:br/>
        <w:t>show/36/96.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Державний бюджет України на 2015 рік: Закон України від </w:t>
      </w:r>
      <w:r w:rsidRPr="00DA41A0">
        <w:rPr>
          <w:rFonts w:ascii="Times New Roman" w:hAnsi="Times New Roman"/>
          <w:color w:val="000000" w:themeColor="text1"/>
          <w:sz w:val="28"/>
          <w:szCs w:val="28"/>
        </w:rPr>
        <w:br/>
        <w:t>28 грудня 2014 року № 80. URL: http://zakon.rada.gov.ua/laws/show/80-19.</w:t>
      </w:r>
    </w:p>
    <w:p w:rsidR="00344DAE" w:rsidRPr="00DA41A0" w:rsidRDefault="00344DAE" w:rsidP="00344DAE">
      <w:pPr>
        <w:numPr>
          <w:ilvl w:val="0"/>
          <w:numId w:val="44"/>
        </w:numPr>
        <w:spacing w:after="0" w:line="360" w:lineRule="auto"/>
        <w:ind w:left="0" w:firstLine="709"/>
        <w:contextualSpacing/>
        <w:jc w:val="both"/>
        <w:rPr>
          <w:rFonts w:ascii="Times New Roman" w:eastAsia="Times New Roman" w:hAnsi="Times New Roman"/>
          <w:color w:val="000000" w:themeColor="text1"/>
          <w:sz w:val="28"/>
          <w:szCs w:val="28"/>
          <w:lang w:eastAsia="uk-UA"/>
        </w:rPr>
      </w:pPr>
      <w:r w:rsidRPr="00DA41A0">
        <w:rPr>
          <w:rFonts w:ascii="Times New Roman" w:eastAsia="Times New Roman" w:hAnsi="Times New Roman"/>
          <w:color w:val="000000" w:themeColor="text1"/>
          <w:sz w:val="28"/>
          <w:szCs w:val="28"/>
          <w:lang w:eastAsia="uk-UA"/>
        </w:rPr>
        <w:t xml:space="preserve">Про державні пенсії: Закон СРСР від 14 липня 1956 року. </w:t>
      </w:r>
      <w:r w:rsidRPr="00DA41A0">
        <w:rPr>
          <w:rFonts w:ascii="Times New Roman" w:eastAsia="Times New Roman" w:hAnsi="Times New Roman"/>
          <w:color w:val="000000" w:themeColor="text1"/>
          <w:sz w:val="28"/>
          <w:szCs w:val="28"/>
          <w:lang w:eastAsia="uk-UA"/>
        </w:rPr>
        <w:br/>
      </w:r>
      <w:r w:rsidRPr="00DA41A0">
        <w:rPr>
          <w:rFonts w:ascii="Times New Roman" w:eastAsia="Times New Roman" w:hAnsi="Times New Roman"/>
          <w:bCs/>
          <w:color w:val="000000" w:themeColor="text1"/>
          <w:sz w:val="28"/>
          <w:szCs w:val="28"/>
          <w:lang w:eastAsia="uk-UA"/>
        </w:rPr>
        <w:t>URL</w:t>
      </w:r>
      <w:r w:rsidRPr="00DA41A0">
        <w:rPr>
          <w:rFonts w:ascii="Times New Roman" w:eastAsia="Times New Roman" w:hAnsi="Times New Roman"/>
          <w:color w:val="000000" w:themeColor="text1"/>
          <w:sz w:val="28"/>
          <w:szCs w:val="28"/>
          <w:lang w:eastAsia="uk-UA"/>
        </w:rPr>
        <w:t xml:space="preserve">: </w:t>
      </w:r>
      <w:hyperlink r:id="rId45" w:history="1">
        <w:r w:rsidRPr="00DA41A0">
          <w:rPr>
            <w:rStyle w:val="a9"/>
            <w:rFonts w:ascii="Times New Roman" w:eastAsia="Times New Roman" w:hAnsi="Times New Roman"/>
            <w:color w:val="000000" w:themeColor="text1"/>
            <w:sz w:val="28"/>
            <w:szCs w:val="28"/>
            <w:u w:val="none"/>
            <w:lang w:eastAsia="uk-UA"/>
          </w:rPr>
          <w:t>http://zakon.rada.gov.ua/laws/show/n0001400-56</w:t>
        </w:r>
      </w:hyperlink>
      <w:r w:rsidRPr="00DA41A0">
        <w:rPr>
          <w:rFonts w:ascii="Times New Roman" w:eastAsia="Times New Roman" w:hAnsi="Times New Roman"/>
          <w:color w:val="000000" w:themeColor="text1"/>
          <w:sz w:val="28"/>
          <w:szCs w:val="28"/>
          <w:lang w:eastAsia="uk-UA"/>
        </w:rPr>
        <w:t>.</w:t>
      </w:r>
    </w:p>
    <w:p w:rsidR="00344DAE" w:rsidRPr="00DA41A0" w:rsidRDefault="00344DAE" w:rsidP="00344DAE">
      <w:pPr>
        <w:numPr>
          <w:ilvl w:val="0"/>
          <w:numId w:val="44"/>
        </w:numPr>
        <w:spacing w:after="0" w:line="360" w:lineRule="auto"/>
        <w:ind w:left="0" w:firstLine="709"/>
        <w:contextualSpacing/>
        <w:jc w:val="both"/>
        <w:rPr>
          <w:rFonts w:ascii="Times New Roman" w:eastAsia="Times New Roman" w:hAnsi="Times New Roman"/>
          <w:color w:val="000000" w:themeColor="text1"/>
          <w:sz w:val="28"/>
          <w:szCs w:val="28"/>
          <w:lang w:eastAsia="uk-UA"/>
        </w:rPr>
      </w:pPr>
      <w:r w:rsidRPr="00DA41A0">
        <w:rPr>
          <w:rFonts w:ascii="Times New Roman" w:eastAsia="Times New Roman" w:hAnsi="Times New Roman"/>
          <w:color w:val="000000" w:themeColor="text1"/>
          <w:sz w:val="28"/>
          <w:szCs w:val="28"/>
          <w:lang w:eastAsia="uk-UA"/>
        </w:rPr>
        <w:t>Про державну підтримку засобів масової інформації та соціальний захист журналістів: Закон України від 23.09.1997 р. № 540/97-ВР. URL: http://zakon.rada.gov.ua/laws/show/540/97-вр.</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державну службу: Закон України від 10.12.2015 р. </w:t>
      </w:r>
      <w:r w:rsidRPr="00DA41A0">
        <w:rPr>
          <w:rFonts w:ascii="Times New Roman" w:hAnsi="Times New Roman"/>
          <w:color w:val="000000" w:themeColor="text1"/>
          <w:sz w:val="28"/>
          <w:szCs w:val="28"/>
        </w:rPr>
        <w:br/>
        <w:t>№ 889-VIII. URL: http://zakon.rada.gov.ua/laws/show/889-19.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державну службу: Закон України від 16.12.1993 р. № 3723-XII. URL: </w:t>
      </w:r>
      <w:hyperlink r:id="rId46" w:history="1">
        <w:r w:rsidRPr="00DA41A0">
          <w:rPr>
            <w:rStyle w:val="a9"/>
            <w:rFonts w:ascii="Times New Roman" w:hAnsi="Times New Roman"/>
            <w:color w:val="000000" w:themeColor="text1"/>
            <w:sz w:val="28"/>
            <w:szCs w:val="28"/>
            <w:u w:val="none"/>
          </w:rPr>
          <w:t>http://zakon.rada.gov.ua/laws/show/3723-12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дипломатичну службу: Закон України № 2449-VIII від 07.06.2018 р. URL: </w:t>
      </w:r>
      <w:hyperlink r:id="rId47" w:anchor="n332" w:history="1">
        <w:r w:rsidRPr="00DA41A0">
          <w:rPr>
            <w:rStyle w:val="a9"/>
            <w:rFonts w:ascii="Times New Roman" w:hAnsi="Times New Roman"/>
            <w:color w:val="000000" w:themeColor="text1"/>
            <w:sz w:val="28"/>
            <w:szCs w:val="28"/>
            <w:u w:val="none"/>
          </w:rPr>
          <w:t>http://zakon.rada.gov.ua/laws/show/2449-19#n332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донорство крові та її компонентів: Закон України від 23.06.1995 р. № 239/95-ВР. URL: http://zakon.rada.gov.ua/laws/show/239/95-вр#o84.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загальнообов’язкове державне пенсійне страхування: Закон України від 09.07.2003 р. № 1058-IV. URL: http://zakon.rada.gov.ua/laws/show/</w:t>
      </w:r>
      <w:r w:rsidRPr="00DA41A0">
        <w:rPr>
          <w:rFonts w:ascii="Times New Roman" w:hAnsi="Times New Roman"/>
          <w:color w:val="000000" w:themeColor="text1"/>
          <w:sz w:val="28"/>
          <w:szCs w:val="28"/>
        </w:rPr>
        <w:br/>
        <w:t>1058-15.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запобігання фінансової катастрофи та створення передумов для економічного зростання в Україні: Закон України від 27.03.2014 р. </w:t>
      </w:r>
      <w:r w:rsidRPr="00DA41A0">
        <w:rPr>
          <w:rFonts w:ascii="Times New Roman" w:hAnsi="Times New Roman"/>
          <w:color w:val="000000" w:themeColor="text1"/>
          <w:sz w:val="28"/>
          <w:szCs w:val="28"/>
        </w:rPr>
        <w:br/>
        <w:t>№ 1166. URL: http://zakon.rada.gov.ua/laws/show/1166-18.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Про затвердження Інструкції про порядок обчислення і сплати підприємствами, установами, організаціями та громадянами страхових внесків до Пенсійного фонду України, а також обліку надходження і витрачання його коштів: постанова Правління Пенсійного Фонду України від 06.09.1996 р. </w:t>
      </w:r>
      <w:r w:rsidRPr="00DA41A0">
        <w:rPr>
          <w:rFonts w:ascii="Times New Roman" w:hAnsi="Times New Roman"/>
          <w:color w:val="000000" w:themeColor="text1"/>
          <w:sz w:val="28"/>
          <w:szCs w:val="28"/>
        </w:rPr>
        <w:br/>
        <w:t xml:space="preserve">№ 11-1, зареєстрована в Міністерстві юстиції України 24 вересня 1996 р. за </w:t>
      </w:r>
      <w:r w:rsidRPr="00DA41A0">
        <w:rPr>
          <w:rFonts w:ascii="Times New Roman" w:hAnsi="Times New Roman"/>
          <w:color w:val="000000" w:themeColor="text1"/>
          <w:sz w:val="28"/>
          <w:szCs w:val="28"/>
        </w:rPr>
        <w:br/>
        <w:t xml:space="preserve">№ 550/1575. </w:t>
      </w:r>
      <w:r w:rsidRPr="00DA41A0">
        <w:rPr>
          <w:rFonts w:ascii="Times New Roman" w:hAnsi="Times New Roman"/>
          <w:bCs/>
          <w:color w:val="000000" w:themeColor="text1"/>
          <w:sz w:val="28"/>
          <w:szCs w:val="28"/>
        </w:rPr>
        <w:t xml:space="preserve">URL: </w:t>
      </w:r>
      <w:hyperlink r:id="rId48" w:history="1">
        <w:r w:rsidRPr="00DA41A0">
          <w:rPr>
            <w:rFonts w:ascii="Times New Roman" w:hAnsi="Times New Roman"/>
            <w:bCs/>
            <w:color w:val="000000" w:themeColor="text1"/>
            <w:sz w:val="28"/>
            <w:szCs w:val="28"/>
          </w:rPr>
          <w:t>http://zakon.rada.gov.ua/laws/show/z0550-96/ed19960906</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bCs/>
          <w:color w:val="000000" w:themeColor="text1"/>
          <w:sz w:val="28"/>
          <w:szCs w:val="28"/>
        </w:rPr>
        <w:t>Про затвердження Положення про медико-соціальну експертизу: постанова КМУ №1317 від 03.12.2009 р. URL: http://zakon.rada.gov.ua/laws/</w:t>
      </w:r>
      <w:r w:rsidRPr="00DA41A0">
        <w:rPr>
          <w:rFonts w:ascii="Times New Roman" w:hAnsi="Times New Roman"/>
          <w:bCs/>
          <w:color w:val="000000" w:themeColor="text1"/>
          <w:sz w:val="28"/>
          <w:szCs w:val="28"/>
        </w:rPr>
        <w:br/>
        <w:t>show/1317-2009-п.</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затвердження Положення про організацію персоніфікованого обліку відомостей у системі загальнообов'язкового державного пенсійного страхування: постанова КМУ від 04.06.1998 р. № 794. URL: http://zakon.rada.</w:t>
      </w:r>
      <w:r w:rsidRPr="00DA41A0">
        <w:rPr>
          <w:rFonts w:ascii="Times New Roman" w:hAnsi="Times New Roman"/>
          <w:color w:val="000000" w:themeColor="text1"/>
          <w:sz w:val="28"/>
          <w:szCs w:val="28"/>
        </w:rPr>
        <w:br/>
        <w:t>gov.ua/laws/show/794-98-п.</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затвердження Положення про Пенсійний Фонд СРСР: постанова Ради Міністрів СРСР і ВЦРПС від 15.08.1990 р. № 818. </w:t>
      </w:r>
      <w:r w:rsidRPr="00DA41A0">
        <w:rPr>
          <w:rFonts w:ascii="Times New Roman" w:hAnsi="Times New Roman"/>
          <w:bCs/>
          <w:color w:val="000000" w:themeColor="text1"/>
          <w:sz w:val="28"/>
          <w:szCs w:val="28"/>
        </w:rPr>
        <w:t xml:space="preserve">URL: </w:t>
      </w:r>
      <w:hyperlink r:id="rId49" w:history="1">
        <w:r w:rsidRPr="00DA41A0">
          <w:rPr>
            <w:rFonts w:ascii="Times New Roman" w:hAnsi="Times New Roman"/>
            <w:color w:val="000000" w:themeColor="text1"/>
            <w:sz w:val="28"/>
            <w:szCs w:val="28"/>
          </w:rPr>
          <w:t>http://www.businesspravo.ru/Docum/DocumShow_DocumID_39059.html</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затвердження Положення про помічника-консультанта народного депутата України: Постанова ВРУ від 13.10.1995 р. № 379/95-ВР. URL: http://zakon.rada.gov.ua/laws/show/379/95-вр.</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затвердження Положення про порядок призначення і виплати державних пенсій: Постанова Ради Міністрів СРСР № 1044 від 04.08.1956 р. </w:t>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http://www.libussr.ru/doc_ussr/ussr_5113.htm.</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затвердження Положення про порядок призначення і виплати державних пенсій: постанова Ради Міністрів СРСР від 03.08.1972 р. </w:t>
      </w:r>
      <w:r w:rsidRPr="00DA41A0">
        <w:rPr>
          <w:rFonts w:ascii="Times New Roman" w:hAnsi="Times New Roman"/>
          <w:color w:val="000000" w:themeColor="text1"/>
          <w:sz w:val="28"/>
          <w:szCs w:val="28"/>
        </w:rPr>
        <w:br/>
        <w:t>№ 590. URL: http://zakon.rada.gov.ua/laws/show/v0590400-72.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затвердження Порядку застосування Списків № 1 і № 2 виробництв, робіт, професій, посад і показників при обчисленні стажу роботи, що дає право на пенсію за віком на пільгових умовах: наказ Міністерства праці та соціальної політики України від 18.11.2005 року № 383. URL: http://zakon.rada.gov.ua/laws/show/z1451-05.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Про затвердження Порядку підтвердження наявного трудового стажу для призначення пенсій за відсутності трудової книжки або відповідних записів у ній: постанова КМУ від 12.08.1993 р. № 637. URL: http://zakon.rada.</w:t>
      </w:r>
      <w:r w:rsidRPr="00DA41A0">
        <w:rPr>
          <w:rFonts w:ascii="Times New Roman" w:hAnsi="Times New Roman"/>
          <w:color w:val="000000" w:themeColor="text1"/>
          <w:sz w:val="28"/>
          <w:szCs w:val="28"/>
        </w:rPr>
        <w:br/>
        <w:t>gov.ua/laws/show/637-93-п.</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затвердження роз'яснення «Про порядок застосування затверджених Постановою Ради Міністрів СРСР від 22 серпня 1956 р № 1173 Списків виробництв, цехів, професій і посад, робота в яких дає право на державну пенсію на пільгових умовах і в пільгових розмірах»: постанова Секретаріату Всесоюзної Центральної Ради Професійних Спілок від 02.04.1976 № 81/8 </w:t>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http://www.economics.kiev.ua/download/ZakonySSSR/data03/</w:t>
      </w:r>
      <w:r w:rsidRPr="00DA41A0">
        <w:rPr>
          <w:rFonts w:ascii="Times New Roman" w:hAnsi="Times New Roman"/>
          <w:color w:val="000000" w:themeColor="text1"/>
          <w:sz w:val="28"/>
          <w:szCs w:val="28"/>
        </w:rPr>
        <w:br/>
        <w:t>tex14311.htm.</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затвердження списків виробництв, робіт, професій, посад і показників, зайнятість в яких дає право на пенсію за віком на пільгових умовах: постанова КМУ </w:t>
      </w:r>
      <w:r w:rsidRPr="00DA41A0">
        <w:rPr>
          <w:rFonts w:ascii="Times New Roman" w:hAnsi="Times New Roman"/>
          <w:bCs/>
          <w:color w:val="000000" w:themeColor="text1"/>
          <w:sz w:val="28"/>
          <w:szCs w:val="28"/>
        </w:rPr>
        <w:t>від 24.06.2016 р. № 461</w:t>
      </w:r>
      <w:r w:rsidRPr="00DA41A0">
        <w:rPr>
          <w:rFonts w:ascii="Times New Roman" w:hAnsi="Times New Roman"/>
          <w:color w:val="000000" w:themeColor="text1"/>
          <w:sz w:val="28"/>
          <w:szCs w:val="28"/>
        </w:rPr>
        <w:t xml:space="preserve">. </w:t>
      </w:r>
      <w:r w:rsidRPr="00DA41A0">
        <w:rPr>
          <w:rFonts w:ascii="Times New Roman" w:hAnsi="Times New Roman"/>
          <w:bCs/>
          <w:color w:val="000000" w:themeColor="text1"/>
          <w:sz w:val="28"/>
          <w:szCs w:val="28"/>
        </w:rPr>
        <w:t>URL: http://zakon.rada.gov.ua/laws/</w:t>
      </w:r>
      <w:r w:rsidRPr="00DA41A0">
        <w:rPr>
          <w:rFonts w:ascii="Times New Roman" w:hAnsi="Times New Roman"/>
          <w:bCs/>
          <w:color w:val="000000" w:themeColor="text1"/>
          <w:sz w:val="28"/>
          <w:szCs w:val="28"/>
        </w:rPr>
        <w:br/>
        <w:t>show/461-2016-п.</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заходи щодо впровадження персоніфікованого обліку відомостей у системі обов'язкового державного пенсійного страхування: указ Президента України від 04.05.1998 р. № 401/98. URL: http://zakon.rada.</w:t>
      </w:r>
      <w:r w:rsidRPr="00DA41A0">
        <w:rPr>
          <w:rFonts w:ascii="Times New Roman" w:hAnsi="Times New Roman"/>
          <w:color w:val="000000" w:themeColor="text1"/>
          <w:sz w:val="28"/>
          <w:szCs w:val="28"/>
        </w:rPr>
        <w:br/>
        <w:t>gov.ua/laws/show/401/98.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заходи щодо законодавчого забезпечення реформування пенсійної системи: Закон України від 08.07.2011 р. № 3688. URL: http://zakon4.rada.gov.ua/laws/show/3668-17.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заходи щодо поетапного впровадження у Пенсійному фонді автоматизованого персоніфікованого обліку відомостей у системі загальнообов'язкового державного пенсійного страхування: постанова КМУ від 8 червня 1998 р. № 832. URL: http://zakon.rada.gov.ua/laws/show/832-98-п.</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збір на обов'язкове державне пенсійне страхування: Закон України від 26.06.1997 р. №400/97-ВР. URL: http://zakon.rada.gov.ua/laws/</w:t>
      </w:r>
      <w:r w:rsidRPr="00DA41A0">
        <w:rPr>
          <w:rFonts w:ascii="Times New Roman" w:hAnsi="Times New Roman"/>
          <w:color w:val="000000" w:themeColor="text1"/>
          <w:sz w:val="28"/>
          <w:szCs w:val="28"/>
        </w:rPr>
        <w:br/>
        <w:t>show/400/97-вр.</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Про індексацію грошових доходів населення: Закон України від 08.07.2010 р. № 2462-VI. URL: http://zakon.rada.gov.ua/laws/show/1282-12.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color w:val="000000" w:themeColor="text1"/>
          <w:sz w:val="28"/>
          <w:szCs w:val="28"/>
        </w:rPr>
        <w:t>Про наукову і науково-технічну діяльність</w:t>
      </w:r>
      <w:r w:rsidRPr="00DA41A0">
        <w:rPr>
          <w:rFonts w:ascii="Times New Roman" w:hAnsi="Times New Roman"/>
          <w:bCs/>
          <w:color w:val="000000" w:themeColor="text1"/>
          <w:sz w:val="28"/>
          <w:szCs w:val="28"/>
        </w:rPr>
        <w:t>: Закон України від 13.12.1991 р. № 1977-XII. URL: http://zakon.rada.gov.ua/laws/show/1977-12.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Про наукову і науково-технічну діяльність: Закон України від 26.11.2015 р. № 848-VIII. URL: </w:t>
      </w:r>
      <w:r w:rsidRPr="00DA41A0">
        <w:rPr>
          <w:rFonts w:ascii="Times New Roman" w:hAnsi="Times New Roman"/>
          <w:color w:val="000000" w:themeColor="text1"/>
          <w:sz w:val="28"/>
          <w:szCs w:val="28"/>
        </w:rPr>
        <w:t>http://zakon.rada.gov.ua/laws/show/848-19.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Про Національний банк України: Закон України від 20.05.1999 р. № 679-XIV. URL: </w:t>
      </w:r>
      <w:hyperlink r:id="rId50" w:history="1">
        <w:r w:rsidRPr="00DA41A0">
          <w:rPr>
            <w:rStyle w:val="a9"/>
            <w:rFonts w:ascii="Times New Roman" w:hAnsi="Times New Roman"/>
            <w:bCs/>
            <w:color w:val="000000" w:themeColor="text1"/>
            <w:sz w:val="28"/>
            <w:szCs w:val="28"/>
            <w:u w:val="none"/>
          </w:rPr>
          <w:t>http://zakon.rada.gov.ua/laws/show/679-14</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color w:val="000000" w:themeColor="text1"/>
          <w:sz w:val="28"/>
          <w:szCs w:val="28"/>
        </w:rPr>
        <w:t xml:space="preserve">Про недержавне пенсійне забезпечення: Закон України від 09.07.2003 р. № 1057-IV. URL: </w:t>
      </w:r>
      <w:hyperlink r:id="rId51" w:history="1">
        <w:r w:rsidRPr="00DA41A0">
          <w:rPr>
            <w:rStyle w:val="a9"/>
            <w:rFonts w:ascii="Times New Roman" w:hAnsi="Times New Roman"/>
            <w:color w:val="000000" w:themeColor="text1"/>
            <w:sz w:val="28"/>
            <w:szCs w:val="28"/>
            <w:u w:val="none"/>
          </w:rPr>
          <w:t>http://zakon.rada.gov.ua/laws/show/1057-15</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color w:val="000000" w:themeColor="text1"/>
          <w:sz w:val="28"/>
          <w:szCs w:val="28"/>
        </w:rPr>
        <w:t xml:space="preserve">Про основні засади соціального захисту ветеранів праці та інших громадян похилого віку в Україні: Закон України від 16.12.1993 р. № 3721-XII. URL: </w:t>
      </w:r>
      <w:hyperlink r:id="rId52" w:history="1">
        <w:r w:rsidRPr="00DA41A0">
          <w:rPr>
            <w:rStyle w:val="a9"/>
            <w:rFonts w:ascii="Times New Roman" w:hAnsi="Times New Roman"/>
            <w:color w:val="000000" w:themeColor="text1"/>
            <w:sz w:val="28"/>
            <w:szCs w:val="28"/>
            <w:u w:val="none"/>
          </w:rPr>
          <w:t>http://zakon.rada.gov.ua/laws/show/3721-12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color w:val="000000" w:themeColor="text1"/>
          <w:sz w:val="28"/>
          <w:szCs w:val="28"/>
        </w:rPr>
        <w:t xml:space="preserve">Про Основні напрями реформування пенсійного забезпечення в Україні: Указ Президента України від 13.04.1998 р. </w:t>
      </w:r>
      <w:r w:rsidRPr="00DA41A0">
        <w:rPr>
          <w:rFonts w:ascii="Times New Roman" w:hAnsi="Times New Roman"/>
          <w:bCs/>
          <w:color w:val="000000" w:themeColor="text1"/>
          <w:sz w:val="28"/>
          <w:szCs w:val="28"/>
        </w:rPr>
        <w:t xml:space="preserve">URL: </w:t>
      </w:r>
      <w:r w:rsidRPr="00DA41A0">
        <w:rPr>
          <w:rFonts w:ascii="Times New Roman" w:hAnsi="Times New Roman"/>
          <w:color w:val="000000" w:themeColor="text1"/>
          <w:sz w:val="28"/>
          <w:szCs w:val="28"/>
        </w:rPr>
        <w:t>http://zakon.rada.</w:t>
      </w:r>
      <w:r w:rsidRPr="00DA41A0">
        <w:rPr>
          <w:rFonts w:ascii="Times New Roman" w:hAnsi="Times New Roman"/>
          <w:color w:val="000000" w:themeColor="text1"/>
          <w:sz w:val="28"/>
          <w:szCs w:val="28"/>
        </w:rPr>
        <w:br/>
        <w:t>gov.ua/laws/show/291/98.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Основні напрями реформування пенсійного забезпечення в Україні: Указ Президента України від 13.04.1998 р. URL: http://zakon.rada.</w:t>
      </w:r>
      <w:r w:rsidRPr="00DA41A0">
        <w:rPr>
          <w:rFonts w:ascii="Times New Roman" w:hAnsi="Times New Roman"/>
          <w:color w:val="000000" w:themeColor="text1"/>
          <w:sz w:val="28"/>
          <w:szCs w:val="28"/>
        </w:rPr>
        <w:br/>
        <w:t>gov.ua/laws/show/291/98.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Про основні напрями реформування системи пенсійного забезпечення населення України: Послання Президента України до Верховної Ради України та Кабінету Міністрів України від 10.10.2001 р. </w:t>
      </w:r>
      <w:r w:rsidRPr="00DA41A0">
        <w:rPr>
          <w:rFonts w:ascii="Times New Roman" w:hAnsi="Times New Roman"/>
          <w:bCs/>
          <w:color w:val="000000" w:themeColor="text1"/>
          <w:sz w:val="28"/>
          <w:szCs w:val="28"/>
        </w:rPr>
        <w:br/>
        <w:t xml:space="preserve">URL: </w:t>
      </w:r>
      <w:r w:rsidRPr="00DA41A0">
        <w:rPr>
          <w:rFonts w:ascii="Times New Roman" w:hAnsi="Times New Roman"/>
          <w:color w:val="000000" w:themeColor="text1"/>
          <w:sz w:val="28"/>
          <w:szCs w:val="28"/>
        </w:rPr>
        <w:t>http://zakon.rada.gov.ua/laws/show/n1_14100-01.</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охорону праці: Закон України від 14 жовтня 1992 року № 2694-XII. URL: </w:t>
      </w:r>
      <w:hyperlink r:id="rId53" w:history="1">
        <w:r w:rsidRPr="00DA41A0">
          <w:rPr>
            <w:rStyle w:val="a9"/>
            <w:rFonts w:ascii="Times New Roman" w:hAnsi="Times New Roman"/>
            <w:color w:val="000000" w:themeColor="text1"/>
            <w:sz w:val="28"/>
            <w:szCs w:val="28"/>
            <w:u w:val="none"/>
          </w:rPr>
          <w:t>http://zakon.rada.gov.ua/laws/show/2694-12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пенсії за особливі заслуги перед Україною: Закон України від 01.06.2000 р. № 1767-III. URL: http://zakon.rada.gov.ua/laws/show/1767-14.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пенсії і допомогу членам колгоспів: Закон СРСР від </w:t>
      </w:r>
      <w:r w:rsidRPr="00DA41A0">
        <w:rPr>
          <w:rFonts w:ascii="Times New Roman" w:hAnsi="Times New Roman"/>
          <w:color w:val="000000" w:themeColor="text1"/>
          <w:sz w:val="28"/>
          <w:szCs w:val="28"/>
        </w:rPr>
        <w:br/>
        <w:t>15.07.1964 р. № 2688-VI // Відомості Верховної Ради СРСР. 1964. № 29.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Про пенсійне забезпечення громадян в СРСР: Закон СРСР від 15.05.1990 р. № 1480-I. </w:t>
      </w:r>
      <w:r w:rsidRPr="00DA41A0">
        <w:rPr>
          <w:rFonts w:ascii="Times New Roman" w:eastAsia="Times New Roman" w:hAnsi="Times New Roman"/>
          <w:bCs/>
          <w:color w:val="000000" w:themeColor="text1"/>
          <w:sz w:val="28"/>
          <w:szCs w:val="28"/>
          <w:lang w:eastAsia="uk-UA"/>
        </w:rPr>
        <w:t>URL:</w:t>
      </w:r>
      <w:r w:rsidRPr="00DA41A0">
        <w:rPr>
          <w:rFonts w:ascii="Times New Roman" w:eastAsia="Times New Roman" w:hAnsi="Times New Roman"/>
          <w:color w:val="000000" w:themeColor="text1"/>
          <w:sz w:val="28"/>
          <w:szCs w:val="28"/>
          <w:lang w:eastAsia="uk-UA"/>
        </w:rPr>
        <w:t xml:space="preserve"> http://zakon.rada.gov.ua/laws/card/v1480400-90.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пенсійне забезпечення: Закон України від 05.11.1991 р. </w:t>
      </w:r>
      <w:r w:rsidRPr="00DA41A0">
        <w:rPr>
          <w:rFonts w:ascii="Times New Roman" w:hAnsi="Times New Roman"/>
          <w:color w:val="000000" w:themeColor="text1"/>
          <w:sz w:val="28"/>
          <w:szCs w:val="28"/>
        </w:rPr>
        <w:br/>
        <w:t xml:space="preserve">№ 1788-XII. URL: </w:t>
      </w:r>
      <w:hyperlink r:id="rId54" w:history="1">
        <w:r w:rsidRPr="00DA41A0">
          <w:rPr>
            <w:rStyle w:val="a9"/>
            <w:rFonts w:ascii="Times New Roman" w:hAnsi="Times New Roman"/>
            <w:color w:val="000000" w:themeColor="text1"/>
            <w:sz w:val="28"/>
            <w:szCs w:val="28"/>
            <w:u w:val="none"/>
          </w:rPr>
          <w:t>http://zakon.rada.gov.ua/laws/show/1788-12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пенсійне забезпечення осіб, звільнених з військової служби, та деяких інших осіб: Закон України № 2262-XII від 09.04.1992 р. </w:t>
      </w:r>
      <w:r w:rsidRPr="00DA41A0">
        <w:rPr>
          <w:rFonts w:ascii="Times New Roman" w:hAnsi="Times New Roman"/>
          <w:color w:val="000000" w:themeColor="text1"/>
          <w:sz w:val="28"/>
          <w:szCs w:val="28"/>
        </w:rPr>
        <w:br/>
        <w:t>URL: http://zakon.rada.gov.ua/laws/show/2262-12.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підвищення престижності шахтарської праці: Закон України від 02.09.2008 р. № </w:t>
      </w:r>
      <w:r w:rsidRPr="00DA41A0">
        <w:rPr>
          <w:rFonts w:ascii="Times New Roman" w:hAnsi="Times New Roman"/>
          <w:bCs/>
          <w:color w:val="000000" w:themeColor="text1"/>
          <w:sz w:val="28"/>
          <w:szCs w:val="28"/>
        </w:rPr>
        <w:t xml:space="preserve">345-VI. URL: </w:t>
      </w:r>
      <w:r w:rsidRPr="00DA41A0">
        <w:rPr>
          <w:rFonts w:ascii="Times New Roman" w:hAnsi="Times New Roman"/>
          <w:color w:val="000000" w:themeColor="text1"/>
          <w:sz w:val="28"/>
          <w:szCs w:val="28"/>
        </w:rPr>
        <w:t>http://zakon.rada.gov.ua/laws/show/345-17.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положення про Пенсійний Фонд : Указ Президента України від №121/2001 від 01.03.2001 р. URL: http://zakon.rada.gov.ua/laws/show/121/2001.</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Положення про Пенсійний фонд України: Указ Президента України від 06.04.2011 р. № 384/2011. URL: http://zakon.rada.gov.ua/laws/card/</w:t>
      </w:r>
      <w:r w:rsidRPr="00DA41A0">
        <w:rPr>
          <w:rFonts w:ascii="Times New Roman" w:hAnsi="Times New Roman"/>
          <w:color w:val="000000" w:themeColor="text1"/>
          <w:sz w:val="28"/>
          <w:szCs w:val="28"/>
        </w:rPr>
        <w:br/>
        <w:t>384/2011.</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порядок введення в дію Закону України «Про внесення змін і доповнень до Закону України «Про пенсійне забезпечення»: Постанова Верховної Ради України від </w:t>
      </w:r>
      <w:r w:rsidRPr="00DA41A0">
        <w:rPr>
          <w:rFonts w:ascii="Times New Roman" w:hAnsi="Times New Roman"/>
          <w:bCs/>
          <w:color w:val="000000" w:themeColor="text1"/>
          <w:sz w:val="28"/>
          <w:szCs w:val="28"/>
        </w:rPr>
        <w:t>17.06.1993 р. № 3290-XII. URL: http://zakon.</w:t>
      </w:r>
      <w:r w:rsidRPr="00DA41A0">
        <w:rPr>
          <w:rFonts w:ascii="Times New Roman" w:hAnsi="Times New Roman"/>
          <w:bCs/>
          <w:color w:val="000000" w:themeColor="text1"/>
          <w:sz w:val="28"/>
          <w:szCs w:val="28"/>
        </w:rPr>
        <w:br/>
        <w:t>rada.gov.ua/laws/show/3290-12.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color w:val="000000" w:themeColor="text1"/>
          <w:sz w:val="28"/>
          <w:szCs w:val="28"/>
        </w:rPr>
        <w:t>Про порядок введення в дію Закону України «Про пенсійне забезпечення»: Постанова Верховної Ради України від 06.12.1991 р. №</w:t>
      </w:r>
      <w:r w:rsidRPr="00DA41A0">
        <w:rPr>
          <w:rFonts w:ascii="Times New Roman" w:hAnsi="Times New Roman"/>
          <w:bCs/>
          <w:color w:val="000000" w:themeColor="text1"/>
          <w:sz w:val="28"/>
          <w:szCs w:val="28"/>
        </w:rPr>
        <w:t xml:space="preserve">1931-XII. URL: </w:t>
      </w:r>
      <w:hyperlink r:id="rId55" w:history="1">
        <w:r w:rsidRPr="00DA41A0">
          <w:rPr>
            <w:rStyle w:val="a9"/>
            <w:rFonts w:ascii="Times New Roman" w:hAnsi="Times New Roman"/>
            <w:bCs/>
            <w:color w:val="000000" w:themeColor="text1"/>
            <w:sz w:val="28"/>
            <w:szCs w:val="28"/>
            <w:u w:val="none"/>
          </w:rPr>
          <w:t>http://zakon.rada.gov.ua/laws/show/1931-12</w:t>
        </w:r>
      </w:hyperlink>
      <w:r w:rsidRPr="00DA41A0">
        <w:rPr>
          <w:rFonts w:ascii="Times New Roman" w:hAnsi="Times New Roman"/>
          <w:bCs/>
          <w:color w:val="000000" w:themeColor="text1"/>
          <w:sz w:val="28"/>
          <w:szCs w:val="28"/>
        </w:rPr>
        <w:t>.</w:t>
      </w:r>
    </w:p>
    <w:p w:rsidR="00344DAE"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Порядок проведення атестації робочих місць за умовами праці: Постанова Кабінету Міністрів України від 01 серпня 1992 р. № 442. </w:t>
      </w:r>
      <w:r w:rsidRPr="00DA41A0">
        <w:rPr>
          <w:rFonts w:ascii="Times New Roman" w:hAnsi="Times New Roman"/>
          <w:color w:val="000000" w:themeColor="text1"/>
          <w:sz w:val="28"/>
          <w:szCs w:val="28"/>
        </w:rPr>
        <w:br/>
        <w:t xml:space="preserve">URL: </w:t>
      </w:r>
      <w:hyperlink r:id="rId56" w:history="1">
        <w:r w:rsidRPr="00DA41A0">
          <w:rPr>
            <w:rStyle w:val="a9"/>
            <w:rFonts w:ascii="Times New Roman" w:hAnsi="Times New Roman"/>
            <w:color w:val="000000" w:themeColor="text1"/>
            <w:sz w:val="28"/>
            <w:szCs w:val="28"/>
            <w:u w:val="none"/>
          </w:rPr>
          <w:t>http://zakon.rada.gov.ua/laws/show/442-92-п</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4D2869">
        <w:rPr>
          <w:rFonts w:ascii="Times New Roman" w:hAnsi="Times New Roman"/>
          <w:color w:val="000000" w:themeColor="text1"/>
          <w:sz w:val="28"/>
          <w:szCs w:val="28"/>
        </w:rPr>
        <w:t xml:space="preserve">Про прокуратуру: Закон України від </w:t>
      </w:r>
      <w:r>
        <w:rPr>
          <w:rFonts w:ascii="Times New Roman" w:hAnsi="Times New Roman"/>
          <w:color w:val="000000" w:themeColor="text1"/>
          <w:sz w:val="28"/>
          <w:szCs w:val="28"/>
        </w:rPr>
        <w:t xml:space="preserve">05.11.1991 р. № </w:t>
      </w:r>
      <w:r w:rsidRPr="0081191C">
        <w:rPr>
          <w:rFonts w:ascii="Times New Roman" w:hAnsi="Times New Roman"/>
          <w:color w:val="000000" w:themeColor="text1"/>
          <w:sz w:val="28"/>
          <w:szCs w:val="28"/>
        </w:rPr>
        <w:t>1789-XII</w:t>
      </w:r>
      <w:r>
        <w:rPr>
          <w:rFonts w:ascii="Times New Roman" w:hAnsi="Times New Roman"/>
          <w:color w:val="000000" w:themeColor="text1"/>
          <w:sz w:val="28"/>
          <w:szCs w:val="28"/>
        </w:rPr>
        <w:t xml:space="preserve">. </w:t>
      </w:r>
      <w:r>
        <w:rPr>
          <w:rFonts w:ascii="Times New Roman" w:hAnsi="Times New Roman"/>
          <w:color w:val="000000" w:themeColor="text1"/>
          <w:sz w:val="28"/>
          <w:szCs w:val="28"/>
        </w:rPr>
        <w:br/>
      </w:r>
      <w:r w:rsidRPr="004D2869">
        <w:rPr>
          <w:rFonts w:ascii="Times New Roman" w:hAnsi="Times New Roman"/>
          <w:color w:val="000000" w:themeColor="text1"/>
          <w:sz w:val="28"/>
          <w:szCs w:val="28"/>
        </w:rPr>
        <w:t xml:space="preserve">URL: </w:t>
      </w:r>
      <w:r>
        <w:rPr>
          <w:rFonts w:ascii="Times New Roman" w:hAnsi="Times New Roman"/>
          <w:color w:val="000000" w:themeColor="text1"/>
          <w:sz w:val="28"/>
          <w:szCs w:val="28"/>
        </w:rPr>
        <w:t>http</w:t>
      </w:r>
      <w:r w:rsidRPr="004D2869">
        <w:rPr>
          <w:rFonts w:ascii="Times New Roman" w:hAnsi="Times New Roman"/>
          <w:color w:val="000000" w:themeColor="text1"/>
          <w:sz w:val="28"/>
          <w:szCs w:val="28"/>
        </w:rPr>
        <w:t>://zakon.rada.gov.ua/laws/show/1789-12</w:t>
      </w:r>
      <w:r>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прокуратуру: Закон України від 14.10.2014 р. № 1697-VII. </w:t>
      </w:r>
      <w:r w:rsidRPr="00DA41A0">
        <w:rPr>
          <w:rFonts w:ascii="Times New Roman" w:hAnsi="Times New Roman"/>
          <w:color w:val="000000" w:themeColor="text1"/>
          <w:sz w:val="28"/>
          <w:szCs w:val="28"/>
        </w:rPr>
        <w:br/>
        <w:t>URL: http://zakon.rada.gov.ua/laws/show/1697-18.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Рекомендації парламентських слухань на тему: «Стан проведення пенсійної реформи та шляхи її вдосконалення»: Постанова </w:t>
      </w:r>
      <w:r w:rsidRPr="00DA41A0">
        <w:rPr>
          <w:rFonts w:ascii="Times New Roman" w:hAnsi="Times New Roman"/>
          <w:color w:val="000000" w:themeColor="text1"/>
          <w:sz w:val="28"/>
          <w:szCs w:val="28"/>
        </w:rPr>
        <w:lastRenderedPageBreak/>
        <w:t>Верховної Ради України від 5 квітня 2011 р. № 3188. URL: http://zakon.rada.</w:t>
      </w:r>
      <w:r w:rsidRPr="00DA41A0">
        <w:rPr>
          <w:rFonts w:ascii="Times New Roman" w:hAnsi="Times New Roman"/>
          <w:color w:val="000000" w:themeColor="text1"/>
          <w:sz w:val="28"/>
          <w:szCs w:val="28"/>
        </w:rPr>
        <w:br/>
        <w:t>gov.ua/laws/show/3188-vi.</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розподіл відрахувань на соціальне страхування у 1992 році: Постанова Кабінету Міністрів України від 21 січня 1992 р. № 23. </w:t>
      </w:r>
      <w:r w:rsidRPr="00DA41A0">
        <w:rPr>
          <w:rFonts w:ascii="Times New Roman" w:hAnsi="Times New Roman"/>
          <w:color w:val="000000" w:themeColor="text1"/>
          <w:sz w:val="28"/>
          <w:szCs w:val="28"/>
        </w:rPr>
        <w:br/>
      </w:r>
      <w:r w:rsidRPr="00DA41A0">
        <w:rPr>
          <w:rFonts w:ascii="Times New Roman" w:hAnsi="Times New Roman"/>
          <w:bCs/>
          <w:color w:val="000000" w:themeColor="text1"/>
          <w:sz w:val="28"/>
          <w:szCs w:val="28"/>
        </w:rPr>
        <w:t xml:space="preserve">URL: </w:t>
      </w:r>
      <w:hyperlink r:id="rId57" w:history="1">
        <w:r w:rsidRPr="00DA41A0">
          <w:rPr>
            <w:rStyle w:val="a9"/>
            <w:rFonts w:ascii="Times New Roman" w:hAnsi="Times New Roman"/>
            <w:bCs/>
            <w:color w:val="000000" w:themeColor="text1"/>
            <w:sz w:val="28"/>
            <w:szCs w:val="28"/>
            <w:u w:val="none"/>
          </w:rPr>
          <w:t>http://zakon.rada.gov.ua/laws/show/23-92-п</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службу в органах місцевого самоврядування: Закон України </w:t>
      </w:r>
      <w:r w:rsidRPr="00DA41A0">
        <w:rPr>
          <w:rFonts w:ascii="Times New Roman" w:hAnsi="Times New Roman"/>
          <w:color w:val="000000" w:themeColor="text1"/>
          <w:sz w:val="28"/>
          <w:szCs w:val="28"/>
        </w:rPr>
        <w:br/>
        <w:t>№ 2493-III від 07.06.2001 р. URL: http://zakon.rada.gov.ua/laws/show/2493-14.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статус ветеранів війни, гарантії їх соціального захисту: Закон України від 22.10.1993 р. № </w:t>
      </w:r>
      <w:r w:rsidRPr="00DA41A0">
        <w:rPr>
          <w:rFonts w:ascii="Times New Roman" w:hAnsi="Times New Roman"/>
          <w:bCs/>
          <w:color w:val="000000" w:themeColor="text1"/>
          <w:sz w:val="28"/>
          <w:szCs w:val="28"/>
        </w:rPr>
        <w:t xml:space="preserve">3551-XII. URL: </w:t>
      </w:r>
      <w:hyperlink r:id="rId58" w:history="1">
        <w:r w:rsidRPr="00DA41A0">
          <w:rPr>
            <w:rStyle w:val="a9"/>
            <w:rFonts w:ascii="Times New Roman" w:hAnsi="Times New Roman"/>
            <w:bCs/>
            <w:color w:val="000000" w:themeColor="text1"/>
            <w:sz w:val="28"/>
            <w:szCs w:val="28"/>
            <w:u w:val="none"/>
          </w:rPr>
          <w:t>http://zakon.rada.gov.ua/laws/show/</w:t>
        </w:r>
        <w:r w:rsidRPr="00DA41A0">
          <w:rPr>
            <w:rStyle w:val="a9"/>
            <w:rFonts w:ascii="Times New Roman" w:hAnsi="Times New Roman"/>
            <w:bCs/>
            <w:color w:val="000000" w:themeColor="text1"/>
            <w:sz w:val="28"/>
            <w:szCs w:val="28"/>
            <w:u w:val="none"/>
          </w:rPr>
          <w:br/>
          <w:t>3551-12</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статус гірських населених пунктів в Україні: Закон України від 15.02.1995 р. № 56/95-ВР. URL: </w:t>
      </w:r>
      <w:hyperlink r:id="rId59" w:history="1">
        <w:r w:rsidRPr="00DA41A0">
          <w:rPr>
            <w:rStyle w:val="a9"/>
            <w:rFonts w:ascii="Times New Roman" w:hAnsi="Times New Roman"/>
            <w:color w:val="000000" w:themeColor="text1"/>
            <w:sz w:val="28"/>
            <w:szCs w:val="28"/>
            <w:u w:val="none"/>
          </w:rPr>
          <w:t>http://zakon.rada.gov.ua/laws/show/56/95-вр</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статус і соціальний захист громадян, які постраждали внаслідок Чорнобильської катастрофи: Закон України від 28.02.1991 р. № 796-ХІІ. URL: </w:t>
      </w:r>
      <w:hyperlink r:id="rId60" w:history="1">
        <w:r w:rsidRPr="00DA41A0">
          <w:rPr>
            <w:rStyle w:val="a9"/>
            <w:rFonts w:ascii="Times New Roman" w:hAnsi="Times New Roman"/>
            <w:color w:val="000000" w:themeColor="text1"/>
            <w:sz w:val="28"/>
            <w:szCs w:val="28"/>
            <w:u w:val="none"/>
          </w:rPr>
          <w:t>http://zakon.rada.gov.ua/laws/show/796-12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статус народного депутата України: Закон України № 2790-XII від 17.11.1992 р. URL: </w:t>
      </w:r>
      <w:hyperlink r:id="rId61" w:history="1">
        <w:r w:rsidRPr="00DA41A0">
          <w:rPr>
            <w:rStyle w:val="a9"/>
            <w:rFonts w:ascii="Times New Roman" w:hAnsi="Times New Roman"/>
            <w:color w:val="000000" w:themeColor="text1"/>
            <w:sz w:val="28"/>
            <w:szCs w:val="28"/>
            <w:u w:val="none"/>
          </w:rPr>
          <w:t>http://zakon.rada.gov.ua/laws/show/2790-12</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створення Пенсійного фонду України: постанова Кабінету Міністрів України від 28.01.1992 р. №39. </w:t>
      </w:r>
      <w:r w:rsidRPr="00DA41A0">
        <w:rPr>
          <w:rFonts w:ascii="Times New Roman" w:hAnsi="Times New Roman"/>
          <w:bCs/>
          <w:color w:val="000000" w:themeColor="text1"/>
          <w:sz w:val="28"/>
          <w:szCs w:val="28"/>
        </w:rPr>
        <w:t xml:space="preserve">URL: </w:t>
      </w:r>
      <w:hyperlink r:id="rId62" w:history="1">
        <w:r w:rsidRPr="00DA41A0">
          <w:rPr>
            <w:rStyle w:val="a9"/>
            <w:rFonts w:ascii="Times New Roman" w:hAnsi="Times New Roman"/>
            <w:bCs/>
            <w:color w:val="000000" w:themeColor="text1"/>
            <w:sz w:val="28"/>
            <w:szCs w:val="28"/>
            <w:u w:val="none"/>
          </w:rPr>
          <w:t>http://zakon.rada.gov.ua/laws/</w:t>
        </w:r>
        <w:r w:rsidRPr="00DA41A0">
          <w:rPr>
            <w:rStyle w:val="a9"/>
            <w:rFonts w:ascii="Times New Roman" w:hAnsi="Times New Roman"/>
            <w:bCs/>
            <w:color w:val="000000" w:themeColor="text1"/>
            <w:sz w:val="28"/>
            <w:szCs w:val="28"/>
            <w:u w:val="none"/>
          </w:rPr>
          <w:br/>
          <w:t>show/39-92</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bCs/>
          <w:color w:val="000000" w:themeColor="text1"/>
          <w:sz w:val="28"/>
          <w:szCs w:val="28"/>
        </w:rPr>
        <w:t>Про статус суддів: Закон України від 15.12.1992 р. № 2862-XII.</w:t>
      </w:r>
      <w:r w:rsidRPr="00DA41A0">
        <w:rPr>
          <w:rFonts w:ascii="Times New Roman" w:hAnsi="Times New Roman"/>
          <w:bCs/>
          <w:color w:val="000000" w:themeColor="text1"/>
          <w:sz w:val="28"/>
          <w:szCs w:val="28"/>
        </w:rPr>
        <w:br/>
        <w:t xml:space="preserve">URL: </w:t>
      </w:r>
      <w:hyperlink r:id="rId63" w:history="1">
        <w:r w:rsidRPr="00DA41A0">
          <w:rPr>
            <w:rStyle w:val="a9"/>
            <w:rFonts w:ascii="Times New Roman" w:hAnsi="Times New Roman"/>
            <w:bCs/>
            <w:color w:val="000000" w:themeColor="text1"/>
            <w:sz w:val="28"/>
            <w:szCs w:val="28"/>
            <w:u w:val="none"/>
          </w:rPr>
          <w:t>http://zakon.rada.gov.ua/laws/show/2862-12</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судову експертизу: Закон України від  25.02.1994 р. № 4038-XII. URL: http://zakon.rada.gov.ua/laws/show/4038-12.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судоустрій та статус суддів: Закон України № 1402-VIII  від 02.06.2016 р. URL: http://zakon.rada.gov.ua/laws/show/1402-19.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Про утворення Державної фіскальної служби: постанова КМУ від 21.05.2014 р. № 160. URL: http://zakon.rada.gov.ua/laws/show/160-2014-п.</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Про утворення Українського республіканського відділення Пенсійного фонду СРСР: постанова Ради Міністрів Української РСР і Ради </w:t>
      </w:r>
      <w:r w:rsidRPr="00DA41A0">
        <w:rPr>
          <w:rFonts w:ascii="Times New Roman" w:hAnsi="Times New Roman"/>
          <w:color w:val="000000" w:themeColor="text1"/>
          <w:sz w:val="28"/>
          <w:szCs w:val="28"/>
        </w:rPr>
        <w:lastRenderedPageBreak/>
        <w:t xml:space="preserve">Федерації Незалежних Профспілок України від 21 грудня 1990 р. № 380. </w:t>
      </w:r>
      <w:r w:rsidRPr="00DA41A0">
        <w:rPr>
          <w:rFonts w:ascii="Times New Roman" w:hAnsi="Times New Roman"/>
          <w:color w:val="000000" w:themeColor="text1"/>
          <w:sz w:val="28"/>
          <w:szCs w:val="28"/>
        </w:rPr>
        <w:br/>
      </w:r>
      <w:r w:rsidRPr="00DA41A0">
        <w:rPr>
          <w:rFonts w:ascii="Times New Roman" w:hAnsi="Times New Roman"/>
          <w:bCs/>
          <w:color w:val="000000" w:themeColor="text1"/>
          <w:sz w:val="28"/>
          <w:szCs w:val="28"/>
        </w:rPr>
        <w:t>URL</w:t>
      </w:r>
      <w:r w:rsidRPr="00DA41A0">
        <w:rPr>
          <w:rFonts w:ascii="Times New Roman" w:hAnsi="Times New Roman"/>
          <w:color w:val="000000" w:themeColor="text1"/>
          <w:sz w:val="28"/>
          <w:szCs w:val="28"/>
        </w:rPr>
        <w:t>: http://zakon.rada.gov.ua/laws/show/380-90.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Радченко О.В. Цінність в системі державного управління: категоріальний аспект. </w:t>
      </w:r>
      <w:r w:rsidRPr="00DA41A0">
        <w:rPr>
          <w:rFonts w:ascii="Times New Roman" w:hAnsi="Times New Roman"/>
          <w:i/>
          <w:color w:val="000000" w:themeColor="text1"/>
          <w:sz w:val="28"/>
          <w:szCs w:val="28"/>
        </w:rPr>
        <w:t>Державне будівництво</w:t>
      </w:r>
      <w:r w:rsidRPr="00DA41A0">
        <w:rPr>
          <w:rFonts w:ascii="Times New Roman" w:hAnsi="Times New Roman"/>
          <w:color w:val="000000" w:themeColor="text1"/>
          <w:sz w:val="28"/>
          <w:szCs w:val="28"/>
        </w:rPr>
        <w:t xml:space="preserve">. 2008. № 2. URL: </w:t>
      </w:r>
      <w:hyperlink r:id="rId64" w:history="1">
        <w:r w:rsidRPr="00DA41A0">
          <w:rPr>
            <w:rStyle w:val="a9"/>
            <w:rFonts w:ascii="Times New Roman" w:hAnsi="Times New Roman"/>
            <w:color w:val="000000" w:themeColor="text1"/>
            <w:sz w:val="28"/>
            <w:szCs w:val="28"/>
            <w:u w:val="none"/>
          </w:rPr>
          <w:t>http://nbuv.</w:t>
        </w:r>
        <w:r w:rsidRPr="00DA41A0">
          <w:rPr>
            <w:rStyle w:val="a9"/>
            <w:rFonts w:ascii="Times New Roman" w:hAnsi="Times New Roman"/>
            <w:color w:val="000000" w:themeColor="text1"/>
            <w:sz w:val="28"/>
            <w:szCs w:val="28"/>
            <w:u w:val="none"/>
          </w:rPr>
          <w:br/>
          <w:t>gov.ua/UJRN/DeBu_2008_2_6</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Райзер М. Чому Україні потрібно негайно реформувати пенсійну систему? </w:t>
      </w:r>
      <w:r w:rsidRPr="00DA41A0">
        <w:rPr>
          <w:rFonts w:ascii="Times New Roman" w:hAnsi="Times New Roman"/>
          <w:i/>
          <w:color w:val="000000" w:themeColor="text1"/>
          <w:sz w:val="28"/>
          <w:szCs w:val="28"/>
        </w:rPr>
        <w:t xml:space="preserve">Урядовий кур’єр. </w:t>
      </w:r>
      <w:r w:rsidRPr="00DA41A0">
        <w:rPr>
          <w:rFonts w:ascii="Times New Roman" w:hAnsi="Times New Roman"/>
          <w:color w:val="000000" w:themeColor="text1"/>
          <w:sz w:val="28"/>
          <w:szCs w:val="28"/>
        </w:rPr>
        <w:t xml:space="preserve">URL: </w:t>
      </w:r>
      <w:hyperlink r:id="rId65" w:history="1">
        <w:r w:rsidRPr="00DA41A0">
          <w:rPr>
            <w:rStyle w:val="a9"/>
            <w:rFonts w:ascii="Times New Roman" w:hAnsi="Times New Roman"/>
            <w:color w:val="000000" w:themeColor="text1"/>
            <w:sz w:val="28"/>
            <w:szCs w:val="28"/>
            <w:u w:val="none"/>
          </w:rPr>
          <w:t>http://www.kmu.gov.ua/control/publish/</w:t>
        </w:r>
      </w:hyperlink>
      <w:r w:rsidRPr="00DA41A0">
        <w:rPr>
          <w:rFonts w:ascii="Times New Roman" w:hAnsi="Times New Roman"/>
          <w:color w:val="000000" w:themeColor="text1"/>
          <w:sz w:val="28"/>
          <w:szCs w:val="28"/>
        </w:rPr>
        <w:t xml:space="preserve"> article?art_id=244057350.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Рафикова Р.Р. Зарубежный опыт негосударственного пенсионного страхования. </w:t>
      </w:r>
      <w:r w:rsidRPr="00DA41A0">
        <w:rPr>
          <w:rFonts w:ascii="Times New Roman" w:hAnsi="Times New Roman"/>
          <w:i/>
          <w:color w:val="000000" w:themeColor="text1"/>
          <w:sz w:val="28"/>
          <w:szCs w:val="28"/>
        </w:rPr>
        <w:t>Вестник Волжского университета им. В.Н. Татищева</w:t>
      </w:r>
      <w:r w:rsidRPr="00DA41A0">
        <w:rPr>
          <w:rFonts w:ascii="Times New Roman" w:hAnsi="Times New Roman"/>
          <w:color w:val="000000" w:themeColor="text1"/>
          <w:sz w:val="28"/>
          <w:szCs w:val="28"/>
        </w:rPr>
        <w:t>. 2011.</w:t>
      </w:r>
      <w:r w:rsidRPr="00DA41A0">
        <w:rPr>
          <w:rFonts w:ascii="Times New Roman" w:hAnsi="Times New Roman"/>
          <w:color w:val="000000" w:themeColor="text1"/>
          <w:sz w:val="28"/>
          <w:szCs w:val="28"/>
        </w:rPr>
        <w:br/>
        <w:t xml:space="preserve">№ 75. URL: </w:t>
      </w:r>
      <w:hyperlink r:id="rId66" w:history="1">
        <w:r w:rsidRPr="00DA41A0">
          <w:rPr>
            <w:rStyle w:val="a9"/>
            <w:rFonts w:ascii="Times New Roman" w:hAnsi="Times New Roman"/>
            <w:color w:val="000000" w:themeColor="text1"/>
            <w:sz w:val="28"/>
            <w:szCs w:val="28"/>
            <w:u w:val="none"/>
          </w:rPr>
          <w:t>http://cyberleninka.ru/article/v/zarubezhnyy-opyt-negosudarstvennogo-pensionnogo-strahovaniya</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Рендюк Т. Становище українців Північної Буковини у складі Великої Румунії впродовж 1918-1940 років. </w:t>
      </w:r>
      <w:r w:rsidRPr="00DA41A0">
        <w:rPr>
          <w:rFonts w:ascii="Times New Roman" w:hAnsi="Times New Roman"/>
          <w:i/>
          <w:color w:val="000000" w:themeColor="text1"/>
          <w:sz w:val="28"/>
          <w:szCs w:val="28"/>
        </w:rPr>
        <w:t xml:space="preserve">Краєзнавство: наук.журн. </w:t>
      </w:r>
      <w:r w:rsidRPr="00DA41A0">
        <w:rPr>
          <w:rFonts w:ascii="Times New Roman" w:hAnsi="Times New Roman"/>
          <w:color w:val="000000" w:themeColor="text1"/>
          <w:sz w:val="28"/>
          <w:szCs w:val="28"/>
        </w:rPr>
        <w:t xml:space="preserve">2011. </w:t>
      </w:r>
      <w:r w:rsidRPr="00DA41A0">
        <w:rPr>
          <w:rFonts w:ascii="Times New Roman" w:hAnsi="Times New Roman"/>
          <w:color w:val="000000" w:themeColor="text1"/>
          <w:sz w:val="28"/>
          <w:szCs w:val="28"/>
        </w:rPr>
        <w:br/>
        <w:t>№ 4. С. 246–254.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Реформування соціальної політики в Україні: проблеми та перспективи: монографія / за заг. ред. В.А. Скуратівського, В.П. Трощинського. К.; Львів: НАДУ, 2012. 368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Ріппа М.Б. Порівняльна характеристика світових систем пенсійного забезпечення і страхування. </w:t>
      </w:r>
      <w:r w:rsidRPr="00DA41A0">
        <w:rPr>
          <w:rFonts w:ascii="Times New Roman" w:hAnsi="Times New Roman"/>
          <w:i/>
          <w:color w:val="000000" w:themeColor="text1"/>
          <w:sz w:val="28"/>
          <w:szCs w:val="28"/>
        </w:rPr>
        <w:t>Світ фінансів</w:t>
      </w:r>
      <w:r w:rsidRPr="00DA41A0">
        <w:rPr>
          <w:rFonts w:ascii="Times New Roman" w:hAnsi="Times New Roman"/>
          <w:color w:val="000000" w:themeColor="text1"/>
          <w:sz w:val="28"/>
          <w:szCs w:val="28"/>
        </w:rPr>
        <w:t>. 2007. № 1 (10). С. 45–49.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Рішення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пункту 2 частини першої статті 49, другого речення статті 51 Закону України «Про загальнообов'язкове державне пенсійне страхування» від 07.10.2009 р. № 25-рп/2009. URL: https://zakon.rada.gov.ua/</w:t>
      </w:r>
      <w:r w:rsidRPr="00DA41A0">
        <w:rPr>
          <w:rFonts w:ascii="Times New Roman" w:hAnsi="Times New Roman"/>
          <w:color w:val="000000" w:themeColor="text1"/>
          <w:sz w:val="28"/>
          <w:szCs w:val="28"/>
        </w:rPr>
        <w:br/>
        <w:t>laws/card/v025p710-09.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Розвиток публічного управління в Україні: теоретичні, методологічні та практичні аспекти: монографія / кол. авт.: Горник В.Г., Кравченко С.О., Бакуменко В.Д. та ін.; за ред. Горника В.Г., Кравченка С.О. К.: УкрСІЧ, 2018. 354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Роик В.Д. Пенсионная система России: вызовы XXI века и пути модернизации. Спб.: Питер, 2012. 374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Роик В.Д. Эволюция пенсионных систем: мировые тенденции и опыт. </w:t>
      </w:r>
      <w:r w:rsidRPr="00DA41A0">
        <w:rPr>
          <w:rFonts w:ascii="Times New Roman" w:hAnsi="Times New Roman"/>
          <w:i/>
          <w:color w:val="000000" w:themeColor="text1"/>
          <w:sz w:val="28"/>
          <w:szCs w:val="28"/>
        </w:rPr>
        <w:t>Человек и труд</w:t>
      </w:r>
      <w:r w:rsidRPr="00DA41A0">
        <w:rPr>
          <w:rFonts w:ascii="Times New Roman" w:hAnsi="Times New Roman"/>
          <w:color w:val="000000" w:themeColor="text1"/>
          <w:sz w:val="28"/>
          <w:szCs w:val="28"/>
        </w:rPr>
        <w:t>. 2008. № 8URL: https: //www.chelt.ru/2008/8$08/</w:t>
      </w:r>
      <w:r w:rsidRPr="00DA41A0">
        <w:rPr>
          <w:rFonts w:ascii="Times New Roman" w:hAnsi="Times New Roman"/>
          <w:color w:val="000000" w:themeColor="text1"/>
          <w:sz w:val="28"/>
          <w:szCs w:val="28"/>
        </w:rPr>
        <w:br/>
        <w:t>roik808.html.</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Рубанов А.А. Поняття джерела права як прояв метафоричності юридичної свідомості.Судова практика як джерело права. М., 1997. С. 45–46.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Руденок О.Ю. Пенсійна система України: конспект лекцій з дисципліни для студентів економічних спеціальностей. Донецьк, 2009.</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Рудик В. Розвиток системи пенсійного забезпечення в західноєвропейських країнах. </w:t>
      </w:r>
      <w:r w:rsidRPr="00DA41A0">
        <w:rPr>
          <w:rFonts w:ascii="Times New Roman" w:hAnsi="Times New Roman"/>
          <w:i/>
          <w:color w:val="000000" w:themeColor="text1"/>
          <w:sz w:val="28"/>
          <w:szCs w:val="28"/>
        </w:rPr>
        <w:t>Економіка України</w:t>
      </w:r>
      <w:r w:rsidRPr="00DA41A0">
        <w:rPr>
          <w:rFonts w:ascii="Times New Roman" w:hAnsi="Times New Roman"/>
          <w:color w:val="000000" w:themeColor="text1"/>
          <w:sz w:val="28"/>
          <w:szCs w:val="28"/>
        </w:rPr>
        <w:t>. 2012. № 10. С. 72-78.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Рябиченко А.В. Междисциплинарный анализ развития пенсионной системы Швеции. </w:t>
      </w:r>
      <w:r w:rsidRPr="00DA41A0">
        <w:rPr>
          <w:rFonts w:ascii="Times New Roman" w:hAnsi="Times New Roman"/>
          <w:i/>
          <w:color w:val="000000" w:themeColor="text1"/>
          <w:sz w:val="28"/>
          <w:szCs w:val="28"/>
        </w:rPr>
        <w:t>Демоскоп Weekly</w:t>
      </w:r>
      <w:r w:rsidRPr="00DA41A0">
        <w:rPr>
          <w:rFonts w:ascii="Times New Roman" w:hAnsi="Times New Roman"/>
          <w:color w:val="000000" w:themeColor="text1"/>
          <w:sz w:val="28"/>
          <w:szCs w:val="28"/>
        </w:rPr>
        <w:t>. 2012. № 511-512, 21мая – 3 июня. С. 43–48.</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 1 октября вступает в силу пенсионная реформа. URL: http://daily.rbc.ua/rus/show/s-1-oktyabrya-vstupaet-v-silu-pensionnaya-reforma-01102011100000.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Сандлер Д. Пенсійне реформування в сучасному світі. </w:t>
      </w:r>
      <w:r w:rsidRPr="00DA41A0">
        <w:rPr>
          <w:rFonts w:ascii="Times New Roman" w:hAnsi="Times New Roman"/>
          <w:i/>
          <w:color w:val="000000" w:themeColor="text1"/>
          <w:sz w:val="28"/>
          <w:szCs w:val="28"/>
        </w:rPr>
        <w:t>Соціальний захист</w:t>
      </w:r>
      <w:r w:rsidRPr="00DA41A0">
        <w:rPr>
          <w:rFonts w:ascii="Times New Roman" w:hAnsi="Times New Roman"/>
          <w:color w:val="000000" w:themeColor="text1"/>
          <w:sz w:val="28"/>
          <w:szCs w:val="28"/>
        </w:rPr>
        <w:t>. 2005. № 8. С. 16–20.</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Серватинська І.М. </w:t>
      </w:r>
      <w:r w:rsidRPr="00DA41A0">
        <w:rPr>
          <w:rFonts w:ascii="Times New Roman" w:hAnsi="Times New Roman"/>
          <w:bCs/>
          <w:color w:val="000000" w:themeColor="text1"/>
          <w:sz w:val="28"/>
          <w:szCs w:val="28"/>
        </w:rPr>
        <w:t>Фінансове забезпечення функціонування державних фондів соціального страхування: дис. канд. економ. наук. Черкаси, 2016. 276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Соглашение между СССР и Венгерской Народной Республикой о сотрудничестве в области социального обеспечения: Международный документ от 20.12.1962 г. URL: </w:t>
      </w:r>
      <w:hyperlink r:id="rId67" w:history="1">
        <w:r w:rsidRPr="00DA41A0">
          <w:rPr>
            <w:rStyle w:val="a9"/>
            <w:rFonts w:ascii="Times New Roman" w:hAnsi="Times New Roman"/>
            <w:color w:val="000000" w:themeColor="text1"/>
            <w:sz w:val="28"/>
            <w:szCs w:val="28"/>
            <w:u w:val="none"/>
          </w:rPr>
          <w:t>http://www.lawmix.ru/abro/918</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Соглашение между Союзом Советских Социалистических Республик и  Монгольской Народной Республикой о сотрудничестве в области социального обеспечения: Международный документ от 06.04.1981 г. </w:t>
      </w:r>
      <w:r w:rsidRPr="00DA41A0">
        <w:rPr>
          <w:rFonts w:ascii="Times New Roman" w:hAnsi="Times New Roman"/>
          <w:color w:val="000000" w:themeColor="text1"/>
          <w:sz w:val="28"/>
          <w:szCs w:val="28"/>
        </w:rPr>
        <w:br/>
        <w:t xml:space="preserve">URL: </w:t>
      </w:r>
      <w:hyperlink r:id="rId68" w:history="1">
        <w:r w:rsidRPr="00DA41A0">
          <w:rPr>
            <w:rFonts w:ascii="Times New Roman" w:hAnsi="Times New Roman"/>
            <w:color w:val="000000" w:themeColor="text1"/>
            <w:sz w:val="28"/>
            <w:szCs w:val="28"/>
          </w:rPr>
          <w:t>www.pfrf.ru/files/id/pensii/pens_zarubej/mejpravitel_soglsh/mongol.doc</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Соглашение между Союзом Советских Социалистических Республик и Румынской Народной Республикой о сотрудничестве в области </w:t>
      </w:r>
      <w:r w:rsidRPr="00DA41A0">
        <w:rPr>
          <w:rFonts w:ascii="Times New Roman" w:hAnsi="Times New Roman"/>
          <w:color w:val="000000" w:themeColor="text1"/>
          <w:sz w:val="28"/>
          <w:szCs w:val="28"/>
        </w:rPr>
        <w:lastRenderedPageBreak/>
        <w:t>социального обеспечения: Международный документ от 24.12.1960 г. URL: www.mid.ru/foreign_policy/international_contracts/2_contract/-/storage.../45972.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Сокоринський Ю. В. Доктрина правового регулювання пенсійного забезпечення в Україні : дис. докт. юрид. наук. К., 2019. 478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Соломка О.М. Пенсійне забезпечення в системі соціального захисту населення: автореф. дис. канд. екон. наук. Х., 2006. 18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Справа «Пічкур проти України» (Заява № 10441/06): Рішення ЄСПЛ від 07.11.2013 р. № 974_984. URL: </w:t>
      </w:r>
      <w:hyperlink r:id="rId69" w:history="1">
        <w:r w:rsidRPr="00DA41A0">
          <w:rPr>
            <w:rStyle w:val="a9"/>
            <w:rFonts w:ascii="Times New Roman" w:hAnsi="Times New Roman"/>
            <w:color w:val="000000" w:themeColor="text1"/>
            <w:sz w:val="28"/>
            <w:szCs w:val="28"/>
            <w:u w:val="none"/>
          </w:rPr>
          <w:t>http://zakon.rada.gov.ua/laws/show/974_984</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Сташків Б.І. Право соціального забезпечення. Загальна частина: навчальний посібник. Чернігів: ПАТ «ПВК» «Десна», 2016. 692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Сташків Б.І. Право соціального забезпечення. Особлива частина: навчальний посібник. Чернігів: ПАТ «ПВК «Десна», 2018. 1092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Сташків Б.І. Судовий захист – соціальним правам громадян. </w:t>
      </w:r>
      <w:r w:rsidRPr="00DA41A0">
        <w:rPr>
          <w:rFonts w:ascii="Times New Roman" w:hAnsi="Times New Roman"/>
          <w:i/>
          <w:color w:val="000000" w:themeColor="text1"/>
          <w:sz w:val="28"/>
          <w:szCs w:val="28"/>
        </w:rPr>
        <w:t>Право України</w:t>
      </w:r>
      <w:r w:rsidRPr="00DA41A0">
        <w:rPr>
          <w:rFonts w:ascii="Times New Roman" w:hAnsi="Times New Roman"/>
          <w:color w:val="000000" w:themeColor="text1"/>
          <w:sz w:val="28"/>
          <w:szCs w:val="28"/>
        </w:rPr>
        <w:t>. 1996. № 10. С. 30–33.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Сташків Б.І. Судовий захист конституційного права на соціальне забезпечення. </w:t>
      </w:r>
      <w:r w:rsidRPr="00DA41A0">
        <w:rPr>
          <w:rFonts w:ascii="Times New Roman" w:hAnsi="Times New Roman"/>
          <w:i/>
          <w:color w:val="000000" w:themeColor="text1"/>
          <w:sz w:val="28"/>
          <w:szCs w:val="28"/>
        </w:rPr>
        <w:t>Актуальні проблеми політики</w:t>
      </w:r>
      <w:r w:rsidRPr="00DA41A0">
        <w:rPr>
          <w:rFonts w:ascii="Times New Roman" w:hAnsi="Times New Roman"/>
          <w:color w:val="000000" w:themeColor="text1"/>
          <w:sz w:val="28"/>
          <w:szCs w:val="28"/>
        </w:rPr>
        <w:t>. 2002. Вип. 13–14. С. 593–597.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Стожок Л.Г. Загальнообов’язкове державне пенсійне страхування в системі соціальної політики: автореф. дис. канд. екон. наук. К., 2007. 20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Стратегічна доповідь щодо пенсійної реформи в Україні Європейського центру політики та досліджень в галузі соціального забезпечення. URL: http://mlsp.kmu.gov.ua/document/ 141003/sd.doc.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lang w:val="ru-RU"/>
        </w:rPr>
        <w:t>Стрепетова А. Д. Институционализация современной пенсионной системы в Российской Федерации: дисс. канд. социолог. наук. Ростов-на-Дону, 2016. 157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Теслюк С.А. Фінансові ресурси недержавних пенсійних фондів в Україні: дис. канд. економ. наук. Львів, 2018. 297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Тищенко О.В., Томін Є.Ф. Соціально-правові аспекти реалізації пенсійної реформи в України та країнах Європейського Союзу: монографія. </w:t>
      </w:r>
      <w:r w:rsidRPr="00DA41A0">
        <w:rPr>
          <w:rFonts w:ascii="Times New Roman" w:hAnsi="Times New Roman"/>
          <w:color w:val="000000" w:themeColor="text1"/>
          <w:sz w:val="28"/>
          <w:szCs w:val="28"/>
        </w:rPr>
        <w:br/>
        <w:t>К.: Обрії, 2009. 186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Ткаченко Л.Г. Напрями розвитку системи соціального страхування в Україні. </w:t>
      </w:r>
      <w:r w:rsidRPr="00DA41A0">
        <w:rPr>
          <w:rFonts w:ascii="Times New Roman" w:hAnsi="Times New Roman"/>
          <w:i/>
          <w:color w:val="000000" w:themeColor="text1"/>
          <w:sz w:val="28"/>
          <w:szCs w:val="28"/>
        </w:rPr>
        <w:t>Демографія та соціальна економіка.</w:t>
      </w:r>
      <w:r w:rsidRPr="00DA41A0">
        <w:rPr>
          <w:rFonts w:ascii="Times New Roman" w:hAnsi="Times New Roman"/>
          <w:color w:val="000000" w:themeColor="text1"/>
          <w:sz w:val="28"/>
          <w:szCs w:val="28"/>
        </w:rPr>
        <w:t xml:space="preserve"> 2008. № 1. С. 42–52.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Толуб’як В.С. Державне регулювання в сфері пенсійного забезпечення: суть та необхідність здійснення. </w:t>
      </w:r>
      <w:r w:rsidRPr="00DA41A0">
        <w:rPr>
          <w:rFonts w:ascii="Times New Roman" w:hAnsi="Times New Roman"/>
          <w:i/>
          <w:color w:val="000000" w:themeColor="text1"/>
          <w:sz w:val="28"/>
          <w:szCs w:val="28"/>
        </w:rPr>
        <w:t>Економіка та держава</w:t>
      </w:r>
      <w:r w:rsidRPr="00DA41A0">
        <w:rPr>
          <w:rFonts w:ascii="Times New Roman" w:hAnsi="Times New Roman"/>
          <w:color w:val="000000" w:themeColor="text1"/>
          <w:sz w:val="28"/>
          <w:szCs w:val="28"/>
        </w:rPr>
        <w:t xml:space="preserve">. 2010. </w:t>
      </w:r>
      <w:r w:rsidRPr="00DA41A0">
        <w:rPr>
          <w:rFonts w:ascii="Times New Roman" w:hAnsi="Times New Roman"/>
          <w:color w:val="000000" w:themeColor="text1"/>
          <w:sz w:val="28"/>
          <w:szCs w:val="28"/>
        </w:rPr>
        <w:br/>
        <w:t>№ 5. С. 76–79.</w:t>
      </w:r>
    </w:p>
    <w:p w:rsidR="00344DAE" w:rsidRPr="00DA41A0" w:rsidRDefault="00344DAE" w:rsidP="00344DAE">
      <w:pPr>
        <w:pStyle w:val="a3"/>
        <w:numPr>
          <w:ilvl w:val="0"/>
          <w:numId w:val="44"/>
        </w:numPr>
        <w:spacing w:after="0" w:line="360" w:lineRule="auto"/>
        <w:ind w:left="0" w:firstLine="709"/>
        <w:jc w:val="both"/>
        <w:rPr>
          <w:rFonts w:ascii="Times New Roman" w:hAnsi="Times New Roman"/>
          <w:color w:val="000000" w:themeColor="text1"/>
          <w:sz w:val="28"/>
          <w:szCs w:val="28"/>
          <w:lang w:val="uk-UA"/>
        </w:rPr>
      </w:pPr>
      <w:r w:rsidRPr="00DA41A0">
        <w:rPr>
          <w:rFonts w:ascii="Times New Roman" w:hAnsi="Times New Roman"/>
          <w:color w:val="000000" w:themeColor="text1"/>
          <w:sz w:val="28"/>
          <w:szCs w:val="28"/>
          <w:lang w:val="uk-UA"/>
        </w:rPr>
        <w:t>Толуб’як В.С. Трансформація фінансових механізмів державного управління пенсійною системою в Україні: автореф. дис. докт. наук держ. упр. К., 2012. 36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Толуб’як В.С. Фінансові механізми пенсійного забезпечення : монографія. Тернопіль: Терно-граф, 2011. 340 с.</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Угода між Україною і Королівством Іспанія про соціальне забезпечення громадян: Міжнародний документ від 07.10.1996 р. </w:t>
      </w:r>
      <w:r w:rsidRPr="00DA41A0">
        <w:rPr>
          <w:rFonts w:ascii="Times New Roman" w:hAnsi="Times New Roman"/>
          <w:bCs/>
          <w:color w:val="000000" w:themeColor="text1"/>
          <w:sz w:val="28"/>
          <w:szCs w:val="28"/>
        </w:rPr>
        <w:br/>
        <w:t xml:space="preserve">URL: </w:t>
      </w:r>
      <w:hyperlink r:id="rId70" w:history="1">
        <w:r w:rsidRPr="00DA41A0">
          <w:rPr>
            <w:rStyle w:val="a9"/>
            <w:rFonts w:ascii="Times New Roman" w:hAnsi="Times New Roman"/>
            <w:bCs/>
            <w:color w:val="000000" w:themeColor="text1"/>
            <w:sz w:val="28"/>
            <w:szCs w:val="28"/>
            <w:u w:val="none"/>
          </w:rPr>
          <w:t>http://zakon.rada.gov.ua/laws/show/724_005</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Угода між Україною та Естонською Республікою у сфері соціального забезпечення: Міжнародний документ від 05.10.2010 р. </w:t>
      </w:r>
      <w:r w:rsidRPr="00DA41A0">
        <w:rPr>
          <w:rFonts w:ascii="Times New Roman" w:hAnsi="Times New Roman"/>
          <w:bCs/>
          <w:color w:val="000000" w:themeColor="text1"/>
          <w:sz w:val="28"/>
          <w:szCs w:val="28"/>
        </w:rPr>
        <w:br/>
        <w:t xml:space="preserve">URL: </w:t>
      </w:r>
      <w:hyperlink r:id="rId71" w:history="1">
        <w:r w:rsidRPr="00DA41A0">
          <w:rPr>
            <w:rStyle w:val="a9"/>
            <w:rFonts w:ascii="Times New Roman" w:hAnsi="Times New Roman"/>
            <w:bCs/>
            <w:color w:val="000000" w:themeColor="text1"/>
            <w:sz w:val="28"/>
            <w:szCs w:val="28"/>
            <w:u w:val="none"/>
          </w:rPr>
          <w:t>http://zakon.rada.gov.ua/laws/show/233_040</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Угода між Україною та Португальською Республікою про соціальне забезпечення: міжнародний документ від 07.07.2009 р. URL: http://zakon.rada.</w:t>
      </w:r>
      <w:r w:rsidRPr="00DA41A0">
        <w:rPr>
          <w:rFonts w:ascii="Times New Roman" w:hAnsi="Times New Roman"/>
          <w:bCs/>
          <w:color w:val="000000" w:themeColor="text1"/>
          <w:sz w:val="28"/>
          <w:szCs w:val="28"/>
        </w:rPr>
        <w:br/>
        <w:t>gov.ua/laws/show/620_024.</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Угода між Україною та Республікою Польща про соціальне забезпечення: Міжнародний документ від 18.05.2012 р. URL: http://zakon.</w:t>
      </w:r>
      <w:r w:rsidRPr="00DA41A0">
        <w:rPr>
          <w:rFonts w:ascii="Times New Roman" w:hAnsi="Times New Roman"/>
          <w:bCs/>
          <w:color w:val="000000" w:themeColor="text1"/>
          <w:sz w:val="28"/>
          <w:szCs w:val="28"/>
        </w:rPr>
        <w:br/>
        <w:t>rada.gov.ua/laws/card/616_161.</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Угода між Урядом України і Урядом Азербайджанської Республіки про співробітництво в галузі пенсійного забезпечення: Міжнародний документ від 28.07.1995 р. URL: </w:t>
      </w:r>
      <w:hyperlink r:id="rId72" w:history="1">
        <w:r w:rsidRPr="00DA41A0">
          <w:rPr>
            <w:rStyle w:val="a9"/>
            <w:rFonts w:ascii="Times New Roman" w:hAnsi="Times New Roman"/>
            <w:bCs/>
            <w:color w:val="000000" w:themeColor="text1"/>
            <w:sz w:val="28"/>
            <w:szCs w:val="28"/>
            <w:u w:val="none"/>
          </w:rPr>
          <w:t>http://zakon.rada.gov.ua/laws/show/031_644</w:t>
        </w:r>
      </w:hyperlink>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 xml:space="preserve">Угода між Урядом України і Урядом Республіки Грузія про співробітництво в галузі пенсійного забезпечення: Міжнародний документ від 09.01.1995 р. URL: </w:t>
      </w:r>
      <w:hyperlink r:id="rId73" w:history="1">
        <w:r w:rsidRPr="00DA41A0">
          <w:rPr>
            <w:rStyle w:val="a9"/>
            <w:rFonts w:ascii="Times New Roman" w:hAnsi="Times New Roman"/>
            <w:bCs/>
            <w:color w:val="000000" w:themeColor="text1"/>
            <w:sz w:val="28"/>
            <w:szCs w:val="28"/>
            <w:u w:val="none"/>
          </w:rPr>
          <w:t>http://zakon.rada.gov.ua/laws/show/268_513</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lastRenderedPageBreak/>
        <w:t xml:space="preserve">Угода між Урядом України та Урядом Республіки Білорусь про гарантії прав громадян в галузі пенсійного забезпечення: Міжнародний документ від 14.12.1995 р. URL: </w:t>
      </w:r>
      <w:hyperlink r:id="rId74" w:history="1">
        <w:r w:rsidRPr="00DA41A0">
          <w:rPr>
            <w:rStyle w:val="a9"/>
            <w:rFonts w:ascii="Times New Roman" w:hAnsi="Times New Roman"/>
            <w:bCs/>
            <w:color w:val="000000" w:themeColor="text1"/>
            <w:sz w:val="28"/>
            <w:szCs w:val="28"/>
            <w:u w:val="none"/>
          </w:rPr>
          <w:t>http://zakon.rada.gov.ua/laws/show/112_678</w:t>
        </w:r>
      </w:hyperlink>
      <w:r w:rsidRPr="00DA41A0">
        <w:rPr>
          <w:rFonts w:ascii="Times New Roman" w:hAnsi="Times New Roman"/>
          <w:bCs/>
          <w:color w:val="000000" w:themeColor="text1"/>
          <w:sz w:val="28"/>
          <w:szCs w:val="28"/>
        </w:rPr>
        <w:t>.</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Угода між Урядом України та Урядом Республіки Молдова про гарантії прав громадян в галузі пенсійного забезпечення : Міжнародний документ від 29.08.1995 р. URL: http://zakon.rada.gov.ua/laws/show/498_637.</w:t>
      </w:r>
    </w:p>
    <w:p w:rsidR="00344DAE" w:rsidRPr="00DA41A0" w:rsidRDefault="00344DAE" w:rsidP="00344DAE">
      <w:pPr>
        <w:numPr>
          <w:ilvl w:val="0"/>
          <w:numId w:val="44"/>
        </w:numPr>
        <w:spacing w:line="360" w:lineRule="auto"/>
        <w:ind w:left="0" w:firstLine="709"/>
        <w:contextualSpacing/>
        <w:jc w:val="both"/>
        <w:rPr>
          <w:rFonts w:ascii="Times New Roman" w:hAnsi="Times New Roman"/>
          <w:bCs/>
          <w:color w:val="000000" w:themeColor="text1"/>
          <w:sz w:val="28"/>
          <w:szCs w:val="28"/>
        </w:rPr>
      </w:pPr>
      <w:r w:rsidRPr="00DA41A0">
        <w:rPr>
          <w:rFonts w:ascii="Times New Roman" w:hAnsi="Times New Roman"/>
          <w:bCs/>
          <w:color w:val="000000" w:themeColor="text1"/>
          <w:sz w:val="28"/>
          <w:szCs w:val="28"/>
        </w:rPr>
        <w:t>Угода про гарантії прав громадян держав-учасниць Співдружності Незалежних Держав в галузі пенсійного забезпечення: Міжнародний документ від 13.03.1992 року. URL: http://zakon.rada.gov.ua/laws/show/997_107.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Финогенова Ю.Ю. Пенсионное страхование: учебное пособие. М.: РЭА им. Плеханова, 2010. 70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Фінансова стабілізація пенсійної системи, створення передумов для проведення пенсійної реформи 1996–2003: офіційний веб-сайт Пенсійного фонду України. URL: http://www.pfu.gov.ua/3775-finansova-stabilizatsiya-pensijnoyi-si/.</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Фінансові, соціальні та правові аспекти пенсійної реформи в Україні. Світовий досвід та українські реалії / Центр Разумкова, 2017. Видавництво «Заповіт», 2017. 456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Черненок К.П. Особливості розвитку пенсійних систем у сучасних соціально-економічних умовах. </w:t>
      </w:r>
      <w:r w:rsidRPr="00DA41A0">
        <w:rPr>
          <w:rFonts w:ascii="Times New Roman" w:hAnsi="Times New Roman"/>
          <w:i/>
          <w:color w:val="000000" w:themeColor="text1"/>
          <w:sz w:val="28"/>
          <w:szCs w:val="28"/>
        </w:rPr>
        <w:t>Інвестиції: практика та досвід</w:t>
      </w:r>
      <w:r w:rsidRPr="00DA41A0">
        <w:rPr>
          <w:rFonts w:ascii="Times New Roman" w:hAnsi="Times New Roman"/>
          <w:color w:val="000000" w:themeColor="text1"/>
          <w:sz w:val="28"/>
          <w:szCs w:val="28"/>
        </w:rPr>
        <w:t>. № 13–14/2015. С. 12–15.</w:t>
      </w:r>
    </w:p>
    <w:p w:rsidR="00344DAE"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Чернявська О.В., Горбунова О.А. Класифікація національних моделей пенсійного забезпечення: зарубіжний досвід та вітчизняна практика. </w:t>
      </w:r>
      <w:r w:rsidRPr="00DA41A0">
        <w:rPr>
          <w:rFonts w:ascii="Times New Roman" w:hAnsi="Times New Roman"/>
          <w:i/>
          <w:color w:val="000000" w:themeColor="text1"/>
          <w:sz w:val="28"/>
          <w:szCs w:val="28"/>
        </w:rPr>
        <w:t>Економiка та держава</w:t>
      </w:r>
      <w:r w:rsidRPr="00DA41A0">
        <w:rPr>
          <w:rFonts w:ascii="Times New Roman" w:hAnsi="Times New Roman"/>
          <w:color w:val="000000" w:themeColor="text1"/>
          <w:sz w:val="28"/>
          <w:szCs w:val="28"/>
        </w:rPr>
        <w:t>: наук. фах. видання. К., 2013. № 2. С. 38–43.</w:t>
      </w:r>
    </w:p>
    <w:p w:rsidR="00344DAE" w:rsidRPr="004A5518"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4A5518">
        <w:rPr>
          <w:rFonts w:ascii="Times New Roman" w:hAnsi="Times New Roman"/>
          <w:color w:val="000000" w:themeColor="text1"/>
          <w:sz w:val="28"/>
          <w:szCs w:val="28"/>
        </w:rPr>
        <w:t>Черняева Д.В. Повышение пенсионного возраста как элемент пенсионной реформы: сравнительно-правовой анализ // Трудовое право. 2010. № 6. С. 23–29. URL: http://center-bereg.ru/c397.html</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Шаптала О.С. Порівняльний аналіз забезпечення реалізації адміністративної реформи в країнах Європейського Союзу. </w:t>
      </w:r>
      <w:r w:rsidRPr="00DA41A0">
        <w:rPr>
          <w:rFonts w:ascii="Times New Roman" w:hAnsi="Times New Roman"/>
          <w:i/>
          <w:color w:val="000000" w:themeColor="text1"/>
          <w:sz w:val="28"/>
          <w:szCs w:val="28"/>
        </w:rPr>
        <w:t>Збірник наукових праць НА СБ України</w:t>
      </w:r>
      <w:r w:rsidRPr="00DA41A0">
        <w:rPr>
          <w:rFonts w:ascii="Times New Roman" w:hAnsi="Times New Roman"/>
          <w:color w:val="000000" w:themeColor="text1"/>
          <w:sz w:val="28"/>
          <w:szCs w:val="28"/>
        </w:rPr>
        <w:t>. 2017. № 74. С. 51–59.</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 xml:space="preserve">Шевченко Н.П. Актуальні питання застосування норм міжнародного права при призначенні пенсій особам, які працювали в районах Крайньої Півночі. </w:t>
      </w:r>
      <w:r w:rsidRPr="00DA41A0">
        <w:rPr>
          <w:rFonts w:ascii="Times New Roman" w:eastAsia="Times New Roman" w:hAnsi="Times New Roman"/>
          <w:i/>
          <w:color w:val="000000" w:themeColor="text1"/>
          <w:sz w:val="28"/>
          <w:szCs w:val="28"/>
          <w:lang w:eastAsia="ru-RU"/>
        </w:rPr>
        <w:t>Актуальні питання теорії та практики застосування сучасного вітчизняного та міжнародного права</w:t>
      </w:r>
      <w:r w:rsidRPr="00DA41A0">
        <w:rPr>
          <w:rFonts w:ascii="Times New Roman" w:eastAsia="Times New Roman" w:hAnsi="Times New Roman"/>
          <w:color w:val="000000" w:themeColor="text1"/>
          <w:sz w:val="28"/>
          <w:szCs w:val="28"/>
          <w:lang w:eastAsia="ru-RU"/>
        </w:rPr>
        <w:t>: збірн. матер. міжнар. науково-практ. конфер., 10</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11 червня 2016 р. К.: Центр правових наукових досліджень, 2016. С. 100</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103.</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Актуальні проблеми переведення на пенсію у зв’язку з втратою годувальника згідно Закону України «Про державну службу». Західноукраїнський науковий вісник: матеріали за підсумками роботи науково-практичних конференцій: </w:t>
      </w:r>
      <w:r w:rsidRPr="00DA41A0">
        <w:rPr>
          <w:rFonts w:ascii="Times New Roman" w:hAnsi="Times New Roman"/>
          <w:i/>
          <w:color w:val="000000" w:themeColor="text1"/>
          <w:sz w:val="28"/>
          <w:szCs w:val="28"/>
        </w:rPr>
        <w:t>VІ Всеукраїнської науково-практичної конференції «Актуальні проблеми державного управління</w:t>
      </w:r>
      <w:r w:rsidRPr="00DA41A0">
        <w:rPr>
          <w:rFonts w:ascii="Times New Roman" w:hAnsi="Times New Roman"/>
          <w:color w:val="000000" w:themeColor="text1"/>
          <w:sz w:val="28"/>
          <w:szCs w:val="28"/>
        </w:rPr>
        <w:t xml:space="preserve">» (18 травня 2017 – м. Івано-Франківськ) та </w:t>
      </w:r>
      <w:r w:rsidRPr="00DA41A0">
        <w:rPr>
          <w:rFonts w:ascii="Times New Roman" w:hAnsi="Times New Roman"/>
          <w:i/>
          <w:color w:val="000000" w:themeColor="text1"/>
          <w:sz w:val="28"/>
          <w:szCs w:val="28"/>
        </w:rPr>
        <w:t>VІ Міжрегіональної науково-практичної конференції «Україна на шляху до реформ: політико-правові проблеми сучасності»</w:t>
      </w:r>
      <w:r w:rsidRPr="00DA41A0">
        <w:rPr>
          <w:rFonts w:ascii="Times New Roman" w:hAnsi="Times New Roman"/>
          <w:color w:val="000000" w:themeColor="text1"/>
          <w:sz w:val="28"/>
          <w:szCs w:val="28"/>
        </w:rPr>
        <w:t xml:space="preserve"> (22 травня 2017 – м. Івано-Франківськ). Івано-Франківськ: ГО ЗУНТ, 2017. Вип.1. С. 22–25.</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eastAsia="Times New Roman" w:hAnsi="Times New Roman"/>
          <w:color w:val="000000" w:themeColor="text1"/>
          <w:spacing w:val="2"/>
          <w:sz w:val="28"/>
          <w:szCs w:val="28"/>
          <w:lang w:eastAsia="ru-RU"/>
        </w:rPr>
        <w:t xml:space="preserve">Шевченко Н.П. Актуальні проблеми призначення пенсій в зв’язку з втратою годувальника. </w:t>
      </w:r>
      <w:r w:rsidRPr="00DA41A0">
        <w:rPr>
          <w:rFonts w:ascii="Times New Roman" w:eastAsia="Times New Roman" w:hAnsi="Times New Roman"/>
          <w:i/>
          <w:color w:val="000000" w:themeColor="text1"/>
          <w:spacing w:val="2"/>
          <w:sz w:val="28"/>
          <w:szCs w:val="28"/>
          <w:lang w:eastAsia="ru-RU"/>
        </w:rPr>
        <w:t>Актуальні проблеми прав людини, держави та вітчизняної правової системи</w:t>
      </w:r>
      <w:r w:rsidRPr="00DA41A0">
        <w:rPr>
          <w:rFonts w:ascii="Times New Roman" w:eastAsia="Times New Roman" w:hAnsi="Times New Roman"/>
          <w:color w:val="000000" w:themeColor="text1"/>
          <w:spacing w:val="2"/>
          <w:sz w:val="28"/>
          <w:szCs w:val="28"/>
          <w:lang w:eastAsia="ru-RU"/>
        </w:rPr>
        <w:t xml:space="preserve">: збірн. матер. міжнар. науково-практ. конфер., </w:t>
      </w:r>
      <w:r w:rsidRPr="00DA41A0">
        <w:rPr>
          <w:rFonts w:ascii="Times New Roman" w:eastAsia="Times New Roman" w:hAnsi="Times New Roman"/>
          <w:color w:val="000000" w:themeColor="text1"/>
          <w:spacing w:val="2"/>
          <w:sz w:val="28"/>
          <w:szCs w:val="28"/>
          <w:lang w:eastAsia="ru-RU"/>
        </w:rPr>
        <w:br/>
        <w:t>3</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pacing w:val="2"/>
          <w:sz w:val="28"/>
          <w:szCs w:val="28"/>
          <w:lang w:eastAsia="ru-RU"/>
        </w:rPr>
        <w:t>4 квітня 2015 р. Дніпропетровськ: ГО «Правовий світ», 2015. С. 64</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pacing w:val="2"/>
          <w:sz w:val="28"/>
          <w:szCs w:val="28"/>
          <w:lang w:eastAsia="ru-RU"/>
        </w:rPr>
        <w:t>66.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Вплив атестації робочих місць на виникнення права на призначення пільгової пенсії: огляд судової практики. </w:t>
      </w:r>
      <w:r w:rsidRPr="00DA41A0">
        <w:rPr>
          <w:rFonts w:ascii="Times New Roman" w:hAnsi="Times New Roman"/>
          <w:i/>
          <w:color w:val="000000" w:themeColor="text1"/>
          <w:sz w:val="28"/>
          <w:szCs w:val="28"/>
        </w:rPr>
        <w:t>Проблеми управління соціальним і гуманітарним розвитком</w:t>
      </w:r>
      <w:r w:rsidRPr="00DA41A0">
        <w:rPr>
          <w:rFonts w:ascii="Times New Roman" w:hAnsi="Times New Roman"/>
          <w:color w:val="000000" w:themeColor="text1"/>
          <w:sz w:val="28"/>
          <w:szCs w:val="28"/>
        </w:rPr>
        <w:t>: матеріали 11-ої науково-практичної конференції за міжнародною участю / за заг. ред. О.Б. Кірєєвої. Д.: ДРІДУ НАДУ, 2017. С. 419–422.</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Шевченко Н.П. Впровадження світових стандартів у систему пенсійного забезпечення України</w:t>
      </w:r>
      <w:r w:rsidRPr="00DA41A0">
        <w:rPr>
          <w:rFonts w:ascii="Times New Roman" w:hAnsi="Times New Roman"/>
          <w:i/>
          <w:color w:val="000000" w:themeColor="text1"/>
          <w:sz w:val="28"/>
          <w:szCs w:val="28"/>
        </w:rPr>
        <w:t>. Збірник наукових праць «Право та державне управління</w:t>
      </w:r>
      <w:r w:rsidRPr="00DA41A0">
        <w:rPr>
          <w:rFonts w:ascii="Times New Roman" w:hAnsi="Times New Roman"/>
          <w:color w:val="000000" w:themeColor="text1"/>
          <w:sz w:val="28"/>
          <w:szCs w:val="28"/>
        </w:rPr>
        <w:t>». 2017. № 4. Т. 2. С. 179–184.</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eastAsia="Times New Roman" w:hAnsi="Times New Roman"/>
          <w:color w:val="000000" w:themeColor="text1"/>
          <w:sz w:val="28"/>
          <w:szCs w:val="28"/>
          <w:lang w:eastAsia="ru-RU"/>
        </w:rPr>
        <w:t xml:space="preserve">Шевченко Н.П. Механізми державного регулювання системою пенсійного забезпечення в Україні. </w:t>
      </w:r>
      <w:r w:rsidRPr="00DA41A0">
        <w:rPr>
          <w:rFonts w:ascii="Times New Roman" w:eastAsia="Times New Roman" w:hAnsi="Times New Roman"/>
          <w:i/>
          <w:color w:val="000000" w:themeColor="text1"/>
          <w:sz w:val="28"/>
          <w:szCs w:val="28"/>
          <w:lang w:eastAsia="ru-RU"/>
        </w:rPr>
        <w:t>Державне регулювання суспільних відносин: розвиток законодавства та проблеми правозастосування</w:t>
      </w:r>
      <w:r w:rsidRPr="00DA41A0">
        <w:rPr>
          <w:rFonts w:ascii="Times New Roman" w:eastAsia="Times New Roman" w:hAnsi="Times New Roman"/>
          <w:color w:val="000000" w:themeColor="text1"/>
          <w:sz w:val="28"/>
          <w:szCs w:val="28"/>
          <w:lang w:eastAsia="ru-RU"/>
        </w:rPr>
        <w:t xml:space="preserve">: збірн. матер. </w:t>
      </w:r>
      <w:r w:rsidRPr="00DA41A0">
        <w:rPr>
          <w:rFonts w:ascii="Times New Roman" w:eastAsia="Times New Roman" w:hAnsi="Times New Roman"/>
          <w:color w:val="000000" w:themeColor="text1"/>
          <w:sz w:val="28"/>
          <w:szCs w:val="28"/>
          <w:lang w:eastAsia="ru-RU"/>
        </w:rPr>
        <w:lastRenderedPageBreak/>
        <w:t>Міжнародної науково-практичної конференції, 8</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 xml:space="preserve">9 липня 2016 р. </w:t>
      </w:r>
      <w:r w:rsidRPr="00DA41A0">
        <w:rPr>
          <w:rFonts w:ascii="Times New Roman" w:eastAsia="Times New Roman" w:hAnsi="Times New Roman"/>
          <w:color w:val="000000" w:themeColor="text1"/>
          <w:sz w:val="28"/>
          <w:szCs w:val="28"/>
          <w:lang w:eastAsia="ru-RU"/>
        </w:rPr>
        <w:br/>
        <w:t>К.: Центр правових наукових досліджень, 2016. С. 60</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63.</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Напрями побудови сучасної системи пенсійного забезпечення в Україні. </w:t>
      </w:r>
      <w:r w:rsidRPr="00DA41A0">
        <w:rPr>
          <w:rFonts w:ascii="Times New Roman" w:hAnsi="Times New Roman"/>
          <w:i/>
          <w:color w:val="000000" w:themeColor="text1"/>
          <w:sz w:val="28"/>
          <w:szCs w:val="28"/>
        </w:rPr>
        <w:t>Збірник наукових праць «Право та державне управління»</w:t>
      </w:r>
      <w:r w:rsidRPr="00DA41A0">
        <w:rPr>
          <w:rFonts w:ascii="Times New Roman" w:hAnsi="Times New Roman"/>
          <w:color w:val="000000" w:themeColor="text1"/>
          <w:sz w:val="28"/>
          <w:szCs w:val="28"/>
        </w:rPr>
        <w:t>. 2017. № 2. С. 212–217.</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Новації пенсійного законодавства: огляд основних змін. </w:t>
      </w:r>
      <w:r w:rsidRPr="00DA41A0">
        <w:rPr>
          <w:rFonts w:ascii="Times New Roman" w:hAnsi="Times New Roman"/>
          <w:i/>
          <w:color w:val="000000" w:themeColor="text1"/>
          <w:sz w:val="28"/>
          <w:szCs w:val="28"/>
        </w:rPr>
        <w:t>Науково-виробничий журнал «Держава та регіони</w:t>
      </w:r>
      <w:r w:rsidRPr="00DA41A0">
        <w:rPr>
          <w:rFonts w:ascii="Times New Roman" w:hAnsi="Times New Roman"/>
          <w:color w:val="000000" w:themeColor="text1"/>
          <w:sz w:val="28"/>
          <w:szCs w:val="28"/>
        </w:rPr>
        <w:t>. Серія: Державне управління». 2017. № 3. С. 124–129.</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Огляд основних моделей пенсійних систем в контексті євроінтеграції України. </w:t>
      </w:r>
      <w:r w:rsidRPr="00DA41A0">
        <w:rPr>
          <w:rFonts w:ascii="Times New Roman" w:hAnsi="Times New Roman"/>
          <w:i/>
          <w:color w:val="000000" w:themeColor="text1"/>
          <w:sz w:val="28"/>
          <w:szCs w:val="28"/>
        </w:rPr>
        <w:t>Становлення публічного адміністрування в Україні:</w:t>
      </w:r>
      <w:r w:rsidRPr="00DA41A0">
        <w:rPr>
          <w:rFonts w:ascii="Times New Roman" w:hAnsi="Times New Roman"/>
          <w:color w:val="000000" w:themeColor="text1"/>
          <w:sz w:val="28"/>
          <w:szCs w:val="28"/>
        </w:rPr>
        <w:t xml:space="preserve"> матеріали Х Конф. студентів та молодих учених за міжнар. участю / за заг. ред. О.Б. Кірєєвої. Д.: ДРІДУ НАДУ, 2019. С. 342–345.</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Окремі питання щодо ролі страхового стажу при призначенні пенсії. </w:t>
      </w:r>
      <w:r w:rsidRPr="00DA41A0">
        <w:rPr>
          <w:rFonts w:ascii="Times New Roman" w:hAnsi="Times New Roman"/>
          <w:i/>
          <w:color w:val="000000" w:themeColor="text1"/>
          <w:sz w:val="28"/>
          <w:szCs w:val="28"/>
        </w:rPr>
        <w:t>Збірник наукових праць «Право та державне управління».</w:t>
      </w:r>
      <w:r w:rsidRPr="00DA41A0">
        <w:rPr>
          <w:rFonts w:ascii="Times New Roman" w:hAnsi="Times New Roman"/>
          <w:color w:val="000000" w:themeColor="text1"/>
          <w:sz w:val="28"/>
          <w:szCs w:val="28"/>
        </w:rPr>
        <w:t xml:space="preserve"> 2017. № 3. С. 265–270.</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Основні аспекти соціальної політики держави у сфері пенсійного забезпечення населення на шляху здійснення реформ. </w:t>
      </w:r>
      <w:r w:rsidRPr="00DA41A0">
        <w:rPr>
          <w:rFonts w:ascii="Times New Roman" w:hAnsi="Times New Roman"/>
          <w:i/>
          <w:color w:val="000000" w:themeColor="text1"/>
          <w:sz w:val="28"/>
          <w:szCs w:val="28"/>
        </w:rPr>
        <w:t>Організаційно-правові аспекти публічного управління в Україні</w:t>
      </w:r>
      <w:r w:rsidRPr="00DA41A0">
        <w:rPr>
          <w:rFonts w:ascii="Times New Roman" w:hAnsi="Times New Roman"/>
          <w:color w:val="000000" w:themeColor="text1"/>
          <w:sz w:val="28"/>
          <w:szCs w:val="28"/>
        </w:rPr>
        <w:t>: збірн. матер. II Всеукраїнської науково-практичної Інтернет-конфер., 22–23 квітня 2015 року. Полтава: ПолтНТУ, 2015. С. 104–106.</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Основні проблеми адаптації вітчизняного пенсійного законодавства до стандартів Європейського Союзу. </w:t>
      </w:r>
      <w:r w:rsidRPr="00DA41A0">
        <w:rPr>
          <w:rFonts w:ascii="Times New Roman" w:hAnsi="Times New Roman"/>
          <w:i/>
          <w:color w:val="000000" w:themeColor="text1"/>
          <w:sz w:val="28"/>
          <w:szCs w:val="28"/>
        </w:rPr>
        <w:t xml:space="preserve">Адаптація правової системи України до права Європейського Союзу: теоретичні та практичні аспекти: </w:t>
      </w:r>
      <w:r w:rsidRPr="00DA41A0">
        <w:rPr>
          <w:rFonts w:ascii="Times New Roman" w:hAnsi="Times New Roman"/>
          <w:color w:val="000000" w:themeColor="text1"/>
          <w:sz w:val="28"/>
          <w:szCs w:val="28"/>
        </w:rPr>
        <w:t xml:space="preserve">матеріали ІI Всеукраїнської науково-практичної конференції, 23 листопада 2017 р.: у 2 ч. Полтава: Россава, 2017. Ч. 2. </w:t>
      </w:r>
      <w:r w:rsidRPr="00DA41A0">
        <w:rPr>
          <w:rFonts w:ascii="Times New Roman" w:hAnsi="Times New Roman"/>
          <w:color w:val="000000" w:themeColor="text1"/>
          <w:sz w:val="28"/>
          <w:szCs w:val="28"/>
        </w:rPr>
        <w:br/>
        <w:t>С. 188–191.</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Особливості підтвердження пільгового стажу роботи для призначення пенсії згідно раніше діючого законодавства. </w:t>
      </w:r>
      <w:r w:rsidRPr="00DA41A0">
        <w:rPr>
          <w:rFonts w:ascii="Times New Roman" w:hAnsi="Times New Roman"/>
          <w:i/>
          <w:color w:val="000000" w:themeColor="text1"/>
          <w:sz w:val="28"/>
          <w:szCs w:val="28"/>
        </w:rPr>
        <w:t>Становлення публічного адміністрування в Україні:</w:t>
      </w:r>
      <w:r w:rsidRPr="00DA41A0">
        <w:rPr>
          <w:rFonts w:ascii="Times New Roman" w:hAnsi="Times New Roman"/>
          <w:color w:val="000000" w:themeColor="text1"/>
          <w:sz w:val="28"/>
          <w:szCs w:val="28"/>
        </w:rPr>
        <w:t xml:space="preserve"> матеріали ІХ </w:t>
      </w:r>
      <w:r w:rsidRPr="00DA41A0">
        <w:rPr>
          <w:rFonts w:ascii="Times New Roman" w:hAnsi="Times New Roman"/>
          <w:color w:val="000000" w:themeColor="text1"/>
          <w:sz w:val="28"/>
          <w:szCs w:val="28"/>
        </w:rPr>
        <w:lastRenderedPageBreak/>
        <w:t>Всеукраїнської міжвузівської конференції студентів та молодих вчених / за заг. ред. О.Б. Кірєєвої. Д.: ДРІДУ НАДУ, 2018. С. 202–204.</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Особливості покращення управління та підвищення його ефективності в діяльності органів Пенсійного фонду України. </w:t>
      </w:r>
      <w:r w:rsidRPr="00DA41A0">
        <w:rPr>
          <w:rFonts w:ascii="Times New Roman" w:hAnsi="Times New Roman"/>
          <w:i/>
          <w:color w:val="000000" w:themeColor="text1"/>
          <w:sz w:val="28"/>
          <w:szCs w:val="28"/>
        </w:rPr>
        <w:t>Правова держава: історія, сучасність та перспективи формування в Україні</w:t>
      </w:r>
      <w:r w:rsidRPr="00DA41A0">
        <w:rPr>
          <w:rFonts w:ascii="Times New Roman" w:hAnsi="Times New Roman"/>
          <w:color w:val="000000" w:themeColor="text1"/>
          <w:sz w:val="28"/>
          <w:szCs w:val="28"/>
        </w:rPr>
        <w:t>: збірн. матер. міжнар. науково-практ. конфер., 27–28 лютого 2015 р. Ужгород : Ужгородський національний університет, 2015. С. 94–97.</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Пенсійна система Данії: реформи чи компроміс? </w:t>
      </w:r>
      <w:r w:rsidRPr="00DA41A0">
        <w:rPr>
          <w:rFonts w:ascii="Times New Roman" w:hAnsi="Times New Roman"/>
          <w:i/>
          <w:color w:val="000000" w:themeColor="text1"/>
          <w:sz w:val="28"/>
          <w:szCs w:val="28"/>
        </w:rPr>
        <w:t>Проблеми управління соціальним і гуманітарним розвитком</w:t>
      </w:r>
      <w:r w:rsidRPr="00DA41A0">
        <w:rPr>
          <w:rFonts w:ascii="Times New Roman" w:hAnsi="Times New Roman"/>
          <w:color w:val="000000" w:themeColor="text1"/>
          <w:sz w:val="28"/>
          <w:szCs w:val="28"/>
        </w:rPr>
        <w:t xml:space="preserve">: матеріали ХІІ регіон. наук.-практ. конф. за міжнар. участю / за заг. ред. О.Б. Кірєєвої. </w:t>
      </w:r>
      <w:r w:rsidRPr="00DA41A0">
        <w:rPr>
          <w:rFonts w:ascii="Times New Roman" w:hAnsi="Times New Roman"/>
          <w:color w:val="000000" w:themeColor="text1"/>
          <w:sz w:val="28"/>
          <w:szCs w:val="28"/>
          <w:lang w:val="ru-RU"/>
        </w:rPr>
        <w:br/>
      </w:r>
      <w:r w:rsidRPr="00DA41A0">
        <w:rPr>
          <w:rFonts w:ascii="Times New Roman" w:hAnsi="Times New Roman"/>
          <w:color w:val="000000" w:themeColor="text1"/>
          <w:sz w:val="28"/>
          <w:szCs w:val="28"/>
        </w:rPr>
        <w:t>Д.: ДРІДУ НАДУ, 2018. С. 302–304.</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Пенсійне забезпечення державних службовців: умови призначення та перерахунку. </w:t>
      </w:r>
      <w:r w:rsidRPr="00DA41A0">
        <w:rPr>
          <w:rFonts w:ascii="Times New Roman" w:hAnsi="Times New Roman"/>
          <w:i/>
          <w:color w:val="000000" w:themeColor="text1"/>
          <w:sz w:val="28"/>
          <w:szCs w:val="28"/>
        </w:rPr>
        <w:t>Традиції та новації юридичної науки: минуле, сучасність, майбутнє:</w:t>
      </w:r>
      <w:r w:rsidRPr="00DA41A0">
        <w:rPr>
          <w:rFonts w:ascii="Times New Roman" w:hAnsi="Times New Roman"/>
          <w:color w:val="000000" w:themeColor="text1"/>
          <w:sz w:val="28"/>
          <w:szCs w:val="28"/>
        </w:rPr>
        <w:t xml:space="preserve"> матеріали Міжнародної науково-практичної конференції (м. Одеса, 19 травня 2017 р.) У 2-х т. Т. 1 / відп. ред. Г.О. Ульянова. Одеса: Видавничий дім «Гельветика», 2017. С. 607–610.</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Шевченко Н.П. Переведення на пенсію за віком згідно нового Закону України «Про державну службу»: основні вимоги</w:t>
      </w:r>
      <w:r w:rsidRPr="00DA41A0">
        <w:rPr>
          <w:rFonts w:ascii="Times New Roman" w:hAnsi="Times New Roman"/>
          <w:i/>
          <w:color w:val="000000" w:themeColor="text1"/>
          <w:sz w:val="28"/>
          <w:szCs w:val="28"/>
        </w:rPr>
        <w:t>. Теорія та практика публічної служби:</w:t>
      </w:r>
      <w:r w:rsidRPr="00DA41A0">
        <w:rPr>
          <w:rFonts w:ascii="Times New Roman" w:hAnsi="Times New Roman"/>
          <w:color w:val="000000" w:themeColor="text1"/>
          <w:sz w:val="28"/>
          <w:szCs w:val="28"/>
        </w:rPr>
        <w:t xml:space="preserve"> матеріали наук.-практ. конф., Дніпро, 21 грудня 2018 р. / за заг. ред. С.М. Серьогіна. Д.: ДРІДУ НАДУ, 2018. С. 129–130.</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eastAsia="Times New Roman" w:hAnsi="Times New Roman"/>
          <w:color w:val="000000" w:themeColor="text1"/>
          <w:sz w:val="28"/>
          <w:szCs w:val="28"/>
          <w:lang w:eastAsia="ru-RU"/>
        </w:rPr>
        <w:t xml:space="preserve">Шевченко Н.П. Правила обліку страхових внесків для врахування в розрахунковий пенсійний капітал (на прикладі Російської Федерації). </w:t>
      </w:r>
      <w:r w:rsidRPr="00DA41A0">
        <w:rPr>
          <w:rFonts w:ascii="Times New Roman" w:eastAsia="Times New Roman" w:hAnsi="Times New Roman"/>
          <w:i/>
          <w:color w:val="000000" w:themeColor="text1"/>
          <w:sz w:val="28"/>
          <w:szCs w:val="28"/>
          <w:lang w:eastAsia="ru-RU"/>
        </w:rPr>
        <w:t xml:space="preserve">Напрями вдосконалення механізмів державного управління в умовах сучасних реформаційних процесів: </w:t>
      </w:r>
      <w:r w:rsidRPr="00DA41A0">
        <w:rPr>
          <w:rFonts w:ascii="Times New Roman" w:eastAsia="Times New Roman" w:hAnsi="Times New Roman"/>
          <w:color w:val="000000" w:themeColor="text1"/>
          <w:sz w:val="28"/>
          <w:szCs w:val="28"/>
          <w:lang w:eastAsia="ru-RU"/>
        </w:rPr>
        <w:t>матеріали всеукраїнської науково-практичної конференції, 23-24 грудня 2016 р. Запоріжжя: Класичний приватний університет, 2016. С. 75-78.</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eastAsia="Times New Roman" w:hAnsi="Times New Roman"/>
          <w:color w:val="000000" w:themeColor="text1"/>
          <w:sz w:val="28"/>
          <w:szCs w:val="28"/>
          <w:lang w:eastAsia="ru-RU"/>
        </w:rPr>
        <w:t xml:space="preserve">Шевченко Н.П. Правове регулювання питання перерахунку пенсій колишніх працівників органів внутрішніх справ. </w:t>
      </w:r>
      <w:r w:rsidRPr="00DA41A0">
        <w:rPr>
          <w:rFonts w:ascii="Times New Roman" w:eastAsia="Times New Roman" w:hAnsi="Times New Roman"/>
          <w:i/>
          <w:color w:val="000000" w:themeColor="text1"/>
          <w:sz w:val="28"/>
          <w:szCs w:val="28"/>
          <w:lang w:eastAsia="ru-RU"/>
        </w:rPr>
        <w:t xml:space="preserve">Науково-виробничий журнал Держава та регіони. </w:t>
      </w:r>
      <w:r w:rsidRPr="00DA41A0">
        <w:rPr>
          <w:rFonts w:ascii="Times New Roman" w:eastAsia="Times New Roman" w:hAnsi="Times New Roman"/>
          <w:color w:val="000000" w:themeColor="text1"/>
          <w:sz w:val="28"/>
          <w:szCs w:val="28"/>
          <w:lang w:eastAsia="ru-RU"/>
        </w:rPr>
        <w:t>Серія: Державне управління». 2017. № 2 (58). С. 148</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151.</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eastAsia="Times New Roman" w:hAnsi="Times New Roman"/>
          <w:color w:val="000000" w:themeColor="text1"/>
          <w:sz w:val="28"/>
          <w:szCs w:val="28"/>
          <w:lang w:eastAsia="ru-RU"/>
        </w:rPr>
        <w:lastRenderedPageBreak/>
        <w:t xml:space="preserve">Шевченко Н.П. Пріоритетність норм міжнародного права при розрахунку заробітної плати для призначення пенсії. </w:t>
      </w:r>
      <w:r w:rsidRPr="00DA41A0">
        <w:rPr>
          <w:rFonts w:ascii="Times New Roman" w:eastAsia="Times New Roman" w:hAnsi="Times New Roman"/>
          <w:i/>
          <w:color w:val="000000" w:themeColor="text1"/>
          <w:sz w:val="28"/>
          <w:szCs w:val="28"/>
          <w:lang w:eastAsia="ru-RU"/>
        </w:rPr>
        <w:t xml:space="preserve">Актуальні питання розвитку правової держави в умовах сучасного становлення громадянського суспільства в Україні: </w:t>
      </w:r>
      <w:r w:rsidRPr="00DA41A0">
        <w:rPr>
          <w:rFonts w:ascii="Times New Roman" w:eastAsia="Times New Roman" w:hAnsi="Times New Roman"/>
          <w:color w:val="000000" w:themeColor="text1"/>
          <w:sz w:val="28"/>
          <w:szCs w:val="28"/>
          <w:lang w:eastAsia="ru-RU"/>
        </w:rPr>
        <w:t>збірн. матер. Міжнародної науково-практичної конференції, 17</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18 червня 2016 р. Харків: ГО «Асоціація аспірантів-юристів», 2016. С. 117</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120.</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pacing w:val="2"/>
          <w:sz w:val="28"/>
          <w:szCs w:val="28"/>
        </w:rPr>
        <w:t xml:space="preserve">Шевченко Н.П. </w:t>
      </w:r>
      <w:r w:rsidRPr="00DA41A0">
        <w:rPr>
          <w:rFonts w:ascii="Times New Roman" w:hAnsi="Times New Roman"/>
          <w:bCs/>
          <w:color w:val="000000" w:themeColor="text1"/>
          <w:spacing w:val="2"/>
          <w:sz w:val="28"/>
          <w:szCs w:val="28"/>
        </w:rPr>
        <w:t xml:space="preserve">Проблеми при призначенні пенсій за вислугу років медичним працівникам в контексті змін до законодавства. </w:t>
      </w:r>
      <w:r w:rsidRPr="00DA41A0">
        <w:rPr>
          <w:rFonts w:ascii="Times New Roman" w:hAnsi="Times New Roman"/>
          <w:i/>
          <w:color w:val="000000" w:themeColor="text1"/>
          <w:sz w:val="28"/>
          <w:szCs w:val="28"/>
        </w:rPr>
        <w:t>Взаємозв’язок політики і управління: теоретичний і прикладний аспект:</w:t>
      </w:r>
      <w:r w:rsidRPr="00DA41A0">
        <w:rPr>
          <w:rFonts w:ascii="Times New Roman" w:hAnsi="Times New Roman"/>
          <w:color w:val="000000" w:themeColor="text1"/>
          <w:sz w:val="28"/>
          <w:szCs w:val="28"/>
        </w:rPr>
        <w:t xml:space="preserve"> матеріали круглого столу / за заг. ред. О.Б. Кірєєвої. Д.: ДРІДУ НАДУ, 2018. С. 96–98.</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eastAsia="Times New Roman" w:hAnsi="Times New Roman"/>
          <w:color w:val="000000" w:themeColor="text1"/>
          <w:sz w:val="28"/>
          <w:szCs w:val="28"/>
          <w:lang w:eastAsia="ru-RU"/>
        </w:rPr>
        <w:t xml:space="preserve">Шевченко Н.П. Проблемні питання пенсійного забезпечення осіб, які постраждали внаслідок Чорнобильської катастрофи. </w:t>
      </w:r>
      <w:r w:rsidRPr="00DA41A0">
        <w:rPr>
          <w:rFonts w:ascii="Times New Roman" w:eastAsia="Times New Roman" w:hAnsi="Times New Roman"/>
          <w:i/>
          <w:color w:val="000000" w:themeColor="text1"/>
          <w:sz w:val="28"/>
          <w:szCs w:val="28"/>
          <w:lang w:eastAsia="ru-RU"/>
        </w:rPr>
        <w:t xml:space="preserve">Становлення публічного адміністрування в Україні: </w:t>
      </w:r>
      <w:r w:rsidRPr="00DA41A0">
        <w:rPr>
          <w:rFonts w:ascii="Times New Roman" w:eastAsia="Times New Roman" w:hAnsi="Times New Roman"/>
          <w:color w:val="000000" w:themeColor="text1"/>
          <w:sz w:val="28"/>
          <w:szCs w:val="28"/>
          <w:lang w:eastAsia="ru-RU"/>
        </w:rPr>
        <w:t>матеріали VІІІ Всеукраїнської міжвузівської конференції студентів та молодих учених, 21 квітня 2017 р. / за заг. ред. С.О. Шевченка. Д.: ДРІДУ НАДУ, 2017. С. 73</w:t>
      </w:r>
      <w:r w:rsidRPr="00DA41A0">
        <w:rPr>
          <w:rFonts w:ascii="Times New Roman" w:hAnsi="Times New Roman"/>
          <w:color w:val="000000" w:themeColor="text1"/>
          <w:sz w:val="28"/>
          <w:szCs w:val="28"/>
        </w:rPr>
        <w:t>–</w:t>
      </w:r>
      <w:r w:rsidRPr="00DA41A0">
        <w:rPr>
          <w:rFonts w:ascii="Times New Roman" w:eastAsia="Times New Roman" w:hAnsi="Times New Roman"/>
          <w:color w:val="000000" w:themeColor="text1"/>
          <w:sz w:val="28"/>
          <w:szCs w:val="28"/>
          <w:lang w:eastAsia="ru-RU"/>
        </w:rPr>
        <w:t>75.</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pacing w:val="2"/>
          <w:sz w:val="28"/>
          <w:szCs w:val="28"/>
        </w:rPr>
        <w:t xml:space="preserve">Шевченко Н.П. Реформи пенсійного забезпечення Великої Британії 2015 року: досвід для України. </w:t>
      </w:r>
      <w:r w:rsidRPr="00DA41A0">
        <w:rPr>
          <w:rFonts w:ascii="Times New Roman" w:hAnsi="Times New Roman"/>
          <w:i/>
          <w:color w:val="000000" w:themeColor="text1"/>
          <w:spacing w:val="2"/>
          <w:sz w:val="28"/>
          <w:szCs w:val="28"/>
        </w:rPr>
        <w:t>Актуальні проблеми європейської та євроатлантичної інтеграції України</w:t>
      </w:r>
      <w:r w:rsidRPr="00DA41A0">
        <w:rPr>
          <w:rFonts w:ascii="Times New Roman" w:hAnsi="Times New Roman"/>
          <w:color w:val="000000" w:themeColor="text1"/>
          <w:spacing w:val="2"/>
          <w:sz w:val="28"/>
          <w:szCs w:val="28"/>
        </w:rPr>
        <w:t xml:space="preserve">: матеріали ХV регіональної науково-практичної конференції, 17 травня 2018 р., м. Дніпро/ за заг. ред. </w:t>
      </w:r>
      <w:r w:rsidRPr="00DA41A0">
        <w:rPr>
          <w:rFonts w:ascii="Times New Roman" w:hAnsi="Times New Roman"/>
          <w:color w:val="000000" w:themeColor="text1"/>
          <w:spacing w:val="2"/>
          <w:sz w:val="28"/>
          <w:szCs w:val="28"/>
        </w:rPr>
        <w:br/>
        <w:t>Л.Л. Прокопенка. Д.: ДРІДУ НАДУ, 2018. С. 243</w:t>
      </w:r>
      <w:r w:rsidRPr="00DA41A0">
        <w:rPr>
          <w:rFonts w:ascii="Times New Roman" w:hAnsi="Times New Roman"/>
          <w:color w:val="000000" w:themeColor="text1"/>
          <w:sz w:val="28"/>
          <w:szCs w:val="28"/>
        </w:rPr>
        <w:t>–</w:t>
      </w:r>
      <w:r w:rsidRPr="00DA41A0">
        <w:rPr>
          <w:rFonts w:ascii="Times New Roman" w:hAnsi="Times New Roman"/>
          <w:color w:val="000000" w:themeColor="text1"/>
          <w:spacing w:val="2"/>
          <w:sz w:val="28"/>
          <w:szCs w:val="28"/>
        </w:rPr>
        <w:t>244.</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Сучасний стан та перспективи розвитку пенсійної системи України. </w:t>
      </w:r>
      <w:r w:rsidRPr="00DA41A0">
        <w:rPr>
          <w:rFonts w:ascii="Times New Roman" w:hAnsi="Times New Roman"/>
          <w:i/>
          <w:color w:val="000000" w:themeColor="text1"/>
          <w:sz w:val="28"/>
          <w:szCs w:val="28"/>
        </w:rPr>
        <w:t>Науковий журнал «Молодий вчений».</w:t>
      </w:r>
      <w:r w:rsidRPr="00DA41A0">
        <w:rPr>
          <w:rFonts w:ascii="Times New Roman" w:hAnsi="Times New Roman"/>
          <w:color w:val="000000" w:themeColor="text1"/>
          <w:sz w:val="28"/>
          <w:szCs w:val="28"/>
        </w:rPr>
        <w:t xml:space="preserve"> 2019. № 4 (68). </w:t>
      </w:r>
      <w:r w:rsidRPr="00DA41A0">
        <w:rPr>
          <w:rFonts w:ascii="Times New Roman" w:hAnsi="Times New Roman"/>
          <w:color w:val="000000" w:themeColor="text1"/>
          <w:sz w:val="28"/>
          <w:szCs w:val="28"/>
        </w:rPr>
        <w:br/>
        <w:t>С. 98–102.</w:t>
      </w:r>
    </w:p>
    <w:p w:rsidR="00344DAE" w:rsidRPr="00DA41A0" w:rsidRDefault="00344DAE" w:rsidP="00344DAE">
      <w:pPr>
        <w:numPr>
          <w:ilvl w:val="0"/>
          <w:numId w:val="44"/>
        </w:numPr>
        <w:overflowPunct w:val="0"/>
        <w:autoSpaceDE w:val="0"/>
        <w:autoSpaceDN w:val="0"/>
        <w:adjustRightInd w:val="0"/>
        <w:spacing w:after="0" w:line="360" w:lineRule="auto"/>
        <w:ind w:left="0" w:firstLine="709"/>
        <w:contextualSpacing/>
        <w:jc w:val="both"/>
        <w:textAlignment w:val="baseline"/>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Шевченко Н.П. Трансформація пенсійної системи України в контексті процесів глобалізації та євроінтеграції. </w:t>
      </w:r>
      <w:r w:rsidRPr="00DA41A0">
        <w:rPr>
          <w:rFonts w:ascii="Times New Roman" w:hAnsi="Times New Roman"/>
          <w:i/>
          <w:color w:val="000000" w:themeColor="text1"/>
          <w:sz w:val="28"/>
          <w:szCs w:val="28"/>
        </w:rPr>
        <w:t>Взаємозв’язок політики і управління: теоретичний і прикладний аспект:</w:t>
      </w:r>
      <w:r w:rsidRPr="00DA41A0">
        <w:rPr>
          <w:rFonts w:ascii="Times New Roman" w:hAnsi="Times New Roman"/>
          <w:color w:val="000000" w:themeColor="text1"/>
          <w:sz w:val="28"/>
          <w:szCs w:val="28"/>
        </w:rPr>
        <w:t xml:space="preserve"> матеріали круглого столу / за заг. ред. С.О. Шевченка. Д.: ДРІДУ НАДУ, 2017. С. 174–176.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Шевчук П.І. Соціальна політика. 2-е вид. Львів: Світ, 2005. 400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Шумило М.М. Правовідносини у сфері пенсійного забезпечення в Україні: монографія. К.: Ніка-Центр, 2016. 680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Эшби Р.У. Введение в кибернетику: пер. с англ. / под ред. В.А. Успенского. Предисл. А.Н. Колмогорова. Изд. 2-е,стереотипное. М.: КомКнига, 2005. 432 с.</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Юрій С.І. Соціальне страхування: підручник / С.І. Юрій, </w:t>
      </w:r>
      <w:r w:rsidRPr="00DA41A0">
        <w:rPr>
          <w:rFonts w:ascii="Times New Roman" w:hAnsi="Times New Roman"/>
          <w:color w:val="000000" w:themeColor="text1"/>
          <w:sz w:val="28"/>
          <w:szCs w:val="28"/>
        </w:rPr>
        <w:br/>
        <w:t>М.П. Шаварина, Н.В. Шаманська, К.: Кондор, 2006. 464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Якимів А.І. Формування і розвиток системи пенсійного забезпечення в Україні. Львів: Афіша, 2003. 448 c.</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Abel Smith, Brian. The Beveridge report: Its origins and outcomes. </w:t>
      </w:r>
      <w:r w:rsidRPr="00DA41A0">
        <w:rPr>
          <w:rFonts w:ascii="Times New Roman" w:hAnsi="Times New Roman"/>
          <w:i/>
          <w:color w:val="000000" w:themeColor="text1"/>
          <w:sz w:val="28"/>
          <w:szCs w:val="28"/>
        </w:rPr>
        <w:t>International Social Security Review</w:t>
      </w:r>
      <w:r w:rsidRPr="00DA41A0">
        <w:rPr>
          <w:rFonts w:ascii="Times New Roman" w:hAnsi="Times New Roman"/>
          <w:color w:val="000000" w:themeColor="text1"/>
          <w:sz w:val="28"/>
          <w:szCs w:val="28"/>
        </w:rPr>
        <w:t>.1992. № 1–2. PР. 5–16.</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Adverting the Old Age Crisis: Policies to Protect the Old and Promote Growth. </w:t>
      </w:r>
      <w:r w:rsidRPr="00DA41A0">
        <w:rPr>
          <w:rFonts w:ascii="Times New Roman" w:hAnsi="Times New Roman"/>
          <w:i/>
          <w:color w:val="000000" w:themeColor="text1"/>
          <w:sz w:val="28"/>
          <w:szCs w:val="28"/>
        </w:rPr>
        <w:t>World Bank Policy Research Report.</w:t>
      </w:r>
      <w:r w:rsidRPr="00DA41A0">
        <w:rPr>
          <w:rFonts w:ascii="Times New Roman" w:hAnsi="Times New Roman"/>
          <w:color w:val="000000" w:themeColor="text1"/>
          <w:sz w:val="28"/>
          <w:szCs w:val="28"/>
        </w:rPr>
        <w:t xml:space="preserve"> Washington, D.C. 1994. </w:t>
      </w:r>
      <w:r w:rsidRPr="00DA41A0">
        <w:rPr>
          <w:rFonts w:ascii="Times New Roman" w:hAnsi="Times New Roman"/>
          <w:color w:val="000000" w:themeColor="text1"/>
          <w:sz w:val="28"/>
          <w:szCs w:val="28"/>
          <w:lang w:val="en-US"/>
        </w:rPr>
        <w:br/>
      </w:r>
      <w:r w:rsidRPr="00DA41A0">
        <w:rPr>
          <w:rFonts w:ascii="Times New Roman" w:hAnsi="Times New Roman"/>
          <w:color w:val="000000" w:themeColor="text1"/>
          <w:sz w:val="28"/>
          <w:szCs w:val="28"/>
        </w:rPr>
        <w:t xml:space="preserve">URL: </w:t>
      </w:r>
      <w:hyperlink r:id="rId75" w:history="1">
        <w:r w:rsidRPr="00DA41A0">
          <w:rPr>
            <w:rStyle w:val="a9"/>
            <w:rFonts w:ascii="Times New Roman" w:hAnsi="Times New Roman"/>
            <w:color w:val="000000" w:themeColor="text1"/>
            <w:sz w:val="28"/>
            <w:szCs w:val="28"/>
            <w:u w:val="none"/>
          </w:rPr>
          <w:t>http://documents.worldbank.org/curated/en/649951468344639990/pdf/multi-</w:t>
        </w:r>
        <w:r w:rsidRPr="00DA41A0">
          <w:rPr>
            <w:rStyle w:val="a9"/>
            <w:rFonts w:ascii="Times New Roman" w:hAnsi="Times New Roman"/>
            <w:color w:val="000000" w:themeColor="text1"/>
            <w:sz w:val="28"/>
            <w:szCs w:val="28"/>
            <w:u w:val="none"/>
            <w:lang w:val="en-US"/>
          </w:rPr>
          <w:br/>
        </w:r>
        <w:r w:rsidRPr="00DA41A0">
          <w:rPr>
            <w:rStyle w:val="a9"/>
            <w:rFonts w:ascii="Times New Roman" w:hAnsi="Times New Roman"/>
            <w:color w:val="000000" w:themeColor="text1"/>
            <w:sz w:val="28"/>
            <w:szCs w:val="28"/>
            <w:u w:val="none"/>
          </w:rPr>
          <w:t>page.pdf</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Beveridge W. Full Employment in a Free Society. London, 1944. </w:t>
      </w:r>
      <w:r w:rsidRPr="00DA41A0">
        <w:rPr>
          <w:rFonts w:ascii="Times New Roman" w:hAnsi="Times New Roman"/>
          <w:color w:val="000000" w:themeColor="text1"/>
          <w:sz w:val="28"/>
          <w:szCs w:val="28"/>
          <w:lang w:val="en-US"/>
        </w:rPr>
        <w:br/>
        <w:t xml:space="preserve">URL: </w:t>
      </w:r>
      <w:hyperlink r:id="rId76" w:history="1">
        <w:r w:rsidRPr="00DA41A0">
          <w:rPr>
            <w:rStyle w:val="a9"/>
            <w:rFonts w:ascii="Times New Roman" w:hAnsi="Times New Roman"/>
            <w:color w:val="000000" w:themeColor="text1"/>
            <w:sz w:val="28"/>
            <w:szCs w:val="28"/>
            <w:u w:val="none"/>
          </w:rPr>
          <w:t>http://archive.org/details/in.ernet.dli.2015.228995</w:t>
        </w:r>
      </w:hyperlink>
      <w:r w:rsidRPr="00DA41A0">
        <w:rPr>
          <w:rFonts w:ascii="Times New Roman" w:hAnsi="Times New Roman"/>
          <w:color w:val="000000" w:themeColor="text1"/>
          <w:sz w:val="28"/>
          <w:szCs w:val="28"/>
          <w:lang w:val="en-US"/>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Cooper D. The Regulation of Occupational Pension Schemes in the EU and USA. Department of Actuarial Scienceand Statistics City University. 35 p. </w:t>
      </w:r>
      <w:r w:rsidRPr="00DA41A0">
        <w:rPr>
          <w:rFonts w:ascii="Times New Roman" w:hAnsi="Times New Roman"/>
          <w:color w:val="000000" w:themeColor="text1"/>
          <w:sz w:val="28"/>
          <w:szCs w:val="28"/>
          <w:lang w:val="en-US"/>
        </w:rPr>
        <w:br/>
      </w:r>
      <w:r w:rsidRPr="00DA41A0">
        <w:rPr>
          <w:rFonts w:ascii="Times New Roman" w:hAnsi="Times New Roman"/>
          <w:color w:val="000000" w:themeColor="text1"/>
          <w:sz w:val="28"/>
          <w:szCs w:val="28"/>
        </w:rPr>
        <w:t>URL:http://www.actuaries.org.uk/system/files/documents/pdf/euusaregulation.pdf.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Cote R. The Countries With The Best Pension Systems In The World. December 5. 2013. URL: </w:t>
      </w:r>
      <w:hyperlink r:id="rId77" w:history="1">
        <w:r w:rsidRPr="00DA41A0">
          <w:rPr>
            <w:rStyle w:val="a9"/>
            <w:rFonts w:ascii="Times New Roman" w:hAnsi="Times New Roman"/>
            <w:color w:val="000000" w:themeColor="text1"/>
            <w:sz w:val="28"/>
            <w:szCs w:val="28"/>
            <w:u w:val="none"/>
          </w:rPr>
          <w:t>http://www.therichest.com/business/economy/the-countries-with-the-best-pension-systems-in-the-world/3/</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European Commission. Employment and Social Developments in Europe 2017. June 2017. URL: </w:t>
      </w:r>
      <w:hyperlink r:id="rId78" w:history="1">
        <w:r w:rsidRPr="00DA41A0">
          <w:rPr>
            <w:rStyle w:val="a9"/>
            <w:rFonts w:ascii="Times New Roman" w:hAnsi="Times New Roman"/>
            <w:color w:val="000000" w:themeColor="text1"/>
            <w:sz w:val="28"/>
            <w:szCs w:val="28"/>
            <w:u w:val="none"/>
          </w:rPr>
          <w:t>http://ec.europa.eu/social/main.jsp?</w:t>
        </w:r>
        <w:r w:rsidRPr="00DA41A0">
          <w:rPr>
            <w:rStyle w:val="a9"/>
            <w:rFonts w:ascii="Times New Roman" w:hAnsi="Times New Roman"/>
            <w:color w:val="000000" w:themeColor="text1"/>
            <w:sz w:val="28"/>
            <w:szCs w:val="28"/>
            <w:u w:val="none"/>
            <w:lang w:val="en-US"/>
          </w:rPr>
          <w:br/>
        </w:r>
        <w:r w:rsidRPr="00DA41A0">
          <w:rPr>
            <w:rStyle w:val="a9"/>
            <w:rFonts w:ascii="Times New Roman" w:hAnsi="Times New Roman"/>
            <w:color w:val="000000" w:themeColor="text1"/>
            <w:sz w:val="28"/>
            <w:szCs w:val="28"/>
            <w:u w:val="none"/>
          </w:rPr>
          <w:t>catId=738&amp;langId=en&amp;pubId=8030&amp;furtherPubs=yes</w:t>
        </w:r>
      </w:hyperlink>
      <w:r w:rsidRPr="00DA41A0">
        <w:rPr>
          <w:rFonts w:ascii="Times New Roman" w:hAnsi="Times New Roman"/>
          <w:color w:val="000000" w:themeColor="text1"/>
          <w:sz w:val="28"/>
          <w:szCs w:val="28"/>
        </w:rPr>
        <w:t>.</w:t>
      </w:r>
    </w:p>
    <w:p w:rsidR="00344DAE"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European Commission. The 2015 Pension Adequacy Report: current and future income adequacy in old age in the EU. Volume I. European Commission, 2015. URL: </w:t>
      </w:r>
      <w:hyperlink r:id="rId79" w:history="1">
        <w:r w:rsidRPr="00DA41A0">
          <w:rPr>
            <w:rStyle w:val="a9"/>
            <w:rFonts w:ascii="Times New Roman" w:hAnsi="Times New Roman"/>
            <w:color w:val="000000" w:themeColor="text1"/>
            <w:sz w:val="28"/>
            <w:szCs w:val="28"/>
            <w:u w:val="none"/>
          </w:rPr>
          <w:t>http://ec.europa.eu/social/BlobServlet?docId=14529&amp;langId=en</w:t>
        </w:r>
      </w:hyperlink>
      <w:r w:rsidRPr="00DA41A0">
        <w:rPr>
          <w:rFonts w:ascii="Times New Roman" w:hAnsi="Times New Roman"/>
          <w:color w:val="000000" w:themeColor="text1"/>
          <w:sz w:val="28"/>
          <w:szCs w:val="28"/>
        </w:rPr>
        <w:t>.</w:t>
      </w:r>
    </w:p>
    <w:p w:rsidR="00344DAE" w:rsidRPr="00AA2816"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AA2816">
        <w:rPr>
          <w:rFonts w:ascii="Times New Roman" w:hAnsi="Times New Roman"/>
          <w:color w:val="000000" w:themeColor="text1"/>
          <w:sz w:val="28"/>
          <w:szCs w:val="28"/>
        </w:rPr>
        <w:t>European Commission. White Paper «An Agenda for Adequate, Safe and Sustainable Pensions». Brussels, 16.02.2012, COM (2012)</w:t>
      </w:r>
      <w:r>
        <w:rPr>
          <w:rFonts w:ascii="Times New Roman" w:hAnsi="Times New Roman"/>
          <w:color w:val="000000" w:themeColor="text1"/>
          <w:sz w:val="28"/>
          <w:szCs w:val="28"/>
        </w:rPr>
        <w:t>.</w:t>
      </w:r>
      <w:r w:rsidRPr="00AA2816">
        <w:rPr>
          <w:rFonts w:ascii="Times New Roman" w:hAnsi="Times New Roman"/>
          <w:color w:val="000000" w:themeColor="text1"/>
          <w:sz w:val="28"/>
          <w:szCs w:val="28"/>
        </w:rPr>
        <w:t xml:space="preserve"> 55 </w:t>
      </w:r>
      <w:r>
        <w:rPr>
          <w:rFonts w:ascii="Times New Roman" w:hAnsi="Times New Roman"/>
          <w:color w:val="000000" w:themeColor="text1"/>
          <w:sz w:val="28"/>
          <w:szCs w:val="28"/>
        </w:rPr>
        <w:t>(</w:t>
      </w:r>
      <w:r w:rsidRPr="00AA2816">
        <w:rPr>
          <w:rFonts w:ascii="Times New Roman" w:hAnsi="Times New Roman"/>
          <w:color w:val="000000" w:themeColor="text1"/>
          <w:sz w:val="28"/>
          <w:szCs w:val="28"/>
        </w:rPr>
        <w:t>final</w:t>
      </w:r>
      <w:r>
        <w:rPr>
          <w:rFonts w:ascii="Times New Roman" w:hAnsi="Times New Roman"/>
          <w:color w:val="000000" w:themeColor="text1"/>
          <w:sz w:val="28"/>
          <w:szCs w:val="28"/>
        </w:rPr>
        <w:t>)</w:t>
      </w:r>
      <w:r w:rsidRPr="00AA2816">
        <w:rPr>
          <w:rFonts w:ascii="Times New Roman" w:hAnsi="Times New Roman"/>
          <w:color w:val="000000" w:themeColor="text1"/>
          <w:sz w:val="28"/>
          <w:szCs w:val="28"/>
        </w:rPr>
        <w:t xml:space="preserve">. URL: </w:t>
      </w:r>
      <w:r w:rsidRPr="00AA2816">
        <w:rPr>
          <w:rFonts w:ascii="Times New Roman" w:hAnsi="Times New Roman"/>
          <w:color w:val="000000" w:themeColor="text1"/>
          <w:sz w:val="28"/>
          <w:szCs w:val="28"/>
        </w:rPr>
        <w:lastRenderedPageBreak/>
        <w:t>http://eur-lex.europa.eu/LexUriServ/LexUriServ.do?uri=COM:2012:0055:</w:t>
      </w:r>
      <w:r>
        <w:rPr>
          <w:rFonts w:ascii="Times New Roman" w:hAnsi="Times New Roman"/>
          <w:color w:val="000000" w:themeColor="text1"/>
          <w:sz w:val="28"/>
          <w:szCs w:val="28"/>
        </w:rPr>
        <w:br/>
      </w:r>
      <w:r w:rsidRPr="00AA2816">
        <w:rPr>
          <w:rFonts w:ascii="Times New Roman" w:hAnsi="Times New Roman"/>
          <w:color w:val="000000" w:themeColor="text1"/>
          <w:sz w:val="28"/>
          <w:szCs w:val="28"/>
        </w:rPr>
        <w:t>FIN:EN:PDF.</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Fenge R., Scheubel B. Pensions and fertility back to the roots: Th e introduction of Bismarck’s pension scheme and the European fertility decline. European Central Bank. Working paper series. 2014. № 1734. 49 р.</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Kangas Olli, Lundberg Urban, Ploug Niels. Three Routes to Pension Reform: Politics and Institutions in Reforming Pensions in Denmark, Finland and Sweden. </w:t>
      </w:r>
      <w:r w:rsidRPr="00DA41A0">
        <w:rPr>
          <w:rFonts w:ascii="Times New Roman" w:hAnsi="Times New Roman"/>
          <w:i/>
          <w:color w:val="000000" w:themeColor="text1"/>
          <w:sz w:val="28"/>
          <w:szCs w:val="28"/>
        </w:rPr>
        <w:t>Social Policy &amp;Administration</w:t>
      </w:r>
      <w:r w:rsidRPr="00DA41A0">
        <w:rPr>
          <w:rFonts w:ascii="Times New Roman" w:hAnsi="Times New Roman"/>
          <w:color w:val="000000" w:themeColor="text1"/>
          <w:sz w:val="28"/>
          <w:szCs w:val="28"/>
        </w:rPr>
        <w:t>, Vol. 44, No. 3, June 2010. РP. 265–284.</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Malcolm Jones, Kevin Milne. UK Pension Reform - One Year On. </w:t>
      </w:r>
      <w:r w:rsidRPr="00DA41A0">
        <w:rPr>
          <w:rFonts w:ascii="Times New Roman" w:hAnsi="Times New Roman"/>
          <w:i/>
          <w:color w:val="000000" w:themeColor="text1"/>
          <w:sz w:val="28"/>
          <w:szCs w:val="28"/>
        </w:rPr>
        <w:t>Standard Life Investments</w:t>
      </w:r>
      <w:r w:rsidRPr="00DA41A0">
        <w:rPr>
          <w:rFonts w:ascii="Times New Roman" w:hAnsi="Times New Roman"/>
          <w:color w:val="000000" w:themeColor="text1"/>
          <w:sz w:val="28"/>
          <w:szCs w:val="28"/>
        </w:rPr>
        <w:t>. April 2016. 8 р. URL: https:/www.</w:t>
      </w:r>
      <w:r w:rsidRPr="00DA41A0">
        <w:rPr>
          <w:rFonts w:ascii="Times New Roman" w:hAnsi="Times New Roman"/>
          <w:color w:val="000000" w:themeColor="text1"/>
          <w:sz w:val="28"/>
          <w:szCs w:val="28"/>
          <w:lang w:val="en-US"/>
        </w:rPr>
        <w:br/>
      </w:r>
      <w:r w:rsidRPr="00DA41A0">
        <w:rPr>
          <w:rFonts w:ascii="Times New Roman" w:hAnsi="Times New Roman"/>
          <w:color w:val="000000" w:themeColor="text1"/>
          <w:sz w:val="28"/>
          <w:szCs w:val="28"/>
        </w:rPr>
        <w:t>standardlifeinvestments.com.</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 Molodtsov O.V. Conditions of implementation of asymmetric decentralization in Ukraine. </w:t>
      </w:r>
      <w:r w:rsidRPr="00DA41A0">
        <w:rPr>
          <w:rFonts w:ascii="Times New Roman" w:hAnsi="Times New Roman"/>
          <w:i/>
          <w:color w:val="000000" w:themeColor="text1"/>
          <w:sz w:val="28"/>
          <w:szCs w:val="28"/>
        </w:rPr>
        <w:t>Public manаgement.</w:t>
      </w:r>
      <w:r w:rsidRPr="00DA41A0">
        <w:rPr>
          <w:rFonts w:ascii="Times New Roman" w:hAnsi="Times New Roman"/>
          <w:color w:val="000000" w:themeColor="text1"/>
          <w:sz w:val="28"/>
          <w:szCs w:val="28"/>
        </w:rPr>
        <w:t xml:space="preserve"> 2019 (January). № 1 (16). </w:t>
      </w:r>
      <w:r w:rsidRPr="00DA41A0">
        <w:rPr>
          <w:rFonts w:ascii="Times New Roman" w:hAnsi="Times New Roman"/>
          <w:color w:val="000000" w:themeColor="text1"/>
          <w:sz w:val="28"/>
          <w:szCs w:val="28"/>
        </w:rPr>
        <w:br/>
        <w:t xml:space="preserve">РР. 128–140. URL: </w:t>
      </w:r>
      <w:hyperlink r:id="rId80" w:history="1">
        <w:r w:rsidRPr="00DA41A0">
          <w:rPr>
            <w:rStyle w:val="a9"/>
            <w:rFonts w:ascii="Times New Roman" w:hAnsi="Times New Roman"/>
            <w:color w:val="000000" w:themeColor="text1"/>
            <w:sz w:val="28"/>
            <w:szCs w:val="28"/>
            <w:u w:val="none"/>
          </w:rPr>
          <w:t>http://vadnd.org.ua/app/uploads/2019/03/Публічне-урядування_116_англ-3.pdf</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OECD (2011). Pensions at a Glance 2011: OECD and G20 Countries</w:t>
      </w:r>
      <w:r w:rsidRPr="00DA41A0">
        <w:rPr>
          <w:rFonts w:ascii="Times New Roman" w:hAnsi="Times New Roman"/>
          <w:color w:val="000000" w:themeColor="text1"/>
          <w:sz w:val="28"/>
          <w:szCs w:val="28"/>
          <w:lang w:val="en-US"/>
        </w:rPr>
        <w:t>.</w:t>
      </w:r>
      <w:r w:rsidRPr="00DA41A0">
        <w:rPr>
          <w:rFonts w:ascii="Times New Roman" w:hAnsi="Times New Roman"/>
          <w:color w:val="000000" w:themeColor="text1"/>
          <w:sz w:val="28"/>
          <w:szCs w:val="28"/>
        </w:rPr>
        <w:t xml:space="preserve"> OECD Publishing</w:t>
      </w:r>
      <w:r w:rsidRPr="00DA41A0">
        <w:rPr>
          <w:rFonts w:ascii="Times New Roman" w:hAnsi="Times New Roman"/>
          <w:color w:val="000000" w:themeColor="text1"/>
          <w:sz w:val="28"/>
          <w:szCs w:val="28"/>
          <w:lang w:val="en-US"/>
        </w:rPr>
        <w:t xml:space="preserve">. </w:t>
      </w:r>
      <w:r w:rsidRPr="00DA41A0">
        <w:rPr>
          <w:rFonts w:ascii="Times New Roman" w:hAnsi="Times New Roman"/>
          <w:color w:val="000000" w:themeColor="text1"/>
          <w:sz w:val="28"/>
          <w:szCs w:val="28"/>
        </w:rPr>
        <w:t>Paris.</w:t>
      </w:r>
      <w:r w:rsidRPr="00DA41A0">
        <w:rPr>
          <w:rFonts w:ascii="Times New Roman" w:hAnsi="Times New Roman"/>
          <w:color w:val="000000" w:themeColor="text1"/>
          <w:sz w:val="28"/>
          <w:szCs w:val="28"/>
          <w:lang w:val="en-US"/>
        </w:rPr>
        <w:t xml:space="preserve"> 2011. </w:t>
      </w:r>
      <w:r w:rsidRPr="00DA41A0">
        <w:rPr>
          <w:rFonts w:ascii="Times New Roman" w:hAnsi="Times New Roman"/>
          <w:color w:val="000000" w:themeColor="text1"/>
          <w:sz w:val="28"/>
          <w:szCs w:val="28"/>
        </w:rPr>
        <w:t xml:space="preserve">URL: </w:t>
      </w:r>
      <w:hyperlink r:id="rId81" w:history="1">
        <w:r w:rsidRPr="00DA41A0">
          <w:rPr>
            <w:rStyle w:val="a9"/>
            <w:rFonts w:ascii="Times New Roman" w:hAnsi="Times New Roman"/>
            <w:color w:val="000000" w:themeColor="text1"/>
            <w:sz w:val="28"/>
            <w:szCs w:val="28"/>
            <w:u w:val="none"/>
          </w:rPr>
          <w:t>http://dx.doi.org/10.1787/pension_glance-2011-en</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OECD (2013). Pensions at a Glance 2013: OECD and G20 indicators. OECD Publishing. Paris.</w:t>
      </w:r>
      <w:r w:rsidRPr="00DA41A0">
        <w:rPr>
          <w:rFonts w:ascii="Times New Roman" w:hAnsi="Times New Roman"/>
          <w:color w:val="000000" w:themeColor="text1"/>
          <w:sz w:val="28"/>
          <w:szCs w:val="28"/>
          <w:lang w:val="en-US"/>
        </w:rPr>
        <w:t xml:space="preserve"> 2013. </w:t>
      </w:r>
      <w:r w:rsidRPr="00DA41A0">
        <w:rPr>
          <w:rFonts w:ascii="Times New Roman" w:hAnsi="Times New Roman"/>
          <w:color w:val="000000" w:themeColor="text1"/>
          <w:sz w:val="28"/>
          <w:szCs w:val="28"/>
        </w:rPr>
        <w:t>URL: http://dx.doi.org/10.1787/pension_glance-2013-en</w:t>
      </w:r>
      <w:r w:rsidRPr="00DA41A0">
        <w:rPr>
          <w:rFonts w:ascii="Times New Roman" w:hAnsi="Times New Roman"/>
          <w:color w:val="000000" w:themeColor="text1"/>
          <w:sz w:val="28"/>
          <w:szCs w:val="28"/>
          <w:lang w:val="en-US"/>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OECD (2015). Pensions at a Glance 2015: OECD and G20 indicators, OECD Publishing</w:t>
      </w:r>
      <w:r w:rsidRPr="00DA41A0">
        <w:rPr>
          <w:rFonts w:ascii="Times New Roman" w:hAnsi="Times New Roman"/>
          <w:color w:val="000000" w:themeColor="text1"/>
          <w:sz w:val="28"/>
          <w:szCs w:val="28"/>
          <w:lang w:val="en-US"/>
        </w:rPr>
        <w:t>.</w:t>
      </w:r>
      <w:r w:rsidRPr="00DA41A0">
        <w:rPr>
          <w:rFonts w:ascii="Times New Roman" w:hAnsi="Times New Roman"/>
          <w:color w:val="000000" w:themeColor="text1"/>
          <w:sz w:val="28"/>
          <w:szCs w:val="28"/>
        </w:rPr>
        <w:t xml:space="preserve"> Paris. 201</w:t>
      </w:r>
      <w:r w:rsidRPr="00DA41A0">
        <w:rPr>
          <w:rFonts w:ascii="Times New Roman" w:hAnsi="Times New Roman"/>
          <w:color w:val="000000" w:themeColor="text1"/>
          <w:sz w:val="28"/>
          <w:szCs w:val="28"/>
          <w:lang w:val="en-US"/>
        </w:rPr>
        <w:t>5</w:t>
      </w:r>
      <w:r w:rsidRPr="00DA41A0">
        <w:rPr>
          <w:rFonts w:ascii="Times New Roman" w:hAnsi="Times New Roman"/>
          <w:color w:val="000000" w:themeColor="text1"/>
          <w:sz w:val="28"/>
          <w:szCs w:val="28"/>
        </w:rPr>
        <w:t>. URL:</w:t>
      </w:r>
      <w:hyperlink r:id="rId82" w:history="1">
        <w:r w:rsidRPr="00DA41A0">
          <w:rPr>
            <w:rStyle w:val="a9"/>
            <w:rFonts w:ascii="Times New Roman" w:hAnsi="Times New Roman"/>
            <w:color w:val="000000" w:themeColor="text1"/>
            <w:sz w:val="28"/>
            <w:szCs w:val="28"/>
            <w:u w:val="none"/>
          </w:rPr>
          <w:t>http://dx.doi.org/10.1787/pension_glance-</w:t>
        </w:r>
        <w:r w:rsidRPr="00DA41A0">
          <w:rPr>
            <w:rStyle w:val="a9"/>
            <w:rFonts w:ascii="Times New Roman" w:hAnsi="Times New Roman"/>
            <w:color w:val="000000" w:themeColor="text1"/>
            <w:sz w:val="28"/>
            <w:szCs w:val="28"/>
            <w:u w:val="none"/>
            <w:lang w:val="en-US"/>
          </w:rPr>
          <w:br/>
        </w:r>
        <w:r w:rsidRPr="00DA41A0">
          <w:rPr>
            <w:rStyle w:val="a9"/>
            <w:rFonts w:ascii="Times New Roman" w:hAnsi="Times New Roman"/>
            <w:color w:val="000000" w:themeColor="text1"/>
            <w:sz w:val="28"/>
            <w:szCs w:val="28"/>
            <w:u w:val="none"/>
          </w:rPr>
          <w:t>2015-en</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OECD (201</w:t>
      </w:r>
      <w:r w:rsidRPr="00DA41A0">
        <w:rPr>
          <w:rFonts w:ascii="Times New Roman" w:hAnsi="Times New Roman"/>
          <w:color w:val="000000" w:themeColor="text1"/>
          <w:sz w:val="28"/>
          <w:szCs w:val="28"/>
          <w:lang w:val="en-US"/>
        </w:rPr>
        <w:t>7</w:t>
      </w:r>
      <w:r w:rsidRPr="00DA41A0">
        <w:rPr>
          <w:rFonts w:ascii="Times New Roman" w:hAnsi="Times New Roman"/>
          <w:color w:val="000000" w:themeColor="text1"/>
          <w:sz w:val="28"/>
          <w:szCs w:val="28"/>
        </w:rPr>
        <w:t>). Pensions at a Glance 201</w:t>
      </w:r>
      <w:r w:rsidRPr="00DA41A0">
        <w:rPr>
          <w:rFonts w:ascii="Times New Roman" w:hAnsi="Times New Roman"/>
          <w:color w:val="000000" w:themeColor="text1"/>
          <w:sz w:val="28"/>
          <w:szCs w:val="28"/>
          <w:lang w:val="en-US"/>
        </w:rPr>
        <w:t>7</w:t>
      </w:r>
      <w:r w:rsidRPr="00DA41A0">
        <w:rPr>
          <w:rFonts w:ascii="Times New Roman" w:hAnsi="Times New Roman"/>
          <w:color w:val="000000" w:themeColor="text1"/>
          <w:sz w:val="28"/>
          <w:szCs w:val="28"/>
        </w:rPr>
        <w:t>: OECD and G20 indicators, OECD Publishing</w:t>
      </w:r>
      <w:r w:rsidRPr="00DA41A0">
        <w:rPr>
          <w:rFonts w:ascii="Times New Roman" w:hAnsi="Times New Roman"/>
          <w:color w:val="000000" w:themeColor="text1"/>
          <w:sz w:val="28"/>
          <w:szCs w:val="28"/>
          <w:lang w:val="en-US"/>
        </w:rPr>
        <w:t>.</w:t>
      </w:r>
      <w:r w:rsidRPr="00DA41A0">
        <w:rPr>
          <w:rFonts w:ascii="Times New Roman" w:hAnsi="Times New Roman"/>
          <w:color w:val="000000" w:themeColor="text1"/>
          <w:sz w:val="28"/>
          <w:szCs w:val="28"/>
        </w:rPr>
        <w:t>Paris.</w:t>
      </w:r>
      <w:r w:rsidRPr="00DA41A0">
        <w:rPr>
          <w:rFonts w:ascii="Times New Roman" w:hAnsi="Times New Roman"/>
          <w:color w:val="000000" w:themeColor="text1"/>
          <w:sz w:val="28"/>
          <w:szCs w:val="28"/>
          <w:lang w:val="en-US"/>
        </w:rPr>
        <w:t xml:space="preserve"> 2017. </w:t>
      </w:r>
      <w:r w:rsidRPr="00DA41A0">
        <w:rPr>
          <w:rFonts w:ascii="Times New Roman" w:hAnsi="Times New Roman"/>
          <w:color w:val="000000" w:themeColor="text1"/>
          <w:sz w:val="28"/>
          <w:szCs w:val="28"/>
        </w:rPr>
        <w:t>URL :</w:t>
      </w:r>
      <w:hyperlink r:id="rId83" w:history="1">
        <w:r w:rsidRPr="00DA41A0">
          <w:rPr>
            <w:rStyle w:val="a9"/>
            <w:rFonts w:ascii="Times New Roman" w:hAnsi="Times New Roman"/>
            <w:color w:val="000000" w:themeColor="text1"/>
            <w:sz w:val="28"/>
            <w:szCs w:val="28"/>
            <w:u w:val="none"/>
          </w:rPr>
          <w:t>http://dx.doi.org/10.1787/pension_glance-201</w:t>
        </w:r>
        <w:r w:rsidRPr="00DA41A0">
          <w:rPr>
            <w:rStyle w:val="a9"/>
            <w:rFonts w:ascii="Times New Roman" w:hAnsi="Times New Roman"/>
            <w:color w:val="000000" w:themeColor="text1"/>
            <w:sz w:val="28"/>
            <w:szCs w:val="28"/>
            <w:u w:val="none"/>
            <w:lang w:val="en-US"/>
          </w:rPr>
          <w:t>7</w:t>
        </w:r>
        <w:r w:rsidRPr="00DA41A0">
          <w:rPr>
            <w:rStyle w:val="a9"/>
            <w:rFonts w:ascii="Times New Roman" w:hAnsi="Times New Roman"/>
            <w:color w:val="000000" w:themeColor="text1"/>
            <w:sz w:val="28"/>
            <w:szCs w:val="28"/>
            <w:u w:val="none"/>
          </w:rPr>
          <w:t>-en</w:t>
        </w:r>
      </w:hyperlink>
      <w:r w:rsidRPr="00DA41A0">
        <w:rPr>
          <w:rFonts w:ascii="Times New Roman" w:hAnsi="Times New Roman"/>
          <w:color w:val="000000" w:themeColor="text1"/>
          <w:sz w:val="28"/>
          <w:szCs w:val="28"/>
        </w:rPr>
        <w:t>.</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Report of the ILO at the 100th Session of the International Labour Conference (Geneva, 1–17 June 2011). №24. </w:t>
      </w:r>
      <w:r w:rsidRPr="00DA41A0">
        <w:rPr>
          <w:rFonts w:ascii="Times New Roman" w:hAnsi="Times New Roman"/>
          <w:color w:val="000000" w:themeColor="text1"/>
          <w:sz w:val="28"/>
          <w:szCs w:val="28"/>
          <w:lang w:val="en-US"/>
        </w:rPr>
        <w:t>80 p</w:t>
      </w:r>
      <w:r w:rsidRPr="00DA41A0">
        <w:rPr>
          <w:rFonts w:ascii="Times New Roman" w:hAnsi="Times New Roman"/>
          <w:color w:val="000000" w:themeColor="text1"/>
          <w:sz w:val="28"/>
          <w:szCs w:val="28"/>
        </w:rPr>
        <w:t>.URL: https://www.ilo.org/</w:t>
      </w:r>
      <w:r w:rsidRPr="00DA41A0">
        <w:rPr>
          <w:rFonts w:ascii="Times New Roman" w:hAnsi="Times New Roman"/>
          <w:color w:val="000000" w:themeColor="text1"/>
          <w:sz w:val="28"/>
          <w:szCs w:val="28"/>
          <w:lang w:val="en-US"/>
        </w:rPr>
        <w:br/>
      </w:r>
      <w:r w:rsidRPr="00DA41A0">
        <w:rPr>
          <w:rFonts w:ascii="Times New Roman" w:hAnsi="Times New Roman"/>
          <w:color w:val="000000" w:themeColor="text1"/>
          <w:sz w:val="28"/>
          <w:szCs w:val="28"/>
        </w:rPr>
        <w:t>ilc/ILCSessions/100thSession/lang--en/index.htm.</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lastRenderedPageBreak/>
        <w:t>Palmer E.</w:t>
      </w:r>
      <w:r w:rsidRPr="00DA41A0">
        <w:rPr>
          <w:rFonts w:ascii="Times New Roman" w:hAnsi="Times New Roman"/>
          <w:color w:val="000000" w:themeColor="text1"/>
          <w:sz w:val="28"/>
          <w:szCs w:val="28"/>
          <w:lang w:val="en-US"/>
        </w:rPr>
        <w:t>,</w:t>
      </w:r>
      <w:r w:rsidRPr="00DA41A0">
        <w:rPr>
          <w:rFonts w:ascii="Times New Roman" w:hAnsi="Times New Roman"/>
          <w:color w:val="000000" w:themeColor="text1"/>
          <w:sz w:val="28"/>
          <w:szCs w:val="28"/>
        </w:rPr>
        <w:t xml:space="preserve"> Holzmann </w:t>
      </w:r>
      <w:r w:rsidRPr="00DA41A0">
        <w:rPr>
          <w:rFonts w:ascii="Times New Roman" w:hAnsi="Times New Roman"/>
          <w:color w:val="000000" w:themeColor="text1"/>
          <w:sz w:val="28"/>
          <w:szCs w:val="28"/>
          <w:lang w:val="en-US"/>
        </w:rPr>
        <w:t xml:space="preserve">R. </w:t>
      </w:r>
      <w:r w:rsidRPr="00DA41A0">
        <w:rPr>
          <w:rFonts w:ascii="Times New Roman" w:hAnsi="Times New Roman"/>
          <w:color w:val="000000" w:themeColor="text1"/>
          <w:sz w:val="28"/>
          <w:szCs w:val="28"/>
        </w:rPr>
        <w:t>Pension Reform: Issues and Prospects for Non-Financial Defined Contribution (NDC) Schemes. The World Bank</w:t>
      </w:r>
      <w:r w:rsidRPr="00DA41A0">
        <w:rPr>
          <w:rFonts w:ascii="Times New Roman" w:hAnsi="Times New Roman"/>
          <w:color w:val="000000" w:themeColor="text1"/>
          <w:sz w:val="28"/>
          <w:szCs w:val="28"/>
          <w:lang w:val="en-US"/>
        </w:rPr>
        <w:t xml:space="preserve">. </w:t>
      </w:r>
      <w:r w:rsidRPr="00DA41A0">
        <w:rPr>
          <w:rFonts w:ascii="Times New Roman" w:hAnsi="Times New Roman"/>
          <w:color w:val="000000" w:themeColor="text1"/>
          <w:sz w:val="28"/>
          <w:szCs w:val="28"/>
        </w:rPr>
        <w:t>Washington, D.C.</w:t>
      </w:r>
      <w:r w:rsidRPr="00DA41A0">
        <w:rPr>
          <w:rFonts w:ascii="Times New Roman" w:hAnsi="Times New Roman"/>
          <w:color w:val="000000" w:themeColor="text1"/>
          <w:sz w:val="28"/>
          <w:szCs w:val="28"/>
          <w:lang w:val="en-US"/>
        </w:rPr>
        <w:t xml:space="preserve"> 2006. 671 p. </w:t>
      </w:r>
    </w:p>
    <w:p w:rsidR="00344DAE" w:rsidRPr="00DA41A0" w:rsidRDefault="00344DAE" w:rsidP="00344DAE">
      <w:pPr>
        <w:pStyle w:val="a6"/>
        <w:numPr>
          <w:ilvl w:val="0"/>
          <w:numId w:val="44"/>
        </w:numPr>
        <w:spacing w:line="360" w:lineRule="auto"/>
        <w:ind w:left="0" w:firstLine="709"/>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Scheubel B. Pensions and fertility back to the roots: The introduction of Bismarck’s pension scheme and the European fertility decline. European Central Bank. Working paper series. 2014. № 1734. </w:t>
      </w:r>
      <w:r w:rsidRPr="00DA41A0">
        <w:rPr>
          <w:rFonts w:ascii="Times New Roman" w:hAnsi="Times New Roman"/>
          <w:color w:val="000000" w:themeColor="text1"/>
          <w:sz w:val="28"/>
          <w:szCs w:val="28"/>
          <w:lang w:val="en-US"/>
        </w:rPr>
        <w:t>49 p.</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Social Security Programs. Social Security Programs Throughout the World: Europe. U.S. Printing Office, 2010. URL:http://www.ssa.gov/</w:t>
      </w:r>
      <w:r w:rsidRPr="00DA41A0">
        <w:rPr>
          <w:rFonts w:ascii="Times New Roman" w:hAnsi="Times New Roman"/>
          <w:color w:val="000000" w:themeColor="text1"/>
          <w:sz w:val="28"/>
          <w:szCs w:val="28"/>
          <w:lang w:val="en-US"/>
        </w:rPr>
        <w:br/>
      </w:r>
      <w:r w:rsidRPr="00DA41A0">
        <w:rPr>
          <w:rFonts w:ascii="Times New Roman" w:hAnsi="Times New Roman"/>
          <w:color w:val="000000" w:themeColor="text1"/>
          <w:sz w:val="28"/>
          <w:szCs w:val="28"/>
        </w:rPr>
        <w:t>policy/docs/progdesc/ssptw.</w:t>
      </w:r>
    </w:p>
    <w:p w:rsidR="00344DAE" w:rsidRPr="00DA41A0" w:rsidRDefault="00344DAE" w:rsidP="00344DAE">
      <w:pPr>
        <w:numPr>
          <w:ilvl w:val="0"/>
          <w:numId w:val="44"/>
        </w:numPr>
        <w:spacing w:after="0" w:line="360" w:lineRule="auto"/>
        <w:ind w:left="0" w:firstLine="709"/>
        <w:contextualSpacing/>
        <w:jc w:val="both"/>
        <w:rPr>
          <w:rFonts w:ascii="Times New Roman" w:hAnsi="Times New Roman"/>
          <w:color w:val="000000" w:themeColor="text1"/>
          <w:sz w:val="28"/>
          <w:szCs w:val="28"/>
        </w:rPr>
      </w:pPr>
      <w:r w:rsidRPr="00DA41A0">
        <w:rPr>
          <w:rFonts w:ascii="Times New Roman" w:hAnsi="Times New Roman"/>
          <w:color w:val="000000" w:themeColor="text1"/>
          <w:sz w:val="28"/>
          <w:szCs w:val="28"/>
        </w:rPr>
        <w:t xml:space="preserve">Xiaohong Huang. An Analysis of Occupational Pension Provision: From Evaluation to Redesign. The Netherlands, 2010. 189 р. </w:t>
      </w:r>
    </w:p>
    <w:p w:rsidR="00344DAE" w:rsidRPr="00DA41A0" w:rsidRDefault="00344DAE" w:rsidP="00344DAE">
      <w:pPr>
        <w:spacing w:after="0" w:line="360" w:lineRule="auto"/>
        <w:ind w:firstLine="709"/>
        <w:contextualSpacing/>
        <w:jc w:val="both"/>
        <w:rPr>
          <w:rFonts w:ascii="Times New Roman" w:hAnsi="Times New Roman"/>
          <w:color w:val="000000" w:themeColor="text1"/>
          <w:sz w:val="28"/>
          <w:szCs w:val="28"/>
        </w:rPr>
      </w:pPr>
    </w:p>
    <w:p w:rsidR="000F19CA" w:rsidRPr="0078696C" w:rsidRDefault="000F19CA" w:rsidP="009551EC">
      <w:pPr>
        <w:contextualSpacing/>
        <w:rPr>
          <w:rFonts w:ascii="Times New Roman" w:hAnsi="Times New Roman"/>
          <w:b/>
          <w:color w:val="000000"/>
          <w:sz w:val="28"/>
          <w:szCs w:val="28"/>
        </w:rPr>
      </w:pPr>
    </w:p>
    <w:p w:rsidR="008C02C6" w:rsidRPr="0078696C" w:rsidRDefault="008C02C6" w:rsidP="008C02C6">
      <w:pPr>
        <w:jc w:val="both"/>
        <w:rPr>
          <w:rFonts w:ascii="Times New Roman" w:hAnsi="Times New Roman"/>
          <w:color w:val="000000"/>
          <w:sz w:val="28"/>
          <w:szCs w:val="28"/>
        </w:rPr>
      </w:pPr>
    </w:p>
    <w:p w:rsidR="00543148" w:rsidRPr="0078696C" w:rsidRDefault="004A397B" w:rsidP="00937B78">
      <w:pPr>
        <w:spacing w:after="0" w:line="360" w:lineRule="auto"/>
        <w:jc w:val="center"/>
        <w:rPr>
          <w:rFonts w:ascii="Times New Roman" w:hAnsi="Times New Roman"/>
          <w:b/>
          <w:color w:val="000000"/>
          <w:sz w:val="28"/>
          <w:szCs w:val="28"/>
        </w:rPr>
      </w:pPr>
      <w:r w:rsidRPr="0078696C">
        <w:rPr>
          <w:rFonts w:ascii="Times New Roman" w:hAnsi="Times New Roman"/>
          <w:b/>
          <w:color w:val="000000"/>
          <w:sz w:val="28"/>
          <w:szCs w:val="28"/>
        </w:rPr>
        <w:br w:type="page"/>
      </w:r>
      <w:r w:rsidR="00B32D2E" w:rsidRPr="0078696C">
        <w:rPr>
          <w:rFonts w:ascii="Times New Roman" w:hAnsi="Times New Roman"/>
          <w:b/>
          <w:color w:val="000000"/>
          <w:sz w:val="28"/>
          <w:szCs w:val="28"/>
        </w:rPr>
        <w:lastRenderedPageBreak/>
        <w:t>Д</w:t>
      </w:r>
      <w:r w:rsidR="00DA740F">
        <w:rPr>
          <w:rFonts w:ascii="Times New Roman" w:hAnsi="Times New Roman"/>
          <w:b/>
          <w:color w:val="000000"/>
          <w:sz w:val="28"/>
          <w:szCs w:val="28"/>
        </w:rPr>
        <w:t xml:space="preserve"> </w:t>
      </w:r>
      <w:r w:rsidR="00B32D2E" w:rsidRPr="0078696C">
        <w:rPr>
          <w:rFonts w:ascii="Times New Roman" w:hAnsi="Times New Roman"/>
          <w:b/>
          <w:color w:val="000000"/>
          <w:sz w:val="28"/>
          <w:szCs w:val="28"/>
        </w:rPr>
        <w:t>О</w:t>
      </w:r>
      <w:r w:rsidR="00DA740F">
        <w:rPr>
          <w:rFonts w:ascii="Times New Roman" w:hAnsi="Times New Roman"/>
          <w:b/>
          <w:color w:val="000000"/>
          <w:sz w:val="28"/>
          <w:szCs w:val="28"/>
        </w:rPr>
        <w:t xml:space="preserve"> </w:t>
      </w:r>
      <w:r w:rsidR="00B32D2E" w:rsidRPr="0078696C">
        <w:rPr>
          <w:rFonts w:ascii="Times New Roman" w:hAnsi="Times New Roman"/>
          <w:b/>
          <w:color w:val="000000"/>
          <w:sz w:val="28"/>
          <w:szCs w:val="28"/>
        </w:rPr>
        <w:t>Д</w:t>
      </w:r>
      <w:r w:rsidR="00DA740F">
        <w:rPr>
          <w:rFonts w:ascii="Times New Roman" w:hAnsi="Times New Roman"/>
          <w:b/>
          <w:color w:val="000000"/>
          <w:sz w:val="28"/>
          <w:szCs w:val="28"/>
        </w:rPr>
        <w:t xml:space="preserve"> </w:t>
      </w:r>
      <w:r w:rsidR="00B32D2E" w:rsidRPr="0078696C">
        <w:rPr>
          <w:rFonts w:ascii="Times New Roman" w:hAnsi="Times New Roman"/>
          <w:b/>
          <w:color w:val="000000"/>
          <w:sz w:val="28"/>
          <w:szCs w:val="28"/>
        </w:rPr>
        <w:t>А</w:t>
      </w:r>
      <w:r w:rsidR="00DA740F">
        <w:rPr>
          <w:rFonts w:ascii="Times New Roman" w:hAnsi="Times New Roman"/>
          <w:b/>
          <w:color w:val="000000"/>
          <w:sz w:val="28"/>
          <w:szCs w:val="28"/>
        </w:rPr>
        <w:t xml:space="preserve"> </w:t>
      </w:r>
      <w:r w:rsidR="00B32D2E" w:rsidRPr="0078696C">
        <w:rPr>
          <w:rFonts w:ascii="Times New Roman" w:hAnsi="Times New Roman"/>
          <w:b/>
          <w:color w:val="000000"/>
          <w:sz w:val="28"/>
          <w:szCs w:val="28"/>
        </w:rPr>
        <w:t>Т</w:t>
      </w:r>
      <w:r w:rsidR="00DA740F">
        <w:rPr>
          <w:rFonts w:ascii="Times New Roman" w:hAnsi="Times New Roman"/>
          <w:b/>
          <w:color w:val="000000"/>
          <w:sz w:val="28"/>
          <w:szCs w:val="28"/>
        </w:rPr>
        <w:t xml:space="preserve"> </w:t>
      </w:r>
      <w:r w:rsidR="00B32D2E" w:rsidRPr="0078696C">
        <w:rPr>
          <w:rFonts w:ascii="Times New Roman" w:hAnsi="Times New Roman"/>
          <w:b/>
          <w:color w:val="000000"/>
          <w:sz w:val="28"/>
          <w:szCs w:val="28"/>
        </w:rPr>
        <w:t>К</w:t>
      </w:r>
      <w:r w:rsidR="00DA740F">
        <w:rPr>
          <w:rFonts w:ascii="Times New Roman" w:hAnsi="Times New Roman"/>
          <w:b/>
          <w:color w:val="000000"/>
          <w:sz w:val="28"/>
          <w:szCs w:val="28"/>
        </w:rPr>
        <w:t xml:space="preserve"> </w:t>
      </w:r>
      <w:r w:rsidR="00B32D2E" w:rsidRPr="0078696C">
        <w:rPr>
          <w:rFonts w:ascii="Times New Roman" w:hAnsi="Times New Roman"/>
          <w:b/>
          <w:color w:val="000000"/>
          <w:sz w:val="28"/>
          <w:szCs w:val="28"/>
        </w:rPr>
        <w:t>И</w:t>
      </w:r>
    </w:p>
    <w:p w:rsidR="00DB76DF" w:rsidRPr="0078696C" w:rsidRDefault="00937B78" w:rsidP="00937B78">
      <w:pPr>
        <w:spacing w:after="0" w:line="360" w:lineRule="auto"/>
        <w:rPr>
          <w:rFonts w:ascii="Times New Roman" w:hAnsi="Times New Roman"/>
          <w:b/>
          <w:color w:val="000000"/>
          <w:sz w:val="28"/>
          <w:szCs w:val="28"/>
        </w:rPr>
      </w:pPr>
      <w:r w:rsidRPr="0078696C">
        <w:rPr>
          <w:rFonts w:ascii="Times New Roman" w:hAnsi="Times New Roman"/>
          <w:b/>
          <w:color w:val="000000"/>
          <w:sz w:val="28"/>
          <w:szCs w:val="28"/>
        </w:rPr>
        <w:t>Додаток А. Довідки про впровадження</w:t>
      </w:r>
      <w:bookmarkStart w:id="0" w:name="_GoBack"/>
      <w:bookmarkEnd w:id="0"/>
      <w:r w:rsidR="00C51A4F">
        <w:rPr>
          <w:rFonts w:ascii="Times New Roman" w:hAnsi="Times New Roman"/>
          <w:b/>
          <w:color w:val="000000"/>
          <w:sz w:val="28"/>
          <w:szCs w:val="28"/>
        </w:rPr>
        <w:t xml:space="preserve"> </w:t>
      </w:r>
      <w:r w:rsidRPr="0078696C">
        <w:rPr>
          <w:rFonts w:ascii="Times New Roman" w:hAnsi="Times New Roman"/>
          <w:b/>
          <w:color w:val="000000"/>
          <w:sz w:val="28"/>
          <w:szCs w:val="28"/>
        </w:rPr>
        <w:t>результатів наукового дослідження</w:t>
      </w:r>
    </w:p>
    <w:p w:rsidR="00DB76DF" w:rsidRPr="0078696C" w:rsidRDefault="00DB76DF" w:rsidP="00937B78">
      <w:pPr>
        <w:spacing w:after="0" w:line="360" w:lineRule="auto"/>
        <w:jc w:val="right"/>
        <w:rPr>
          <w:rFonts w:ascii="Times New Roman" w:hAnsi="Times New Roman"/>
          <w:b/>
          <w:color w:val="000000"/>
          <w:sz w:val="28"/>
          <w:szCs w:val="28"/>
        </w:rPr>
      </w:pPr>
      <w:r w:rsidRPr="0078696C">
        <w:rPr>
          <w:rFonts w:ascii="Times New Roman" w:hAnsi="Times New Roman"/>
          <w:b/>
          <w:color w:val="000000"/>
          <w:sz w:val="28"/>
          <w:szCs w:val="28"/>
        </w:rPr>
        <w:t>Додаток А.1</w:t>
      </w:r>
    </w:p>
    <w:p w:rsidR="00DB76DF" w:rsidRPr="0078696C" w:rsidRDefault="0055017C" w:rsidP="00DB76DF">
      <w:pPr>
        <w:jc w:val="right"/>
        <w:rPr>
          <w:rFonts w:ascii="Times New Roman" w:hAnsi="Times New Roman"/>
          <w:b/>
          <w:color w:val="000000"/>
          <w:sz w:val="28"/>
          <w:szCs w:val="28"/>
        </w:rPr>
      </w:pPr>
      <w:r w:rsidRPr="0078696C">
        <w:rPr>
          <w:rFonts w:ascii="Times New Roman" w:hAnsi="Times New Roman"/>
          <w:b/>
          <w:noProof/>
          <w:color w:val="000000"/>
          <w:sz w:val="28"/>
          <w:szCs w:val="28"/>
          <w:lang w:eastAsia="uk-UA"/>
        </w:rPr>
        <w:drawing>
          <wp:inline distT="0" distB="0" distL="0" distR="0">
            <wp:extent cx="6115050" cy="8267700"/>
            <wp:effectExtent l="0" t="0" r="0" b="0"/>
            <wp:docPr id="5" name="Рисунок 3" descr="C:\Users\Natalya\Pictures\2019-06-10 Довідка-впровадження Калуське ОУ ПФУ\Довідка-впровадження Калуське ОУ ПФУ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Natalya\Pictures\2019-06-10 Довідка-впровадження Калуське ОУ ПФУ\Довідка-впровадження Калуське ОУ ПФУ 001.jpg"/>
                    <pic:cNvPicPr>
                      <a:picLocks noChangeAspect="1" noChangeArrowheads="1"/>
                    </pic:cNvPicPr>
                  </pic:nvPicPr>
                  <pic:blipFill>
                    <a:blip r:embed="rId8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8267700"/>
                    </a:xfrm>
                    <a:prstGeom prst="rect">
                      <a:avLst/>
                    </a:prstGeom>
                    <a:noFill/>
                    <a:ln>
                      <a:noFill/>
                    </a:ln>
                  </pic:spPr>
                </pic:pic>
              </a:graphicData>
            </a:graphic>
          </wp:inline>
        </w:drawing>
      </w:r>
    </w:p>
    <w:p w:rsidR="007E41ED" w:rsidRPr="0078696C" w:rsidRDefault="007E41ED" w:rsidP="00DB76DF">
      <w:pPr>
        <w:jc w:val="right"/>
        <w:rPr>
          <w:rFonts w:ascii="Times New Roman" w:hAnsi="Times New Roman"/>
          <w:b/>
          <w:color w:val="000000"/>
          <w:sz w:val="28"/>
          <w:szCs w:val="28"/>
        </w:rPr>
      </w:pPr>
      <w:r w:rsidRPr="0078696C">
        <w:rPr>
          <w:rFonts w:ascii="Times New Roman" w:hAnsi="Times New Roman"/>
          <w:b/>
          <w:color w:val="000000"/>
          <w:sz w:val="28"/>
          <w:szCs w:val="28"/>
        </w:rPr>
        <w:lastRenderedPageBreak/>
        <w:t>Додаток А.2</w:t>
      </w:r>
    </w:p>
    <w:p w:rsidR="00795E62" w:rsidRPr="0078696C" w:rsidRDefault="0055017C" w:rsidP="00B742C6">
      <w:pPr>
        <w:spacing w:after="0" w:line="360" w:lineRule="auto"/>
        <w:jc w:val="both"/>
        <w:rPr>
          <w:rFonts w:ascii="Times New Roman" w:hAnsi="Times New Roman"/>
          <w:color w:val="000000"/>
          <w:sz w:val="28"/>
          <w:szCs w:val="28"/>
        </w:rPr>
      </w:pPr>
      <w:r w:rsidRPr="0078696C">
        <w:rPr>
          <w:rFonts w:ascii="Times New Roman" w:hAnsi="Times New Roman"/>
          <w:noProof/>
          <w:color w:val="000000"/>
          <w:sz w:val="28"/>
          <w:szCs w:val="28"/>
          <w:lang w:eastAsia="uk-UA"/>
        </w:rPr>
        <w:drawing>
          <wp:inline distT="0" distB="0" distL="0" distR="0">
            <wp:extent cx="6115050" cy="8420100"/>
            <wp:effectExtent l="0" t="0" r="0" b="0"/>
            <wp:docPr id="6" name="Рисунок 4" descr="C:\Users\Natalya\Pictures\2019-06-10 Довідка-впровадження ГУ ПФУ в Івано-Франківській області\Довідка-впровадження ГУ ПФУ в Івано-Франківській області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Natalya\Pictures\2019-06-10 Довідка-впровадження ГУ ПФУ в Івано-Франківській області\Довідка-впровадження ГУ ПФУ в Івано-Франківській області 001.jpg"/>
                    <pic:cNvPicPr>
                      <a:picLocks noChangeAspect="1" noChangeArrowheads="1"/>
                    </pic:cNvPicPr>
                  </pic:nvPicPr>
                  <pic:blipFill>
                    <a:blip r:embed="rId8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8420100"/>
                    </a:xfrm>
                    <a:prstGeom prst="rect">
                      <a:avLst/>
                    </a:prstGeom>
                    <a:noFill/>
                    <a:ln>
                      <a:noFill/>
                    </a:ln>
                  </pic:spPr>
                </pic:pic>
              </a:graphicData>
            </a:graphic>
          </wp:inline>
        </w:drawing>
      </w:r>
    </w:p>
    <w:p w:rsidR="00795E62" w:rsidRPr="0078696C" w:rsidRDefault="00795E62" w:rsidP="00795E62">
      <w:pPr>
        <w:rPr>
          <w:rFonts w:ascii="Times New Roman" w:hAnsi="Times New Roman"/>
          <w:color w:val="000000"/>
          <w:sz w:val="28"/>
          <w:szCs w:val="28"/>
        </w:rPr>
      </w:pPr>
    </w:p>
    <w:p w:rsidR="003106AC" w:rsidRPr="0078696C" w:rsidRDefault="00B742C6" w:rsidP="00B742C6">
      <w:pPr>
        <w:jc w:val="right"/>
        <w:rPr>
          <w:rFonts w:ascii="Times New Roman" w:hAnsi="Times New Roman"/>
          <w:b/>
          <w:color w:val="000000"/>
          <w:sz w:val="28"/>
          <w:szCs w:val="28"/>
        </w:rPr>
      </w:pPr>
      <w:r w:rsidRPr="0078696C">
        <w:rPr>
          <w:rFonts w:ascii="Times New Roman" w:hAnsi="Times New Roman"/>
          <w:b/>
          <w:color w:val="000000"/>
          <w:sz w:val="28"/>
          <w:szCs w:val="28"/>
        </w:rPr>
        <w:lastRenderedPageBreak/>
        <w:t>Додаток А.3</w:t>
      </w:r>
    </w:p>
    <w:p w:rsidR="00996661" w:rsidRPr="0078696C" w:rsidRDefault="0055017C" w:rsidP="00B742C6">
      <w:pPr>
        <w:jc w:val="right"/>
        <w:rPr>
          <w:rFonts w:ascii="Times New Roman" w:hAnsi="Times New Roman"/>
          <w:b/>
          <w:color w:val="000000"/>
          <w:sz w:val="28"/>
          <w:szCs w:val="28"/>
        </w:rPr>
      </w:pPr>
      <w:r w:rsidRPr="0078696C">
        <w:rPr>
          <w:rFonts w:ascii="Times New Roman" w:hAnsi="Times New Roman"/>
          <w:b/>
          <w:noProof/>
          <w:color w:val="000000"/>
          <w:sz w:val="28"/>
          <w:szCs w:val="28"/>
          <w:lang w:eastAsia="uk-UA"/>
        </w:rPr>
        <w:drawing>
          <wp:inline distT="0" distB="0" distL="0" distR="0">
            <wp:extent cx="6115050" cy="8420100"/>
            <wp:effectExtent l="0" t="0" r="0" b="0"/>
            <wp:docPr id="7" name="Рисунок 5" descr="C:\Users\Natalya\Pictures\2019-06-10 Довідка-впровадження ГУ ПФУ в Закарпатській області\Довідка-впровадження ГУ ПФУ в Закарпатській області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Users\Natalya\Pictures\2019-06-10 Довідка-впровадження ГУ ПФУ в Закарпатській області\Довідка-впровадження ГУ ПФУ в Закарпатській області 001.jpg"/>
                    <pic:cNvPicPr>
                      <a:picLocks noChangeAspect="1" noChangeArrowheads="1"/>
                    </pic:cNvPicPr>
                  </pic:nvPicPr>
                  <pic:blipFill>
                    <a:blip r:embed="rId8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8420100"/>
                    </a:xfrm>
                    <a:prstGeom prst="rect">
                      <a:avLst/>
                    </a:prstGeom>
                    <a:noFill/>
                    <a:ln>
                      <a:noFill/>
                    </a:ln>
                  </pic:spPr>
                </pic:pic>
              </a:graphicData>
            </a:graphic>
          </wp:inline>
        </w:drawing>
      </w:r>
    </w:p>
    <w:p w:rsidR="00B742C6" w:rsidRPr="0078696C" w:rsidRDefault="00996661" w:rsidP="004E4411">
      <w:pPr>
        <w:jc w:val="right"/>
        <w:rPr>
          <w:rFonts w:ascii="Times New Roman" w:hAnsi="Times New Roman"/>
          <w:b/>
          <w:color w:val="000000"/>
          <w:sz w:val="28"/>
          <w:szCs w:val="28"/>
        </w:rPr>
      </w:pPr>
      <w:r w:rsidRPr="0078696C">
        <w:rPr>
          <w:rFonts w:ascii="Times New Roman" w:hAnsi="Times New Roman"/>
          <w:b/>
          <w:color w:val="000000"/>
          <w:sz w:val="28"/>
          <w:szCs w:val="28"/>
        </w:rPr>
        <w:br w:type="page"/>
      </w:r>
      <w:r w:rsidRPr="0078696C">
        <w:rPr>
          <w:rFonts w:ascii="Times New Roman" w:hAnsi="Times New Roman"/>
          <w:b/>
          <w:color w:val="000000"/>
          <w:sz w:val="28"/>
          <w:szCs w:val="28"/>
        </w:rPr>
        <w:lastRenderedPageBreak/>
        <w:t>Додаток А.4</w:t>
      </w:r>
    </w:p>
    <w:p w:rsidR="004C23E1" w:rsidRPr="0078696C" w:rsidRDefault="0055017C" w:rsidP="00B742C6">
      <w:pPr>
        <w:jc w:val="right"/>
        <w:rPr>
          <w:rFonts w:ascii="Times New Roman" w:hAnsi="Times New Roman"/>
          <w:b/>
          <w:color w:val="000000"/>
          <w:sz w:val="28"/>
          <w:szCs w:val="28"/>
        </w:rPr>
      </w:pPr>
      <w:r w:rsidRPr="0078696C">
        <w:rPr>
          <w:rFonts w:ascii="Times New Roman" w:hAnsi="Times New Roman"/>
          <w:noProof/>
          <w:color w:val="000000"/>
          <w:sz w:val="28"/>
          <w:szCs w:val="28"/>
          <w:lang w:eastAsia="uk-UA"/>
        </w:rPr>
        <w:drawing>
          <wp:inline distT="0" distB="0" distL="0" distR="0">
            <wp:extent cx="6115050" cy="8420100"/>
            <wp:effectExtent l="0" t="0" r="0" b="0"/>
            <wp:docPr id="8" name="Рисунок 6" descr="C:\Users\Natalya\Pictures\2019-06-10 Довідка-впровадження Департамент соцполітики ОДА\Довідка-впровадження Департамент соцполітики ОДА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Users\Natalya\Pictures\2019-06-10 Довідка-впровадження Департамент соцполітики ОДА\Довідка-впровадження Департамент соцполітики ОДА 001.jpg"/>
                    <pic:cNvPicPr>
                      <a:picLocks noChangeAspect="1" noChangeArrowheads="1"/>
                    </pic:cNvPicPr>
                  </pic:nvPicPr>
                  <pic:blipFill>
                    <a:blip r:embed="rId8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8420100"/>
                    </a:xfrm>
                    <a:prstGeom prst="rect">
                      <a:avLst/>
                    </a:prstGeom>
                    <a:noFill/>
                    <a:ln>
                      <a:noFill/>
                    </a:ln>
                  </pic:spPr>
                </pic:pic>
              </a:graphicData>
            </a:graphic>
          </wp:inline>
        </w:drawing>
      </w:r>
    </w:p>
    <w:p w:rsidR="004C23E1" w:rsidRPr="0078696C" w:rsidRDefault="004C23E1">
      <w:pPr>
        <w:rPr>
          <w:rFonts w:ascii="Times New Roman" w:hAnsi="Times New Roman"/>
          <w:b/>
          <w:color w:val="000000"/>
          <w:sz w:val="28"/>
          <w:szCs w:val="28"/>
        </w:rPr>
      </w:pPr>
      <w:r w:rsidRPr="0078696C">
        <w:rPr>
          <w:rFonts w:ascii="Times New Roman" w:hAnsi="Times New Roman"/>
          <w:b/>
          <w:color w:val="000000"/>
          <w:sz w:val="28"/>
          <w:szCs w:val="28"/>
        </w:rPr>
        <w:br w:type="page"/>
      </w:r>
    </w:p>
    <w:p w:rsidR="00CE169C" w:rsidRPr="0078696C" w:rsidRDefault="004C23E1" w:rsidP="00B742C6">
      <w:pPr>
        <w:jc w:val="right"/>
        <w:rPr>
          <w:rFonts w:ascii="Times New Roman" w:hAnsi="Times New Roman"/>
          <w:b/>
          <w:color w:val="000000"/>
          <w:sz w:val="28"/>
          <w:szCs w:val="28"/>
        </w:rPr>
      </w:pPr>
      <w:r w:rsidRPr="0078696C">
        <w:rPr>
          <w:rFonts w:ascii="Times New Roman" w:hAnsi="Times New Roman"/>
          <w:b/>
          <w:color w:val="000000"/>
          <w:sz w:val="28"/>
          <w:szCs w:val="28"/>
        </w:rPr>
        <w:lastRenderedPageBreak/>
        <w:t>Додаток А.5</w:t>
      </w:r>
    </w:p>
    <w:p w:rsidR="004F7389" w:rsidRPr="0078696C" w:rsidRDefault="0055017C" w:rsidP="00B742C6">
      <w:pPr>
        <w:jc w:val="right"/>
        <w:rPr>
          <w:rFonts w:ascii="Times New Roman" w:hAnsi="Times New Roman"/>
          <w:b/>
          <w:color w:val="000000"/>
          <w:sz w:val="28"/>
          <w:szCs w:val="28"/>
        </w:rPr>
      </w:pPr>
      <w:r w:rsidRPr="0078696C">
        <w:rPr>
          <w:rFonts w:ascii="Times New Roman" w:hAnsi="Times New Roman"/>
          <w:b/>
          <w:noProof/>
          <w:color w:val="000000"/>
          <w:sz w:val="28"/>
          <w:szCs w:val="28"/>
          <w:lang w:eastAsia="uk-UA"/>
        </w:rPr>
        <w:drawing>
          <wp:inline distT="0" distB="0" distL="0" distR="0">
            <wp:extent cx="6115050" cy="8420100"/>
            <wp:effectExtent l="0" t="0" r="0" b="0"/>
            <wp:docPr id="9" name="Рисунок 7" descr="C:\Users\Natalya\Pictures\2019-06-10 Довідка-впровадження ГУ ПФУ в Чернівецькій області\Довідка-впровадження ГУ ПФУ в Чернівецькій області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Users\Natalya\Pictures\2019-06-10 Довідка-впровадження ГУ ПФУ в Чернівецькій області\Довідка-впровадження ГУ ПФУ в Чернівецькій області 001.jpg"/>
                    <pic:cNvPicPr>
                      <a:picLocks noChangeAspect="1" noChangeArrowheads="1"/>
                    </pic:cNvPicPr>
                  </pic:nvPicPr>
                  <pic:blipFill>
                    <a:blip r:embed="rId8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8420100"/>
                    </a:xfrm>
                    <a:prstGeom prst="rect">
                      <a:avLst/>
                    </a:prstGeom>
                    <a:noFill/>
                    <a:ln>
                      <a:noFill/>
                    </a:ln>
                  </pic:spPr>
                </pic:pic>
              </a:graphicData>
            </a:graphic>
          </wp:inline>
        </w:drawing>
      </w:r>
    </w:p>
    <w:p w:rsidR="009C3A70" w:rsidRPr="0078696C" w:rsidRDefault="004F7389" w:rsidP="00AB6073">
      <w:pPr>
        <w:jc w:val="right"/>
        <w:rPr>
          <w:rFonts w:ascii="Times New Roman" w:hAnsi="Times New Roman"/>
          <w:b/>
          <w:color w:val="000000"/>
          <w:sz w:val="28"/>
          <w:szCs w:val="28"/>
        </w:rPr>
      </w:pPr>
      <w:r w:rsidRPr="0078696C">
        <w:rPr>
          <w:rFonts w:ascii="Times New Roman" w:hAnsi="Times New Roman"/>
          <w:b/>
          <w:color w:val="000000"/>
          <w:sz w:val="28"/>
          <w:szCs w:val="28"/>
        </w:rPr>
        <w:br w:type="page"/>
      </w:r>
      <w:r w:rsidR="005E40EE" w:rsidRPr="0078696C">
        <w:rPr>
          <w:rFonts w:ascii="Times New Roman" w:hAnsi="Times New Roman"/>
          <w:b/>
          <w:color w:val="000000"/>
          <w:sz w:val="28"/>
          <w:szCs w:val="28"/>
        </w:rPr>
        <w:lastRenderedPageBreak/>
        <w:t>Додаток Б</w:t>
      </w:r>
      <w:r w:rsidR="00D97C5D" w:rsidRPr="0078696C">
        <w:rPr>
          <w:rFonts w:ascii="Times New Roman" w:hAnsi="Times New Roman"/>
          <w:b/>
          <w:color w:val="000000"/>
          <w:sz w:val="28"/>
          <w:szCs w:val="28"/>
        </w:rPr>
        <w:t>.1</w:t>
      </w:r>
    </w:p>
    <w:p w:rsidR="009C3A70" w:rsidRPr="0078696C" w:rsidRDefault="008E3251" w:rsidP="008E3251">
      <w:pPr>
        <w:jc w:val="center"/>
        <w:rPr>
          <w:rFonts w:ascii="Times New Roman" w:hAnsi="Times New Roman"/>
          <w:b/>
          <w:color w:val="000000"/>
          <w:sz w:val="28"/>
          <w:szCs w:val="28"/>
        </w:rPr>
      </w:pPr>
      <w:r w:rsidRPr="0078696C">
        <w:rPr>
          <w:rFonts w:ascii="Times New Roman" w:hAnsi="Times New Roman"/>
          <w:b/>
          <w:color w:val="000000"/>
          <w:sz w:val="28"/>
          <w:szCs w:val="28"/>
        </w:rPr>
        <w:t xml:space="preserve">Генезис становлення та розвитку системи пенсійного </w:t>
      </w:r>
      <w:r w:rsidR="00D97C5D" w:rsidRPr="0078696C">
        <w:rPr>
          <w:rFonts w:ascii="Times New Roman" w:hAnsi="Times New Roman"/>
          <w:b/>
          <w:color w:val="000000"/>
          <w:sz w:val="28"/>
          <w:szCs w:val="28"/>
        </w:rPr>
        <w:t>забезпечення</w:t>
      </w:r>
      <w:r w:rsidRPr="0078696C">
        <w:rPr>
          <w:rFonts w:ascii="Times New Roman" w:hAnsi="Times New Roman"/>
          <w:b/>
          <w:color w:val="000000"/>
          <w:sz w:val="28"/>
          <w:szCs w:val="28"/>
        </w:rPr>
        <w:t xml:space="preserve"> на українських землях на різних етапах історії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7904"/>
      </w:tblGrid>
      <w:tr w:rsidR="009C3A70" w:rsidRPr="0078696C" w:rsidTr="00214CD0">
        <w:tc>
          <w:tcPr>
            <w:tcW w:w="1951" w:type="dxa"/>
          </w:tcPr>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Російська імперія</w:t>
            </w:r>
          </w:p>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(Київська, Подільська, Волинська, Чернігівська, Полтавська, Катеринославська, Таврійська, Херсонська та Харківська губернії)</w:t>
            </w:r>
          </w:p>
        </w:tc>
        <w:tc>
          <w:tcPr>
            <w:tcW w:w="7904" w:type="dxa"/>
          </w:tcPr>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На початок ХХ ст. на українських землях, які входили до складу Російської імперії діяв прототип трирівневої пенсійної системи:</w:t>
            </w:r>
          </w:p>
          <w:p w:rsidR="009C3A70" w:rsidRPr="0078696C" w:rsidRDefault="009C3A70" w:rsidP="00AB6073">
            <w:pPr>
              <w:spacing w:after="0" w:line="240" w:lineRule="auto"/>
              <w:jc w:val="both"/>
              <w:rPr>
                <w:rFonts w:ascii="Times New Roman" w:hAnsi="Times New Roman"/>
                <w:i/>
                <w:color w:val="000000"/>
                <w:sz w:val="28"/>
                <w:szCs w:val="28"/>
              </w:rPr>
            </w:pPr>
            <w:r w:rsidRPr="0078696C">
              <w:rPr>
                <w:rFonts w:ascii="Times New Roman" w:hAnsi="Times New Roman"/>
                <w:i/>
                <w:color w:val="000000"/>
                <w:sz w:val="28"/>
                <w:szCs w:val="28"/>
              </w:rPr>
              <w:t>1 рівень - державні пенсії (в сучасному розумінні – спецпенсії):</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1803 р. – запроваджена  виплата пенсій військовослужбовцям;</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1827 р. – «Загальний статут про пенсії та одноразові виплати» – запроваджено пенсії державним службовцям та членам їх сімей (даний підхід був відновлений в Україні після 1991 року: </w:t>
            </w:r>
            <w:r w:rsidR="008E6F7C" w:rsidRPr="0078696C">
              <w:rPr>
                <w:rFonts w:ascii="Times New Roman" w:hAnsi="Times New Roman"/>
                <w:color w:val="000000"/>
                <w:sz w:val="28"/>
                <w:szCs w:val="28"/>
              </w:rPr>
              <w:t>Закони України «</w:t>
            </w:r>
            <w:r w:rsidRPr="0078696C">
              <w:rPr>
                <w:rFonts w:ascii="Times New Roman" w:hAnsi="Times New Roman"/>
                <w:color w:val="000000"/>
                <w:sz w:val="28"/>
                <w:szCs w:val="28"/>
              </w:rPr>
              <w:t xml:space="preserve">Про </w:t>
            </w:r>
            <w:r w:rsidR="008E6F7C" w:rsidRPr="0078696C">
              <w:rPr>
                <w:rFonts w:ascii="Times New Roman" w:hAnsi="Times New Roman"/>
                <w:color w:val="000000"/>
                <w:sz w:val="28"/>
                <w:szCs w:val="28"/>
              </w:rPr>
              <w:t>прокуратуру», «</w:t>
            </w:r>
            <w:r w:rsidRPr="0078696C">
              <w:rPr>
                <w:rFonts w:ascii="Times New Roman" w:hAnsi="Times New Roman"/>
                <w:color w:val="000000"/>
                <w:sz w:val="28"/>
                <w:szCs w:val="28"/>
              </w:rPr>
              <w:t>Про судоустрій та статус с</w:t>
            </w:r>
            <w:r w:rsidR="008E6F7C" w:rsidRPr="0078696C">
              <w:rPr>
                <w:rFonts w:ascii="Times New Roman" w:hAnsi="Times New Roman"/>
                <w:color w:val="000000"/>
                <w:sz w:val="28"/>
                <w:szCs w:val="28"/>
              </w:rPr>
              <w:t>уддів», «</w:t>
            </w:r>
            <w:r w:rsidRPr="0078696C">
              <w:rPr>
                <w:rFonts w:ascii="Times New Roman" w:hAnsi="Times New Roman"/>
                <w:color w:val="000000"/>
                <w:sz w:val="28"/>
                <w:szCs w:val="28"/>
              </w:rPr>
              <w:t>Про держ</w:t>
            </w:r>
            <w:r w:rsidR="008E6F7C" w:rsidRPr="0078696C">
              <w:rPr>
                <w:rFonts w:ascii="Times New Roman" w:hAnsi="Times New Roman"/>
                <w:color w:val="000000"/>
                <w:sz w:val="28"/>
                <w:szCs w:val="28"/>
              </w:rPr>
              <w:t>авну службу»</w:t>
            </w:r>
            <w:r w:rsidRPr="0078696C">
              <w:rPr>
                <w:rFonts w:ascii="Times New Roman" w:hAnsi="Times New Roman"/>
                <w:color w:val="000000"/>
                <w:sz w:val="28"/>
                <w:szCs w:val="28"/>
              </w:rPr>
              <w:t xml:space="preserve"> тощо);</w:t>
            </w:r>
          </w:p>
          <w:p w:rsidR="009C3A70" w:rsidRPr="0078696C" w:rsidRDefault="009C3A70" w:rsidP="00AB6073">
            <w:pPr>
              <w:spacing w:after="0" w:line="240" w:lineRule="auto"/>
              <w:jc w:val="both"/>
              <w:rPr>
                <w:rFonts w:ascii="Times New Roman" w:hAnsi="Times New Roman"/>
                <w:i/>
                <w:color w:val="000000"/>
                <w:sz w:val="28"/>
                <w:szCs w:val="28"/>
              </w:rPr>
            </w:pPr>
            <w:r w:rsidRPr="0078696C">
              <w:rPr>
                <w:rFonts w:ascii="Times New Roman" w:hAnsi="Times New Roman"/>
                <w:i/>
                <w:color w:val="000000"/>
                <w:sz w:val="28"/>
                <w:szCs w:val="28"/>
              </w:rPr>
              <w:t>2 рівень – емеритальні пенсії (подібно до сучасної страхової солідарної пенсійної системи):</w:t>
            </w:r>
          </w:p>
          <w:p w:rsidR="009C3A70" w:rsidRPr="0078696C" w:rsidRDefault="008E6F7C" w:rsidP="00AB6073">
            <w:pPr>
              <w:autoSpaceDE w:val="0"/>
              <w:autoSpaceDN w:val="0"/>
              <w:adjustRightInd w:val="0"/>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w:t>
            </w:r>
            <w:r w:rsidR="009C3A70" w:rsidRPr="0078696C">
              <w:rPr>
                <w:rFonts w:ascii="Times New Roman" w:hAnsi="Times New Roman"/>
                <w:color w:val="000000"/>
                <w:sz w:val="28"/>
                <w:szCs w:val="28"/>
              </w:rPr>
              <w:t>Тимчасові правила про пенсії працівникам казенних заводів і рудників, які втратили працездатність</w:t>
            </w:r>
            <w:r w:rsidRPr="0078696C">
              <w:rPr>
                <w:rFonts w:ascii="Times New Roman" w:hAnsi="Times New Roman"/>
                <w:color w:val="000000"/>
                <w:sz w:val="28"/>
                <w:szCs w:val="28"/>
              </w:rPr>
              <w:t xml:space="preserve"> на заводських і рудних роботах»</w:t>
            </w:r>
            <w:r w:rsidR="009C3A70" w:rsidRPr="0078696C">
              <w:rPr>
                <w:rFonts w:ascii="Times New Roman" w:hAnsi="Times New Roman"/>
                <w:color w:val="000000"/>
                <w:sz w:val="28"/>
                <w:szCs w:val="28"/>
              </w:rPr>
              <w:t xml:space="preserve"> від </w:t>
            </w:r>
            <w:r w:rsidRPr="0078696C">
              <w:rPr>
                <w:rFonts w:ascii="Times New Roman" w:hAnsi="Times New Roman"/>
                <w:color w:val="000000"/>
                <w:sz w:val="28"/>
                <w:szCs w:val="28"/>
              </w:rPr>
              <w:t>15 травня 1901 р., «Тимчасові правила про пенсії»</w:t>
            </w:r>
            <w:r w:rsidR="009C3A70" w:rsidRPr="0078696C">
              <w:rPr>
                <w:rFonts w:ascii="Times New Roman" w:hAnsi="Times New Roman"/>
                <w:color w:val="000000"/>
                <w:sz w:val="28"/>
                <w:szCs w:val="28"/>
              </w:rPr>
              <w:t xml:space="preserve"> від 9 червня 1904 р., які поширювалися на майстрів і працівників технічних установ Артілерійського управління, </w:t>
            </w:r>
            <w:r w:rsidRPr="0078696C">
              <w:rPr>
                <w:rFonts w:ascii="Times New Roman" w:hAnsi="Times New Roman"/>
                <w:color w:val="000000"/>
                <w:sz w:val="28"/>
                <w:szCs w:val="28"/>
              </w:rPr>
              <w:t>«</w:t>
            </w:r>
            <w:r w:rsidR="009C3A70" w:rsidRPr="0078696C">
              <w:rPr>
                <w:rFonts w:ascii="Times New Roman" w:hAnsi="Times New Roman"/>
                <w:color w:val="000000"/>
                <w:sz w:val="28"/>
                <w:szCs w:val="28"/>
              </w:rPr>
              <w:t xml:space="preserve">Про винагороду працівникам та службовцям, а також їх сімей, які постраждали внаслідок нещасних випадків на підприємства фабрично-заводської, гірничої та </w:t>
            </w:r>
            <w:r w:rsidRPr="0078696C">
              <w:rPr>
                <w:rFonts w:ascii="Times New Roman" w:hAnsi="Times New Roman"/>
                <w:color w:val="000000"/>
                <w:sz w:val="28"/>
                <w:szCs w:val="28"/>
              </w:rPr>
              <w:t>гірничозаводської промисловості»</w:t>
            </w:r>
            <w:r w:rsidR="009C3A70" w:rsidRPr="0078696C">
              <w:rPr>
                <w:rFonts w:ascii="Times New Roman" w:hAnsi="Times New Roman"/>
                <w:color w:val="000000"/>
                <w:sz w:val="28"/>
                <w:szCs w:val="28"/>
              </w:rPr>
              <w:t xml:space="preserve"> від 1 січня 1904 р.</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1912 р.</w:t>
            </w:r>
            <w:r w:rsidR="008E6F7C" w:rsidRPr="0078696C">
              <w:rPr>
                <w:rFonts w:ascii="Times New Roman" w:hAnsi="Times New Roman"/>
                <w:color w:val="000000"/>
                <w:sz w:val="28"/>
                <w:szCs w:val="28"/>
              </w:rPr>
              <w:t>: «</w:t>
            </w:r>
            <w:r w:rsidRPr="0078696C">
              <w:rPr>
                <w:rFonts w:ascii="Times New Roman" w:hAnsi="Times New Roman"/>
                <w:color w:val="000000"/>
                <w:sz w:val="28"/>
                <w:szCs w:val="28"/>
              </w:rPr>
              <w:t>Про страхування робітників від н</w:t>
            </w:r>
            <w:r w:rsidR="008E6F7C" w:rsidRPr="0078696C">
              <w:rPr>
                <w:rFonts w:ascii="Times New Roman" w:hAnsi="Times New Roman"/>
                <w:color w:val="000000"/>
                <w:sz w:val="28"/>
                <w:szCs w:val="28"/>
              </w:rPr>
              <w:t>ещасних випадків на виробництві», «</w:t>
            </w:r>
            <w:r w:rsidRPr="0078696C">
              <w:rPr>
                <w:rFonts w:ascii="Times New Roman" w:hAnsi="Times New Roman"/>
                <w:color w:val="000000"/>
                <w:sz w:val="28"/>
                <w:szCs w:val="28"/>
              </w:rPr>
              <w:t>Про забезпечення працівників на ви</w:t>
            </w:r>
            <w:r w:rsidR="008E6F7C" w:rsidRPr="0078696C">
              <w:rPr>
                <w:rFonts w:ascii="Times New Roman" w:hAnsi="Times New Roman"/>
                <w:color w:val="000000"/>
                <w:sz w:val="28"/>
                <w:szCs w:val="28"/>
              </w:rPr>
              <w:t>падок хвороби», «</w:t>
            </w:r>
            <w:r w:rsidRPr="0078696C">
              <w:rPr>
                <w:rFonts w:ascii="Times New Roman" w:hAnsi="Times New Roman"/>
                <w:color w:val="000000"/>
                <w:sz w:val="28"/>
                <w:szCs w:val="28"/>
              </w:rPr>
              <w:t xml:space="preserve">Про затвердження Ради у </w:t>
            </w:r>
            <w:r w:rsidR="008E6F7C" w:rsidRPr="0078696C">
              <w:rPr>
                <w:rFonts w:ascii="Times New Roman" w:hAnsi="Times New Roman"/>
                <w:color w:val="000000"/>
                <w:sz w:val="28"/>
                <w:szCs w:val="28"/>
              </w:rPr>
              <w:t>справах страхування робітників»</w:t>
            </w:r>
            <w:r w:rsidRPr="0078696C">
              <w:rPr>
                <w:rFonts w:ascii="Times New Roman" w:hAnsi="Times New Roman"/>
                <w:color w:val="000000"/>
                <w:sz w:val="28"/>
                <w:szCs w:val="28"/>
              </w:rPr>
              <w:t xml:space="preserve">; </w:t>
            </w:r>
          </w:p>
          <w:p w:rsidR="009C3A70" w:rsidRPr="0078696C" w:rsidRDefault="009C3A70" w:rsidP="00AB6073">
            <w:pPr>
              <w:spacing w:after="0" w:line="240" w:lineRule="auto"/>
              <w:jc w:val="both"/>
              <w:rPr>
                <w:rFonts w:ascii="Times New Roman" w:hAnsi="Times New Roman"/>
                <w:i/>
                <w:color w:val="000000"/>
                <w:sz w:val="28"/>
                <w:szCs w:val="28"/>
              </w:rPr>
            </w:pPr>
            <w:r w:rsidRPr="0078696C">
              <w:rPr>
                <w:rFonts w:ascii="Times New Roman" w:hAnsi="Times New Roman"/>
                <w:i/>
                <w:color w:val="000000"/>
                <w:sz w:val="28"/>
                <w:szCs w:val="28"/>
              </w:rPr>
              <w:t>3 рівень - накопичувальна пенсія (аналог сучасної пенсії в системі недержавного пенсійного забезпечення).</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В Україні в 1897 р. функціонували попередники нинішніх недержавних пенсійних фондів – понад 200 пенсійних і страхових кас.</w:t>
            </w:r>
          </w:p>
        </w:tc>
      </w:tr>
      <w:tr w:rsidR="009C3A70" w:rsidRPr="0078696C" w:rsidTr="00214CD0">
        <w:tc>
          <w:tcPr>
            <w:tcW w:w="1951" w:type="dxa"/>
          </w:tcPr>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Австро-Угорщина</w:t>
            </w:r>
          </w:p>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(Галичина, Буковина і Закарпаття)</w:t>
            </w:r>
          </w:p>
        </w:tc>
        <w:tc>
          <w:tcPr>
            <w:tcW w:w="7904" w:type="dxa"/>
          </w:tcPr>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1833 р. введені промислові інспекторати, що передбачали заходи для захисту жінок та дітей;</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1854 р. – «Гірничий закон» – перші братські каси на території Галичини, які забезпечували шахтарів (працівників гірничої промисловості) у випадку хвороби або смерті шахтаря;</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1857 р. – створено громадський фонд опіки убогими, з якого виділялись кошти на лікування бідних людей;</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1859 р. – «Промисловий закон» – братські каси хворих на промислових підприємствах;</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1869 р. – створення братських кас для працівників залізничних колій на випадок каліцтва або смерті працівника під час руху </w:t>
            </w:r>
            <w:r w:rsidRPr="0078696C">
              <w:rPr>
                <w:rFonts w:ascii="Times New Roman" w:hAnsi="Times New Roman"/>
                <w:color w:val="000000"/>
                <w:sz w:val="28"/>
                <w:szCs w:val="28"/>
              </w:rPr>
              <w:lastRenderedPageBreak/>
              <w:t>поїзда;</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1887 р. – Закон «Про забезпечення випадків при праці», який стосувався страхування працівників різних галузей виробництва від нещасних випадків;</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1896 р. – регламентація питань виплати пенсій по інвалідності; </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1906 р. – обов’язкове страхування державних службовців (пенсійне й інвалідне). </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Сільське населення й сільські робітники ніяким страхуванням не користувалися.</w:t>
            </w:r>
          </w:p>
        </w:tc>
      </w:tr>
      <w:tr w:rsidR="009C3A70" w:rsidRPr="0078696C" w:rsidTr="00214CD0">
        <w:tc>
          <w:tcPr>
            <w:tcW w:w="1951" w:type="dxa"/>
          </w:tcPr>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lastRenderedPageBreak/>
              <w:t>Польща (Галичина, Холмщина, Підляшшя, Західна Волинь, Західне Полісся, Посяння, Лемківщина)</w:t>
            </w:r>
          </w:p>
        </w:tc>
        <w:tc>
          <w:tcPr>
            <w:tcW w:w="7904" w:type="dxa"/>
          </w:tcPr>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У соціальній сфері за основу було взяте саме прусське законодавство як найбільш прогресивне.</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1919 р. – обов’язкове страхування на випадок хвороби;</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1927 р. – страхування працівників розумової праці;</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1930 р. – Закон «Про організацію та функціонування інституцій соціального страхування» (зіграв позитивну роль у процесі уніфікації</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соціального страхування в єдину систему, став фундаментом</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для подальшого розвитку системи соціального страхування Польщі);</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1933 р.– Закон «Про соціальне страхування» (об’єднав страхування на випадок хвороби і материнства, у разі втрати працездатності, нещасних випадків на виробництві та професійних захворювань, пенсійного страхування як робітників промислових, так і працівників розумової праці та інших видів втрати працездатності). </w:t>
            </w:r>
          </w:p>
        </w:tc>
      </w:tr>
      <w:tr w:rsidR="009C3A70" w:rsidRPr="0078696C" w:rsidTr="00214CD0">
        <w:tc>
          <w:tcPr>
            <w:tcW w:w="1951" w:type="dxa"/>
          </w:tcPr>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Румунія (Буковина та Бессарабія)</w:t>
            </w:r>
          </w:p>
        </w:tc>
        <w:tc>
          <w:tcPr>
            <w:tcW w:w="7904" w:type="dxa"/>
          </w:tcPr>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1933 р. – уніфікований закон щодо соціального забезпечення.</w:t>
            </w:r>
          </w:p>
        </w:tc>
      </w:tr>
      <w:tr w:rsidR="009C3A70" w:rsidRPr="0078696C" w:rsidTr="00214CD0">
        <w:tc>
          <w:tcPr>
            <w:tcW w:w="1951" w:type="dxa"/>
          </w:tcPr>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 xml:space="preserve">Чехословаччина (Закарпаття) </w:t>
            </w:r>
          </w:p>
        </w:tc>
        <w:tc>
          <w:tcPr>
            <w:tcW w:w="7904" w:type="dxa"/>
          </w:tcPr>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1924 р. – уніфікований закон для всієї Чехословаччини;</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1929 р. – Закон «Про пенсійне забезпечення для службовців».</w:t>
            </w:r>
          </w:p>
        </w:tc>
      </w:tr>
      <w:tr w:rsidR="009C3A70" w:rsidRPr="0078696C" w:rsidTr="00214CD0">
        <w:tc>
          <w:tcPr>
            <w:tcW w:w="1951" w:type="dxa"/>
          </w:tcPr>
          <w:p w:rsidR="009C3A70" w:rsidRPr="0078696C" w:rsidRDefault="009C3A70" w:rsidP="00214CD0">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СРСР</w:t>
            </w:r>
          </w:p>
        </w:tc>
        <w:tc>
          <w:tcPr>
            <w:tcW w:w="7904" w:type="dxa"/>
          </w:tcPr>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1919 р. – Декрети РНК УСРР «Про передання пенсійних відділень у підпорядкування Народного Комісаріату Соціального Забезпечення» та </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«Про врегулювання пенсійної справи» (передбачалось пенсійне забезпечення для інвалідів, вдів та сиріт);</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1921 року – Положення</w:t>
            </w:r>
            <w:r w:rsidR="00C51A4F">
              <w:rPr>
                <w:rFonts w:ascii="Times New Roman" w:hAnsi="Times New Roman"/>
                <w:color w:val="000000"/>
                <w:sz w:val="28"/>
                <w:szCs w:val="28"/>
              </w:rPr>
              <w:t xml:space="preserve"> </w:t>
            </w:r>
            <w:r w:rsidRPr="0078696C">
              <w:rPr>
                <w:rFonts w:ascii="Times New Roman" w:hAnsi="Times New Roman"/>
                <w:color w:val="000000"/>
                <w:sz w:val="28"/>
                <w:szCs w:val="28"/>
              </w:rPr>
              <w:t>РНК УСРР «Про соціальне забезпечення робітників і службовців на випадок тимчасової і постійної утрати працездатності і членів їх сімей на випадок смерті годувальника»;</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1925 року – Положення «Про забезпечення в порядку соціального страхування інвалідів праці та членів сімей, померлих або безвісно відсутніх застрахованих та інвалідів праці»;</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1928 р. – пенсійне забезпечення по старості для робітників </w:t>
            </w:r>
            <w:r w:rsidRPr="0078696C">
              <w:rPr>
                <w:rFonts w:ascii="Times New Roman" w:hAnsi="Times New Roman"/>
                <w:color w:val="000000"/>
                <w:sz w:val="28"/>
                <w:szCs w:val="28"/>
              </w:rPr>
              <w:lastRenderedPageBreak/>
              <w:t>підприємств текстильної промисловості</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1936 р. – нова Конституція СРСР, в якій вперше з моменту створення радянської держави визнавалось право громадян СРСР на матеріальне забезпечення в старості, а також у разі хвороби і втрати працездатності; </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1956 р. – Закон СРСР «Про державні пенсії», який систематизував пенсійне законодавство СРСР;</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1964 р. – Закон СРСР «Про пенсії і допомогу членам колгоспів»;</w:t>
            </w:r>
          </w:p>
          <w:p w:rsidR="009C3A70" w:rsidRPr="0078696C" w:rsidRDefault="009C3A70"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1990 р. – Закон СРСР «Про пенсійне забезпечення громадян в СРСР».</w:t>
            </w:r>
          </w:p>
        </w:tc>
      </w:tr>
    </w:tbl>
    <w:p w:rsidR="002C670A" w:rsidRPr="007F3B41" w:rsidRDefault="002C670A" w:rsidP="002C670A">
      <w:pPr>
        <w:jc w:val="center"/>
        <w:rPr>
          <w:rFonts w:ascii="Times New Roman" w:hAnsi="Times New Roman"/>
          <w:color w:val="000000"/>
          <w:sz w:val="10"/>
          <w:szCs w:val="10"/>
          <w:lang w:val="ru-RU"/>
        </w:rPr>
      </w:pPr>
    </w:p>
    <w:p w:rsidR="00ED0846" w:rsidRPr="007F3B41" w:rsidRDefault="002C670A" w:rsidP="002C670A">
      <w:pPr>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7F3B41">
        <w:rPr>
          <w:rFonts w:ascii="Times New Roman" w:hAnsi="Times New Roman"/>
          <w:color w:val="000000"/>
          <w:sz w:val="28"/>
          <w:szCs w:val="28"/>
          <w:lang w:val="ru-RU"/>
        </w:rPr>
        <w:t>[15; 91; 99]</w:t>
      </w:r>
    </w:p>
    <w:p w:rsidR="00BE06BA" w:rsidRPr="0078696C" w:rsidRDefault="009C3A70" w:rsidP="00C808D8">
      <w:pPr>
        <w:jc w:val="right"/>
        <w:rPr>
          <w:rFonts w:ascii="Times New Roman" w:hAnsi="Times New Roman"/>
          <w:b/>
          <w:color w:val="000000"/>
          <w:sz w:val="28"/>
          <w:szCs w:val="28"/>
        </w:rPr>
      </w:pPr>
      <w:r w:rsidRPr="0078696C">
        <w:rPr>
          <w:rFonts w:ascii="Times New Roman" w:hAnsi="Times New Roman"/>
          <w:b/>
          <w:color w:val="000000"/>
          <w:sz w:val="28"/>
          <w:szCs w:val="28"/>
        </w:rPr>
        <w:br w:type="page"/>
      </w:r>
      <w:r w:rsidR="00BE06BA" w:rsidRPr="0078696C">
        <w:rPr>
          <w:rFonts w:ascii="Times New Roman" w:hAnsi="Times New Roman"/>
          <w:b/>
          <w:color w:val="000000"/>
          <w:sz w:val="28"/>
          <w:szCs w:val="28"/>
        </w:rPr>
        <w:lastRenderedPageBreak/>
        <w:t xml:space="preserve">Додаток </w:t>
      </w:r>
      <w:r w:rsidR="00D97C5D" w:rsidRPr="0078696C">
        <w:rPr>
          <w:rFonts w:ascii="Times New Roman" w:hAnsi="Times New Roman"/>
          <w:b/>
          <w:color w:val="000000"/>
          <w:sz w:val="28"/>
          <w:szCs w:val="28"/>
        </w:rPr>
        <w:t>Б.2</w:t>
      </w:r>
    </w:p>
    <w:p w:rsidR="00BE06BA" w:rsidRPr="0078696C" w:rsidRDefault="004D431B" w:rsidP="004D431B">
      <w:pPr>
        <w:jc w:val="center"/>
        <w:rPr>
          <w:rFonts w:ascii="Times New Roman" w:hAnsi="Times New Roman"/>
          <w:b/>
          <w:color w:val="000000"/>
          <w:sz w:val="28"/>
          <w:szCs w:val="28"/>
        </w:rPr>
      </w:pPr>
      <w:r w:rsidRPr="0078696C">
        <w:rPr>
          <w:rFonts w:ascii="Times New Roman" w:hAnsi="Times New Roman"/>
          <w:b/>
          <w:color w:val="000000"/>
          <w:sz w:val="28"/>
          <w:szCs w:val="28"/>
        </w:rPr>
        <w:t xml:space="preserve">Основні етапи реформування пенсійної системи </w:t>
      </w:r>
      <w:r w:rsidR="00D97C5D" w:rsidRPr="0078696C">
        <w:rPr>
          <w:rFonts w:ascii="Times New Roman" w:hAnsi="Times New Roman"/>
          <w:b/>
          <w:color w:val="000000"/>
          <w:sz w:val="28"/>
          <w:szCs w:val="28"/>
        </w:rPr>
        <w:t xml:space="preserve">незалежної </w:t>
      </w:r>
      <w:r w:rsidRPr="0078696C">
        <w:rPr>
          <w:rFonts w:ascii="Times New Roman" w:hAnsi="Times New Roman"/>
          <w:b/>
          <w:color w:val="000000"/>
          <w:sz w:val="28"/>
          <w:szCs w:val="28"/>
        </w:rPr>
        <w:t>України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3"/>
        <w:gridCol w:w="3355"/>
        <w:gridCol w:w="5237"/>
      </w:tblGrid>
      <w:tr w:rsidR="00BE06BA" w:rsidRPr="0078696C" w:rsidTr="00214CD0">
        <w:tc>
          <w:tcPr>
            <w:tcW w:w="1114" w:type="dxa"/>
          </w:tcPr>
          <w:p w:rsidR="00BE06BA" w:rsidRPr="0078696C" w:rsidRDefault="00BE06BA" w:rsidP="00214CD0">
            <w:pPr>
              <w:spacing w:after="0" w:line="240" w:lineRule="auto"/>
              <w:jc w:val="center"/>
              <w:rPr>
                <w:rFonts w:ascii="Times New Roman" w:hAnsi="Times New Roman"/>
                <w:b/>
                <w:color w:val="000000"/>
                <w:sz w:val="28"/>
                <w:szCs w:val="28"/>
              </w:rPr>
            </w:pPr>
            <w:r w:rsidRPr="0078696C">
              <w:rPr>
                <w:rFonts w:ascii="Times New Roman" w:hAnsi="Times New Roman"/>
                <w:b/>
                <w:color w:val="000000"/>
                <w:sz w:val="28"/>
                <w:szCs w:val="28"/>
              </w:rPr>
              <w:t>Період</w:t>
            </w:r>
          </w:p>
        </w:tc>
        <w:tc>
          <w:tcPr>
            <w:tcW w:w="3389" w:type="dxa"/>
          </w:tcPr>
          <w:p w:rsidR="00BE06BA" w:rsidRPr="0078696C" w:rsidRDefault="00BE06BA" w:rsidP="00214CD0">
            <w:pPr>
              <w:spacing w:after="0" w:line="240" w:lineRule="auto"/>
              <w:jc w:val="center"/>
              <w:rPr>
                <w:rFonts w:ascii="Times New Roman" w:hAnsi="Times New Roman"/>
                <w:b/>
                <w:color w:val="000000"/>
                <w:sz w:val="28"/>
                <w:szCs w:val="28"/>
              </w:rPr>
            </w:pPr>
            <w:r w:rsidRPr="0078696C">
              <w:rPr>
                <w:rFonts w:ascii="Times New Roman" w:hAnsi="Times New Roman"/>
                <w:b/>
                <w:color w:val="000000"/>
                <w:sz w:val="28"/>
                <w:szCs w:val="28"/>
              </w:rPr>
              <w:t>Основні нормативно-правові акти</w:t>
            </w:r>
          </w:p>
        </w:tc>
        <w:tc>
          <w:tcPr>
            <w:tcW w:w="5352" w:type="dxa"/>
          </w:tcPr>
          <w:p w:rsidR="00BE06BA" w:rsidRPr="0078696C" w:rsidRDefault="00BE06BA" w:rsidP="00214CD0">
            <w:pPr>
              <w:spacing w:after="0" w:line="240" w:lineRule="auto"/>
              <w:jc w:val="center"/>
              <w:rPr>
                <w:rFonts w:ascii="Times New Roman" w:hAnsi="Times New Roman"/>
                <w:b/>
                <w:color w:val="000000"/>
                <w:sz w:val="28"/>
                <w:szCs w:val="28"/>
              </w:rPr>
            </w:pPr>
            <w:r w:rsidRPr="0078696C">
              <w:rPr>
                <w:rFonts w:ascii="Times New Roman" w:hAnsi="Times New Roman"/>
                <w:b/>
                <w:color w:val="000000"/>
                <w:sz w:val="28"/>
                <w:szCs w:val="28"/>
              </w:rPr>
              <w:t>Характеристика</w:t>
            </w:r>
            <w:r w:rsidR="002F799E" w:rsidRPr="0078696C">
              <w:rPr>
                <w:rFonts w:ascii="Times New Roman" w:hAnsi="Times New Roman"/>
                <w:b/>
                <w:color w:val="000000"/>
                <w:sz w:val="28"/>
                <w:szCs w:val="28"/>
              </w:rPr>
              <w:t xml:space="preserve"> періоду</w:t>
            </w:r>
          </w:p>
        </w:tc>
      </w:tr>
      <w:tr w:rsidR="00BE06BA" w:rsidRPr="0078696C" w:rsidTr="00214CD0">
        <w:tc>
          <w:tcPr>
            <w:tcW w:w="1114"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1991-1997 роки</w:t>
            </w:r>
          </w:p>
        </w:tc>
        <w:tc>
          <w:tcPr>
            <w:tcW w:w="3389"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ЗУ «Про пенсійне забезпечення», «Про державну службу», «Про прокуратуру», «Про статус і соціальний захист громадян, що постраждали внаслідок Чорнобильської катастрофи», «Про статус суддів», «Про наукову та науково-технічну діяльність», «Про статус народного депутата України» та ін.</w:t>
            </w:r>
          </w:p>
        </w:tc>
        <w:tc>
          <w:tcPr>
            <w:tcW w:w="5352"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Створення власної незалежної системи пенсійного забезпечення. Визначення статусу Пенсійного фонду України як самостійної фінансово-банківської системи.</w:t>
            </w:r>
          </w:p>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Прийняття Закону України «Про пенсійне забезпечення» від 5 листопада 1991 року та низки законів, що визначали спеціальні умови виходу на пенсію окремих категорій осіб.</w:t>
            </w:r>
          </w:p>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Даний етап характеризується нестабільністю пенсійної системи, довготривалими затримками у виплаті пенсій, пошуком компромісу задля заповнення бюджету ПФУ.</w:t>
            </w:r>
          </w:p>
        </w:tc>
      </w:tr>
      <w:tr w:rsidR="00BE06BA" w:rsidRPr="0078696C" w:rsidTr="00214CD0">
        <w:tc>
          <w:tcPr>
            <w:tcW w:w="1114"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1998-2003 роки</w:t>
            </w:r>
          </w:p>
        </w:tc>
        <w:tc>
          <w:tcPr>
            <w:tcW w:w="3389"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ЗУ «Основи законодавства про соціальне страхування», ЗУ «Про збір на обов'язкове державне пенсійне страхування», Указ Президента України «Про Основні напрями реформування пенсійного забезпечення в Україні», Послання Президента України «Про основні напрями реформування системи пенсійного забезпечення населення України», Указ Президента України «Про заходи щодо впровадження персоніфікованого обліку відомостей у системі обов'язкового державного пенсійного страхування» та ін.</w:t>
            </w:r>
          </w:p>
        </w:tc>
        <w:tc>
          <w:tcPr>
            <w:tcW w:w="5352"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Початок реформування пенсійної системи в напрямі створення багаторівневого пенсійного забезпечення, впровадження персоніфікованого обліку в системі загальнообов’язкового державного пенсійного страхування, об’єднання в складі єдиного органу – Пенсійного фонду України всіх необхідних підсистем: адміністрування страхових внесків, призначення та виплати пенсій, персоніфікованого обліку.</w:t>
            </w:r>
          </w:p>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Запровадження виплати пенсій та грошової допомоги через особові рахунки пенсіонерів в установах банків.</w:t>
            </w:r>
          </w:p>
          <w:p w:rsidR="00BE06BA" w:rsidRPr="0078696C" w:rsidRDefault="00BE06BA" w:rsidP="00AB6073">
            <w:pPr>
              <w:spacing w:after="0" w:line="240" w:lineRule="auto"/>
              <w:jc w:val="both"/>
              <w:rPr>
                <w:rFonts w:ascii="Times New Roman" w:hAnsi="Times New Roman"/>
                <w:color w:val="000000"/>
                <w:sz w:val="28"/>
                <w:szCs w:val="28"/>
              </w:rPr>
            </w:pPr>
          </w:p>
        </w:tc>
      </w:tr>
      <w:tr w:rsidR="00BE06BA" w:rsidRPr="0078696C" w:rsidTr="00214CD0">
        <w:tc>
          <w:tcPr>
            <w:tcW w:w="1114"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січень </w:t>
            </w:r>
            <w:r w:rsidRPr="0078696C">
              <w:rPr>
                <w:rFonts w:ascii="Times New Roman" w:hAnsi="Times New Roman"/>
                <w:color w:val="000000"/>
                <w:sz w:val="28"/>
                <w:szCs w:val="28"/>
              </w:rPr>
              <w:lastRenderedPageBreak/>
              <w:t>2004 р.– вересень 2011 р.</w:t>
            </w:r>
          </w:p>
        </w:tc>
        <w:tc>
          <w:tcPr>
            <w:tcW w:w="3389"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ЗУ «Про </w:t>
            </w:r>
            <w:r w:rsidRPr="0078696C">
              <w:rPr>
                <w:rFonts w:ascii="Times New Roman" w:hAnsi="Times New Roman"/>
                <w:color w:val="000000"/>
                <w:sz w:val="28"/>
                <w:szCs w:val="28"/>
              </w:rPr>
              <w:lastRenderedPageBreak/>
              <w:t>загальнообов’язкове державне пенсійне страхування», «Про недержавне пенсійне забезпечення», «Про збір та облік єдиного внеску на загальнообов'язкове державне соціальне страхування»</w:t>
            </w:r>
          </w:p>
        </w:tc>
        <w:tc>
          <w:tcPr>
            <w:tcW w:w="5352"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lastRenderedPageBreak/>
              <w:t xml:space="preserve">Запровадження нової трирівневої </w:t>
            </w:r>
            <w:r w:rsidRPr="0078696C">
              <w:rPr>
                <w:rFonts w:ascii="Times New Roman" w:hAnsi="Times New Roman"/>
                <w:color w:val="000000"/>
                <w:sz w:val="28"/>
                <w:szCs w:val="28"/>
              </w:rPr>
              <w:lastRenderedPageBreak/>
              <w:t>пенсійної системи. Заміна трудового стажу на страховий, запровадження добровільної участі в системі загальнообов’язкового державного соціального страхування, встановлення тісної залежності між розміром страхових внесків і розміром пенсії, введення консолідованого страхового внеску – ЄСВ, розмежування фінансування виплат пенсій між Державним бюджетом і Пенсійним фондом.</w:t>
            </w:r>
          </w:p>
        </w:tc>
      </w:tr>
      <w:tr w:rsidR="00BE06BA" w:rsidRPr="0078696C" w:rsidTr="00214CD0">
        <w:tc>
          <w:tcPr>
            <w:tcW w:w="1114"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lastRenderedPageBreak/>
              <w:t>жовтень 2011 р.– березень 2014 р.</w:t>
            </w:r>
          </w:p>
        </w:tc>
        <w:tc>
          <w:tcPr>
            <w:tcW w:w="3389"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ЗУ «Про заходи щодо законодавчого забезпечення реформування пенсійної системи»</w:t>
            </w:r>
          </w:p>
        </w:tc>
        <w:tc>
          <w:tcPr>
            <w:tcW w:w="5352"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Підвищення пенсійного віку жінок, збільшення тривалості страхового стажу, обмеження максимального розміру пенсії на рівні 10 прожиткових мінімумів для осіб, які втратили працездатність.</w:t>
            </w:r>
          </w:p>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Мінімальний стаж для призначення пенсії за віком зріс з 5 до 15 років. Підвищено вимоги до стажу для призначення пенсій за віком у розмірі, не нижчому за мінімальну: з 20 до 30 років – для жінок, з 25 до 35 років – для чоловіків. Пенсійний вік чоловіків-держслужбовців підвищено до 62 років. Введено більш гнучку систему нарахування бонусів за відтермінування виходу на пенсію та істотні обмеження індексації виплат працюючим пенсіонерам</w:t>
            </w:r>
          </w:p>
        </w:tc>
      </w:tr>
      <w:tr w:rsidR="00BE06BA" w:rsidRPr="0078696C" w:rsidTr="00214CD0">
        <w:tc>
          <w:tcPr>
            <w:tcW w:w="1114"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квітень 2014 р.– вересень 2017 р.</w:t>
            </w:r>
          </w:p>
        </w:tc>
        <w:tc>
          <w:tcPr>
            <w:tcW w:w="3389"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ЗУ «Про запобігання фінансової катастрофи та створення передумов для економічного зростання в Україні», «Про внесення змін до деяких законодавчих актів України щодо забезпечення проведення мобілізації» </w:t>
            </w:r>
          </w:p>
        </w:tc>
        <w:tc>
          <w:tcPr>
            <w:tcW w:w="5352"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 xml:space="preserve">Реформування пенсійного законодавства в умовах економічної кризи, введення оподаткування пенсій залежно від платоспроможності пенсіонерів, повне припинення індексації пенсій та мінімальних гарантій, припинення призначення на період роботи спецпенсій державним службовцям, прокурорам, суддям, народним депутатам тощо. Скасування дострокових пенсій для безробітних, скорочення переліку шкідливих </w:t>
            </w:r>
            <w:r w:rsidR="00DE39B2" w:rsidRPr="0078696C">
              <w:rPr>
                <w:rFonts w:ascii="Times New Roman" w:hAnsi="Times New Roman"/>
                <w:color w:val="000000"/>
                <w:sz w:val="28"/>
                <w:szCs w:val="28"/>
              </w:rPr>
              <w:t>виробництв</w:t>
            </w:r>
            <w:r w:rsidRPr="0078696C">
              <w:rPr>
                <w:rFonts w:ascii="Times New Roman" w:hAnsi="Times New Roman"/>
                <w:color w:val="000000"/>
                <w:sz w:val="28"/>
                <w:szCs w:val="28"/>
              </w:rPr>
              <w:t xml:space="preserve">, обмеження мінімального віку, підвищення професійного страхового стажу, необхідного для виходу на пенсію за </w:t>
            </w:r>
            <w:r w:rsidRPr="0078696C">
              <w:rPr>
                <w:rFonts w:ascii="Times New Roman" w:hAnsi="Times New Roman"/>
                <w:color w:val="000000"/>
                <w:sz w:val="28"/>
                <w:szCs w:val="28"/>
              </w:rPr>
              <w:lastRenderedPageBreak/>
              <w:t>вислугу років.</w:t>
            </w:r>
          </w:p>
        </w:tc>
      </w:tr>
      <w:tr w:rsidR="00BE06BA" w:rsidRPr="0078696C" w:rsidTr="00214CD0">
        <w:tc>
          <w:tcPr>
            <w:tcW w:w="1114"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lastRenderedPageBreak/>
              <w:t>жовтень 2017 р.– до сьогодні</w:t>
            </w:r>
          </w:p>
        </w:tc>
        <w:tc>
          <w:tcPr>
            <w:tcW w:w="3389"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ЗУ «Про внесення змін до деяких законодавчих актів України щодо підвищення пенсій»</w:t>
            </w:r>
          </w:p>
        </w:tc>
        <w:tc>
          <w:tcPr>
            <w:tcW w:w="5352" w:type="dxa"/>
          </w:tcPr>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Проведення масштабних змін пенсійного законодавства, що спрямовані на підняття пенсійного віку та збільшення страхового стажу. Запровадження поступового підвищення тривалості страхового стажу, диференціації пенсійного віку, зменшення оцінки страхового стажу до 1 %, купівлі страхового стажу за подвійною ставкою, скасування спецпенсій для науково-педагогічних працівників, державних службовців, суддів, народних депутатів, дипломатів, журналістів державних ЗМІ, посадових осіб органів місцевого самоврядування та ін.</w:t>
            </w:r>
          </w:p>
          <w:p w:rsidR="00BE06BA" w:rsidRPr="0078696C" w:rsidRDefault="00BE06BA" w:rsidP="00AB6073">
            <w:pPr>
              <w:spacing w:after="0" w:line="240" w:lineRule="auto"/>
              <w:jc w:val="both"/>
              <w:rPr>
                <w:rFonts w:ascii="Times New Roman" w:hAnsi="Times New Roman"/>
                <w:color w:val="000000"/>
                <w:sz w:val="28"/>
                <w:szCs w:val="28"/>
              </w:rPr>
            </w:pPr>
            <w:r w:rsidRPr="0078696C">
              <w:rPr>
                <w:rFonts w:ascii="Times New Roman" w:hAnsi="Times New Roman"/>
                <w:color w:val="000000"/>
                <w:sz w:val="28"/>
                <w:szCs w:val="28"/>
              </w:rPr>
              <w:t>Позитивний момент – проведення «осучаснення пенсій».</w:t>
            </w:r>
          </w:p>
        </w:tc>
      </w:tr>
    </w:tbl>
    <w:p w:rsidR="00BE06BA" w:rsidRPr="007F3B41" w:rsidRDefault="00BE06BA" w:rsidP="002C670A">
      <w:pPr>
        <w:jc w:val="center"/>
        <w:rPr>
          <w:rFonts w:ascii="Times New Roman" w:hAnsi="Times New Roman"/>
          <w:color w:val="000000"/>
          <w:sz w:val="10"/>
          <w:szCs w:val="10"/>
          <w:lang w:val="ru-RU"/>
        </w:rPr>
      </w:pPr>
    </w:p>
    <w:p w:rsidR="002C670A" w:rsidRPr="002E5B8A" w:rsidRDefault="002C670A" w:rsidP="002C670A">
      <w:pPr>
        <w:jc w:val="center"/>
        <w:rPr>
          <w:rFonts w:ascii="Times New Roman" w:hAnsi="Times New Roman"/>
          <w:color w:val="000000"/>
          <w:sz w:val="28"/>
          <w:szCs w:val="28"/>
        </w:rPr>
      </w:pPr>
      <w:r>
        <w:rPr>
          <w:rFonts w:ascii="Times New Roman" w:hAnsi="Times New Roman"/>
          <w:color w:val="000000"/>
          <w:sz w:val="28"/>
          <w:szCs w:val="28"/>
        </w:rPr>
        <w:t xml:space="preserve">Джерело: </w:t>
      </w:r>
      <w:r w:rsidR="002E5B8A">
        <w:rPr>
          <w:rFonts w:ascii="Times New Roman" w:hAnsi="Times New Roman"/>
          <w:color w:val="000000"/>
          <w:sz w:val="28"/>
          <w:szCs w:val="28"/>
        </w:rPr>
        <w:t xml:space="preserve">складено автором на основі </w:t>
      </w:r>
      <w:r>
        <w:rPr>
          <w:rFonts w:ascii="Times New Roman" w:hAnsi="Times New Roman"/>
          <w:color w:val="000000"/>
          <w:sz w:val="28"/>
          <w:szCs w:val="28"/>
          <w:lang w:val="ru-RU"/>
        </w:rPr>
        <w:t>нормативно-правов</w:t>
      </w:r>
      <w:r w:rsidR="002E5B8A">
        <w:rPr>
          <w:rFonts w:ascii="Times New Roman" w:hAnsi="Times New Roman"/>
          <w:color w:val="000000"/>
          <w:sz w:val="28"/>
          <w:szCs w:val="28"/>
        </w:rPr>
        <w:t>их</w:t>
      </w:r>
      <w:r>
        <w:rPr>
          <w:rFonts w:ascii="Times New Roman" w:hAnsi="Times New Roman"/>
          <w:color w:val="000000"/>
          <w:sz w:val="28"/>
          <w:szCs w:val="28"/>
        </w:rPr>
        <w:t xml:space="preserve"> акт</w:t>
      </w:r>
      <w:r w:rsidR="002E5B8A">
        <w:rPr>
          <w:rFonts w:ascii="Times New Roman" w:hAnsi="Times New Roman"/>
          <w:color w:val="000000"/>
          <w:sz w:val="28"/>
          <w:szCs w:val="28"/>
        </w:rPr>
        <w:t>ів</w:t>
      </w:r>
      <w:r>
        <w:rPr>
          <w:rFonts w:ascii="Times New Roman" w:hAnsi="Times New Roman"/>
          <w:color w:val="000000"/>
          <w:sz w:val="28"/>
          <w:szCs w:val="28"/>
        </w:rPr>
        <w:t xml:space="preserve"> України</w:t>
      </w:r>
    </w:p>
    <w:p w:rsidR="002C670A" w:rsidRPr="002C670A" w:rsidRDefault="002C670A" w:rsidP="002C670A">
      <w:pPr>
        <w:jc w:val="center"/>
        <w:rPr>
          <w:rFonts w:ascii="Times New Roman" w:hAnsi="Times New Roman"/>
          <w:color w:val="000000"/>
          <w:sz w:val="28"/>
          <w:szCs w:val="28"/>
          <w:lang w:val="ru-RU"/>
        </w:rPr>
      </w:pPr>
    </w:p>
    <w:p w:rsidR="00F2205E" w:rsidRPr="0078696C" w:rsidRDefault="00BE06BA" w:rsidP="00C808D8">
      <w:pPr>
        <w:jc w:val="right"/>
        <w:rPr>
          <w:rFonts w:ascii="Times New Roman" w:hAnsi="Times New Roman"/>
          <w:b/>
          <w:color w:val="000000"/>
          <w:sz w:val="28"/>
          <w:szCs w:val="28"/>
        </w:rPr>
      </w:pPr>
      <w:r w:rsidRPr="0078696C">
        <w:rPr>
          <w:rFonts w:ascii="Times New Roman" w:hAnsi="Times New Roman"/>
          <w:b/>
          <w:color w:val="000000"/>
          <w:sz w:val="28"/>
          <w:szCs w:val="28"/>
        </w:rPr>
        <w:br w:type="page"/>
      </w:r>
      <w:r w:rsidR="005E40EE" w:rsidRPr="0078696C">
        <w:rPr>
          <w:rFonts w:ascii="Times New Roman" w:hAnsi="Times New Roman"/>
          <w:b/>
          <w:color w:val="000000"/>
          <w:sz w:val="28"/>
          <w:szCs w:val="28"/>
        </w:rPr>
        <w:lastRenderedPageBreak/>
        <w:t xml:space="preserve">Додаток </w:t>
      </w:r>
      <w:r w:rsidR="00D97C5D" w:rsidRPr="0078696C">
        <w:rPr>
          <w:rFonts w:ascii="Times New Roman" w:hAnsi="Times New Roman"/>
          <w:b/>
          <w:color w:val="000000"/>
          <w:sz w:val="28"/>
          <w:szCs w:val="28"/>
        </w:rPr>
        <w:t>В</w:t>
      </w:r>
    </w:p>
    <w:p w:rsidR="00CA6AAD" w:rsidRPr="0078696C" w:rsidRDefault="006F1E30" w:rsidP="006F1E30">
      <w:pPr>
        <w:spacing w:line="360" w:lineRule="auto"/>
        <w:ind w:firstLine="709"/>
        <w:contextualSpacing/>
        <w:jc w:val="center"/>
        <w:rPr>
          <w:rFonts w:ascii="Times New Roman" w:hAnsi="Times New Roman"/>
          <w:b/>
          <w:color w:val="000000"/>
          <w:sz w:val="28"/>
          <w:szCs w:val="28"/>
        </w:rPr>
      </w:pPr>
      <w:r w:rsidRPr="0078696C">
        <w:rPr>
          <w:rFonts w:ascii="Times New Roman" w:hAnsi="Times New Roman"/>
          <w:b/>
          <w:color w:val="000000"/>
          <w:sz w:val="28"/>
          <w:szCs w:val="28"/>
        </w:rPr>
        <w:t>Поступове підвищення пенсійного 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6"/>
        <w:gridCol w:w="1752"/>
        <w:gridCol w:w="1302"/>
        <w:gridCol w:w="2679"/>
        <w:gridCol w:w="1525"/>
        <w:gridCol w:w="1301"/>
      </w:tblGrid>
      <w:tr w:rsidR="00CA6AAD" w:rsidRPr="002E5B8A" w:rsidTr="002B64C1">
        <w:tc>
          <w:tcPr>
            <w:tcW w:w="1296" w:type="dxa"/>
            <w:vMerge w:val="restart"/>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Період</w:t>
            </w:r>
          </w:p>
        </w:tc>
        <w:tc>
          <w:tcPr>
            <w:tcW w:w="1752" w:type="dxa"/>
            <w:vMerge w:val="restart"/>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Редакція</w:t>
            </w:r>
          </w:p>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Закону</w:t>
            </w:r>
          </w:p>
        </w:tc>
        <w:tc>
          <w:tcPr>
            <w:tcW w:w="3981" w:type="dxa"/>
            <w:gridSpan w:val="2"/>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Пенсійний вік</w:t>
            </w:r>
          </w:p>
        </w:tc>
        <w:tc>
          <w:tcPr>
            <w:tcW w:w="2826" w:type="dxa"/>
            <w:gridSpan w:val="2"/>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Мінімальний страховий стаж</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Чоловіки</w:t>
            </w:r>
          </w:p>
        </w:tc>
        <w:tc>
          <w:tcPr>
            <w:tcW w:w="2679" w:type="dxa"/>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Жінки</w:t>
            </w:r>
          </w:p>
        </w:tc>
        <w:tc>
          <w:tcPr>
            <w:tcW w:w="1525" w:type="dxa"/>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Чоловіки</w:t>
            </w:r>
          </w:p>
        </w:tc>
        <w:tc>
          <w:tcPr>
            <w:tcW w:w="1301" w:type="dxa"/>
            <w:shd w:val="clear" w:color="auto" w:fill="auto"/>
          </w:tcPr>
          <w:p w:rsidR="00CA6AAD" w:rsidRPr="002E5B8A" w:rsidRDefault="00CA6AAD" w:rsidP="002B64C1">
            <w:pPr>
              <w:spacing w:after="0" w:line="240" w:lineRule="auto"/>
              <w:contextualSpacing/>
              <w:jc w:val="center"/>
              <w:rPr>
                <w:rFonts w:ascii="Times New Roman" w:hAnsi="Times New Roman"/>
                <w:b/>
                <w:color w:val="000000"/>
                <w:sz w:val="24"/>
                <w:szCs w:val="24"/>
              </w:rPr>
            </w:pPr>
            <w:r w:rsidRPr="002E5B8A">
              <w:rPr>
                <w:rFonts w:ascii="Times New Roman" w:hAnsi="Times New Roman"/>
                <w:b/>
                <w:color w:val="000000"/>
                <w:sz w:val="24"/>
                <w:szCs w:val="24"/>
              </w:rPr>
              <w:t>Жінки</w:t>
            </w:r>
          </w:p>
        </w:tc>
      </w:tr>
      <w:tr w:rsidR="00CA6AAD" w:rsidRPr="002E5B8A" w:rsidTr="002B64C1">
        <w:tc>
          <w:tcPr>
            <w:tcW w:w="1296"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01.01.2004 – 30.09.2011</w:t>
            </w:r>
          </w:p>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 xml:space="preserve">від 09.07.2003 р. № 1058-IV </w:t>
            </w:r>
          </w:p>
          <w:p w:rsidR="00CA6AAD" w:rsidRPr="002E5B8A" w:rsidRDefault="00CA6AAD" w:rsidP="002B64C1">
            <w:pPr>
              <w:spacing w:after="0" w:line="240" w:lineRule="auto"/>
              <w:contextualSpacing/>
              <w:rPr>
                <w:rFonts w:ascii="Times New Roman" w:hAnsi="Times New Roman"/>
                <w:color w:val="000000"/>
                <w:sz w:val="24"/>
                <w:szCs w:val="24"/>
              </w:rPr>
            </w:pPr>
          </w:p>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60 </w:t>
            </w:r>
          </w:p>
        </w:tc>
        <w:tc>
          <w:tcPr>
            <w:tcW w:w="2679" w:type="dxa"/>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55 </w:t>
            </w:r>
          </w:p>
        </w:tc>
        <w:tc>
          <w:tcPr>
            <w:tcW w:w="1525" w:type="dxa"/>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5 </w:t>
            </w:r>
          </w:p>
        </w:tc>
        <w:tc>
          <w:tcPr>
            <w:tcW w:w="1301" w:type="dxa"/>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5 </w:t>
            </w:r>
          </w:p>
        </w:tc>
      </w:tr>
      <w:tr w:rsidR="00CA6AAD" w:rsidRPr="002E5B8A" w:rsidTr="002B64C1">
        <w:trPr>
          <w:trHeight w:val="311"/>
        </w:trPr>
        <w:tc>
          <w:tcPr>
            <w:tcW w:w="1296"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01.10.2011 – 30.09.2017</w:t>
            </w:r>
          </w:p>
        </w:tc>
        <w:tc>
          <w:tcPr>
            <w:tcW w:w="1752" w:type="dxa"/>
            <w:vMerge w:val="restart"/>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від 08.07.2011 р. № 3668-VI.</w:t>
            </w:r>
          </w:p>
        </w:tc>
        <w:tc>
          <w:tcPr>
            <w:tcW w:w="1302"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60 </w:t>
            </w: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b/>
                <w:color w:val="000000"/>
                <w:sz w:val="24"/>
                <w:szCs w:val="24"/>
              </w:rPr>
              <w:t>60</w:t>
            </w:r>
            <w:r w:rsidRPr="002E5B8A">
              <w:rPr>
                <w:rFonts w:ascii="Times New Roman" w:hAnsi="Times New Roman"/>
                <w:color w:val="000000"/>
                <w:sz w:val="24"/>
                <w:szCs w:val="24"/>
              </w:rPr>
              <w:t>, але передбачено більш ранній вік:</w:t>
            </w:r>
          </w:p>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55 р. 6 міс. (які народилися з 01.10.1956 по 31.03.1957)</w:t>
            </w:r>
          </w:p>
        </w:tc>
        <w:tc>
          <w:tcPr>
            <w:tcW w:w="1525"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15 </w:t>
            </w:r>
          </w:p>
        </w:tc>
        <w:tc>
          <w:tcPr>
            <w:tcW w:w="1301"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15 </w:t>
            </w:r>
          </w:p>
        </w:tc>
      </w:tr>
      <w:tr w:rsidR="00CA6AAD" w:rsidRPr="002E5B8A" w:rsidTr="002B64C1">
        <w:trPr>
          <w:trHeight w:val="515"/>
        </w:trPr>
        <w:tc>
          <w:tcPr>
            <w:tcW w:w="1296" w:type="dxa"/>
            <w:vMerge w:val="restart"/>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56 р. (з 01.04.1957 по 30.09.1957)</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49"/>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56 р. 6 міс. (з 01.10.1957 по 31.03.1958)</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71"/>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57 р. (з 01.04.1958 по 30.09.1958)</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51"/>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57 р. 6 міс. (з 01.10.1958 по 31.03.1959)</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45"/>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58 р. (з 01.04.1959 по 30.09.1959)</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53"/>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58 р. 6 міс. (з 01.10.1959 по 31.03.1960)</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47"/>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59 р. (з 01.04.1960 по 30.09.1960)</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69"/>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 xml:space="preserve">59 р. 6 міс. (з 01.10.1960 по 31.03.1961) </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549"/>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60 р. (з 01.04.1961 по 30.09.1961)</w:t>
            </w:r>
          </w:p>
        </w:tc>
        <w:tc>
          <w:tcPr>
            <w:tcW w:w="1525"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1"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rPr>
          <w:trHeight w:val="270"/>
        </w:trPr>
        <w:tc>
          <w:tcPr>
            <w:tcW w:w="1296" w:type="dxa"/>
            <w:vMerge w:val="restart"/>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 xml:space="preserve">З 01.10.2017 р. </w:t>
            </w:r>
          </w:p>
        </w:tc>
        <w:tc>
          <w:tcPr>
            <w:tcW w:w="1752" w:type="dxa"/>
            <w:vMerge w:val="restart"/>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від 03.10.2017 р. № 2148-VIII</w:t>
            </w:r>
          </w:p>
        </w:tc>
        <w:tc>
          <w:tcPr>
            <w:tcW w:w="1302"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60 </w:t>
            </w:r>
          </w:p>
        </w:tc>
        <w:tc>
          <w:tcPr>
            <w:tcW w:w="2679" w:type="dxa"/>
            <w:vMerge w:val="restart"/>
            <w:shd w:val="clear" w:color="auto" w:fill="auto"/>
          </w:tcPr>
          <w:p w:rsidR="00CA6AAD" w:rsidRPr="002E5B8A" w:rsidRDefault="00CA6AAD" w:rsidP="002B64C1">
            <w:pPr>
              <w:spacing w:after="0" w:line="240" w:lineRule="auto"/>
              <w:contextualSpacing/>
              <w:rPr>
                <w:rFonts w:ascii="Times New Roman" w:hAnsi="Times New Roman"/>
                <w:b/>
                <w:color w:val="000000"/>
                <w:sz w:val="24"/>
                <w:szCs w:val="24"/>
              </w:rPr>
            </w:pPr>
            <w:r w:rsidRPr="002E5B8A">
              <w:rPr>
                <w:rFonts w:ascii="Times New Roman" w:hAnsi="Times New Roman"/>
                <w:b/>
                <w:color w:val="000000"/>
                <w:sz w:val="24"/>
                <w:szCs w:val="24"/>
              </w:rPr>
              <w:t xml:space="preserve">60 </w:t>
            </w:r>
          </w:p>
          <w:p w:rsidR="00CA6AAD" w:rsidRPr="002E5B8A" w:rsidRDefault="00CA6AAD" w:rsidP="002B64C1">
            <w:pPr>
              <w:spacing w:after="0" w:line="240" w:lineRule="auto"/>
              <w:contextualSpacing/>
              <w:rPr>
                <w:rFonts w:ascii="Times New Roman" w:hAnsi="Times New Roman"/>
                <w:color w:val="000000"/>
                <w:sz w:val="24"/>
                <w:szCs w:val="24"/>
              </w:rPr>
            </w:pPr>
          </w:p>
          <w:p w:rsidR="00CA6AAD" w:rsidRPr="002E5B8A" w:rsidRDefault="00CA6AAD" w:rsidP="002B64C1">
            <w:pPr>
              <w:spacing w:after="0" w:line="240" w:lineRule="auto"/>
              <w:contextualSpacing/>
              <w:rPr>
                <w:rFonts w:ascii="Times New Roman" w:hAnsi="Times New Roman"/>
                <w:color w:val="000000"/>
                <w:sz w:val="24"/>
                <w:szCs w:val="24"/>
              </w:rPr>
            </w:pPr>
            <w:r w:rsidRPr="002E5B8A">
              <w:rPr>
                <w:rFonts w:ascii="Times New Roman" w:hAnsi="Times New Roman"/>
                <w:color w:val="000000"/>
                <w:sz w:val="24"/>
                <w:szCs w:val="24"/>
              </w:rPr>
              <w:t xml:space="preserve">Збережено аналогічний пенсійний вік для жінок, народжених в період з 01.10.1956 р. по 31.03.1961 р. </w:t>
            </w: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2018 р.  – </w:t>
            </w:r>
            <w:bookmarkStart w:id="1" w:name="n2158"/>
            <w:bookmarkEnd w:id="1"/>
            <w:r w:rsidRPr="002E5B8A">
              <w:rPr>
                <w:rFonts w:ascii="Times New Roman" w:hAnsi="Times New Roman"/>
                <w:color w:val="000000"/>
                <w:sz w:val="24"/>
                <w:szCs w:val="24"/>
              </w:rPr>
              <w:t>не менше 25</w:t>
            </w:r>
          </w:p>
        </w:tc>
      </w:tr>
      <w:tr w:rsidR="00CA6AAD" w:rsidRPr="002E5B8A" w:rsidTr="002B64C1">
        <w:trPr>
          <w:trHeight w:val="302"/>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2019 р. – не менше 26 </w:t>
            </w:r>
          </w:p>
        </w:tc>
      </w:tr>
      <w:tr w:rsidR="00CA6AAD" w:rsidRPr="002E5B8A" w:rsidTr="002B64C1">
        <w:trPr>
          <w:trHeight w:val="278"/>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2" w:name="n2159"/>
            <w:bookmarkEnd w:id="2"/>
            <w:r w:rsidRPr="002E5B8A">
              <w:rPr>
                <w:rFonts w:ascii="Times New Roman" w:hAnsi="Times New Roman"/>
                <w:color w:val="000000"/>
                <w:sz w:val="24"/>
                <w:szCs w:val="24"/>
              </w:rPr>
              <w:t xml:space="preserve">2020 р. – не менше 27 </w:t>
            </w:r>
          </w:p>
        </w:tc>
      </w:tr>
      <w:tr w:rsidR="00CA6AAD" w:rsidRPr="002E5B8A" w:rsidTr="002B64C1">
        <w:trPr>
          <w:trHeight w:val="268"/>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3" w:name="n2160"/>
            <w:bookmarkEnd w:id="3"/>
            <w:r w:rsidRPr="002E5B8A">
              <w:rPr>
                <w:rFonts w:ascii="Times New Roman" w:hAnsi="Times New Roman"/>
                <w:color w:val="000000"/>
                <w:sz w:val="24"/>
                <w:szCs w:val="24"/>
              </w:rPr>
              <w:t xml:space="preserve">2021 р. – не менше 28 </w:t>
            </w:r>
          </w:p>
        </w:tc>
      </w:tr>
      <w:tr w:rsidR="00CA6AAD" w:rsidRPr="002E5B8A" w:rsidTr="002B64C1">
        <w:trPr>
          <w:trHeight w:val="272"/>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4" w:name="n2161"/>
            <w:bookmarkEnd w:id="4"/>
            <w:r w:rsidRPr="002E5B8A">
              <w:rPr>
                <w:rFonts w:ascii="Times New Roman" w:hAnsi="Times New Roman"/>
                <w:color w:val="000000"/>
                <w:sz w:val="24"/>
                <w:szCs w:val="24"/>
              </w:rPr>
              <w:t xml:space="preserve">2022 р. – не менше 29 </w:t>
            </w:r>
          </w:p>
        </w:tc>
      </w:tr>
      <w:tr w:rsidR="00CA6AAD" w:rsidRPr="002E5B8A" w:rsidTr="002B64C1">
        <w:trPr>
          <w:trHeight w:val="276"/>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5" w:name="n2162"/>
            <w:bookmarkEnd w:id="5"/>
            <w:r w:rsidRPr="002E5B8A">
              <w:rPr>
                <w:rFonts w:ascii="Times New Roman" w:hAnsi="Times New Roman"/>
                <w:color w:val="000000"/>
                <w:sz w:val="24"/>
                <w:szCs w:val="24"/>
              </w:rPr>
              <w:t xml:space="preserve">2023 р. – не менше 30 </w:t>
            </w:r>
          </w:p>
        </w:tc>
      </w:tr>
      <w:tr w:rsidR="00CA6AAD" w:rsidRPr="002E5B8A" w:rsidTr="002B64C1">
        <w:trPr>
          <w:trHeight w:val="266"/>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6" w:name="n2163"/>
            <w:bookmarkEnd w:id="6"/>
            <w:r w:rsidRPr="002E5B8A">
              <w:rPr>
                <w:rFonts w:ascii="Times New Roman" w:hAnsi="Times New Roman"/>
                <w:color w:val="000000"/>
                <w:sz w:val="24"/>
                <w:szCs w:val="24"/>
              </w:rPr>
              <w:t xml:space="preserve">2024 р. – не менше 31 </w:t>
            </w:r>
          </w:p>
        </w:tc>
      </w:tr>
      <w:tr w:rsidR="00CA6AAD" w:rsidRPr="002E5B8A" w:rsidTr="002B64C1">
        <w:trPr>
          <w:trHeight w:val="270"/>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7" w:name="n2164"/>
            <w:bookmarkEnd w:id="7"/>
            <w:r w:rsidRPr="002E5B8A">
              <w:rPr>
                <w:rFonts w:ascii="Times New Roman" w:hAnsi="Times New Roman"/>
                <w:color w:val="000000"/>
                <w:sz w:val="24"/>
                <w:szCs w:val="24"/>
              </w:rPr>
              <w:t xml:space="preserve">2025 р. – не менше 32 </w:t>
            </w:r>
          </w:p>
        </w:tc>
      </w:tr>
      <w:tr w:rsidR="00CA6AAD" w:rsidRPr="002E5B8A" w:rsidTr="002B64C1">
        <w:trPr>
          <w:trHeight w:val="260"/>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8" w:name="n2165"/>
            <w:bookmarkEnd w:id="8"/>
            <w:r w:rsidRPr="002E5B8A">
              <w:rPr>
                <w:rFonts w:ascii="Times New Roman" w:hAnsi="Times New Roman"/>
                <w:color w:val="000000"/>
                <w:sz w:val="24"/>
                <w:szCs w:val="24"/>
              </w:rPr>
              <w:t xml:space="preserve">2026 р. – не менше 33 </w:t>
            </w:r>
          </w:p>
        </w:tc>
      </w:tr>
      <w:tr w:rsidR="00CA6AAD" w:rsidRPr="002E5B8A" w:rsidTr="002B64C1">
        <w:trPr>
          <w:trHeight w:val="264"/>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9" w:name="n2166"/>
            <w:bookmarkEnd w:id="9"/>
            <w:r w:rsidRPr="002E5B8A">
              <w:rPr>
                <w:rFonts w:ascii="Times New Roman" w:hAnsi="Times New Roman"/>
                <w:color w:val="000000"/>
                <w:sz w:val="24"/>
                <w:szCs w:val="24"/>
              </w:rPr>
              <w:t xml:space="preserve">2027 р. – не менше 34 </w:t>
            </w:r>
          </w:p>
        </w:tc>
      </w:tr>
      <w:tr w:rsidR="00CA6AAD" w:rsidRPr="002E5B8A" w:rsidTr="002B64C1">
        <w:trPr>
          <w:trHeight w:val="552"/>
        </w:trPr>
        <w:tc>
          <w:tcPr>
            <w:tcW w:w="1296"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bookmarkStart w:id="10" w:name="n2167"/>
            <w:bookmarkEnd w:id="10"/>
            <w:r w:rsidRPr="002E5B8A">
              <w:rPr>
                <w:rFonts w:ascii="Times New Roman" w:hAnsi="Times New Roman"/>
                <w:color w:val="000000"/>
                <w:sz w:val="24"/>
                <w:szCs w:val="24"/>
              </w:rPr>
              <w:t xml:space="preserve">починаючи </w:t>
            </w:r>
            <w:r w:rsidRPr="002E5B8A">
              <w:rPr>
                <w:rFonts w:ascii="Times New Roman" w:hAnsi="Times New Roman"/>
                <w:b/>
                <w:color w:val="000000"/>
                <w:sz w:val="24"/>
                <w:szCs w:val="24"/>
              </w:rPr>
              <w:t>з 1 січня 2028 року – не менше 35 років</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63 </w:t>
            </w:r>
          </w:p>
        </w:tc>
        <w:tc>
          <w:tcPr>
            <w:tcW w:w="2679"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 xml:space="preserve">63 </w:t>
            </w: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2018 р.  – від 15 до 25</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2019 р. – від 16 до 26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2020 р. – від 17 до 27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2021 р. – від 18 до 28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2022 р. – від 19 до 29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2023 р. – від 20 до 30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2024 р. – від 21 до 31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2025 р. – від 22 до 32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2026 р. – від 23 до 33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2027 р. – від 24 до 34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починаючи </w:t>
            </w:r>
            <w:r w:rsidRPr="002E5B8A">
              <w:rPr>
                <w:rFonts w:ascii="Times New Roman" w:hAnsi="Times New Roman"/>
                <w:b/>
                <w:color w:val="000000"/>
                <w:sz w:val="24"/>
                <w:szCs w:val="24"/>
              </w:rPr>
              <w:t>з 1 січня 2028 року – від 25 до 35 років</w:t>
            </w:r>
          </w:p>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65</w:t>
            </w:r>
          </w:p>
        </w:tc>
        <w:tc>
          <w:tcPr>
            <w:tcW w:w="2679" w:type="dxa"/>
            <w:vMerge w:val="restart"/>
            <w:shd w:val="clear" w:color="auto" w:fill="auto"/>
          </w:tcPr>
          <w:p w:rsidR="00CA6AAD" w:rsidRPr="002E5B8A" w:rsidRDefault="00CA6AAD" w:rsidP="002B64C1">
            <w:pPr>
              <w:spacing w:after="0" w:line="240" w:lineRule="auto"/>
              <w:contextualSpacing/>
              <w:jc w:val="both"/>
              <w:rPr>
                <w:rFonts w:ascii="Times New Roman" w:hAnsi="Times New Roman"/>
                <w:b/>
                <w:color w:val="000000"/>
                <w:sz w:val="24"/>
                <w:szCs w:val="24"/>
              </w:rPr>
            </w:pPr>
            <w:r w:rsidRPr="002E5B8A">
              <w:rPr>
                <w:rFonts w:ascii="Times New Roman" w:hAnsi="Times New Roman"/>
                <w:b/>
                <w:color w:val="000000"/>
                <w:sz w:val="24"/>
                <w:szCs w:val="24"/>
              </w:rPr>
              <w:t>65</w:t>
            </w: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2019 р. – від 15 до 16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2020 р. – від 15 до 17</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2021 р. – від 15 до 18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2022 р. – від 15 до 19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2023 р. – від 15 до 20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2024 р. – від 15 до 21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2025 р. – від 15 до 22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2026 р. – від 15 до 23 </w:t>
            </w:r>
          </w:p>
        </w:tc>
      </w:tr>
      <w:tr w:rsidR="00CA6AAD" w:rsidRPr="002E5B8A" w:rsidTr="002B64C1">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2027 р. – від 15 до 24 </w:t>
            </w:r>
          </w:p>
        </w:tc>
      </w:tr>
      <w:tr w:rsidR="00CA6AAD" w:rsidRPr="002E5B8A" w:rsidTr="002B64C1">
        <w:trPr>
          <w:trHeight w:val="584"/>
        </w:trPr>
        <w:tc>
          <w:tcPr>
            <w:tcW w:w="1296"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75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1302"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679" w:type="dxa"/>
            <w:vMerge/>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 xml:space="preserve">починаючи </w:t>
            </w:r>
            <w:r w:rsidRPr="002E5B8A">
              <w:rPr>
                <w:rFonts w:ascii="Times New Roman" w:hAnsi="Times New Roman"/>
                <w:b/>
                <w:color w:val="000000"/>
                <w:sz w:val="24"/>
                <w:szCs w:val="24"/>
              </w:rPr>
              <w:t>з 1 січня 2028 року – від 15 до 25 років</w:t>
            </w:r>
          </w:p>
          <w:p w:rsidR="00CA6AAD" w:rsidRPr="002E5B8A" w:rsidRDefault="00CA6AAD" w:rsidP="002B64C1">
            <w:pPr>
              <w:spacing w:after="0" w:line="240" w:lineRule="auto"/>
              <w:contextualSpacing/>
              <w:jc w:val="both"/>
              <w:rPr>
                <w:rFonts w:ascii="Times New Roman" w:hAnsi="Times New Roman"/>
                <w:color w:val="000000"/>
                <w:sz w:val="24"/>
                <w:szCs w:val="24"/>
              </w:rPr>
            </w:pPr>
          </w:p>
        </w:tc>
      </w:tr>
      <w:tr w:rsidR="00CA6AAD" w:rsidRPr="002E5B8A" w:rsidTr="002B64C1">
        <w:tc>
          <w:tcPr>
            <w:tcW w:w="1296" w:type="dxa"/>
            <w:vMerge/>
            <w:shd w:val="clear" w:color="auto" w:fill="auto"/>
          </w:tcPr>
          <w:p w:rsidR="00CA6AAD" w:rsidRPr="002E5B8A" w:rsidRDefault="00CA6AAD" w:rsidP="002B64C1">
            <w:pPr>
              <w:spacing w:after="0" w:line="240" w:lineRule="auto"/>
              <w:ind w:firstLine="708"/>
              <w:contextualSpacing/>
              <w:jc w:val="both"/>
              <w:rPr>
                <w:rFonts w:ascii="Times New Roman" w:hAnsi="Times New Roman"/>
                <w:color w:val="000000"/>
                <w:sz w:val="24"/>
                <w:szCs w:val="24"/>
              </w:rPr>
            </w:pPr>
          </w:p>
        </w:tc>
        <w:tc>
          <w:tcPr>
            <w:tcW w:w="1752" w:type="dxa"/>
            <w:shd w:val="clear" w:color="auto" w:fill="auto"/>
          </w:tcPr>
          <w:p w:rsidR="00CA6AAD" w:rsidRPr="002E5B8A" w:rsidRDefault="00CA6AAD" w:rsidP="002B64C1">
            <w:pPr>
              <w:spacing w:after="0" w:line="240" w:lineRule="auto"/>
              <w:ind w:firstLine="708"/>
              <w:contextualSpacing/>
              <w:jc w:val="both"/>
              <w:rPr>
                <w:rFonts w:ascii="Times New Roman" w:hAnsi="Times New Roman"/>
                <w:color w:val="000000"/>
                <w:sz w:val="24"/>
                <w:szCs w:val="24"/>
              </w:rPr>
            </w:pPr>
          </w:p>
        </w:tc>
        <w:tc>
          <w:tcPr>
            <w:tcW w:w="3981"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Незалежно від віку</w:t>
            </w:r>
          </w:p>
        </w:tc>
        <w:tc>
          <w:tcPr>
            <w:tcW w:w="2826" w:type="dxa"/>
            <w:gridSpan w:val="2"/>
            <w:shd w:val="clear" w:color="auto" w:fill="auto"/>
          </w:tcPr>
          <w:p w:rsidR="00CA6AAD" w:rsidRPr="002E5B8A" w:rsidRDefault="00CA6AAD" w:rsidP="002B64C1">
            <w:pPr>
              <w:spacing w:after="0" w:line="240" w:lineRule="auto"/>
              <w:contextualSpacing/>
              <w:jc w:val="both"/>
              <w:rPr>
                <w:rFonts w:ascii="Times New Roman" w:hAnsi="Times New Roman"/>
                <w:color w:val="000000"/>
                <w:sz w:val="24"/>
                <w:szCs w:val="24"/>
              </w:rPr>
            </w:pPr>
            <w:r w:rsidRPr="002E5B8A">
              <w:rPr>
                <w:rFonts w:ascii="Times New Roman" w:hAnsi="Times New Roman"/>
                <w:color w:val="000000"/>
                <w:sz w:val="24"/>
                <w:szCs w:val="24"/>
              </w:rPr>
              <w:t>понад 40 років – починаючи з 1 січня 2028 року</w:t>
            </w:r>
          </w:p>
        </w:tc>
      </w:tr>
    </w:tbl>
    <w:p w:rsidR="00D93DF3" w:rsidRDefault="00D93DF3" w:rsidP="00B742C6">
      <w:pPr>
        <w:jc w:val="right"/>
        <w:rPr>
          <w:rFonts w:ascii="Times New Roman" w:hAnsi="Times New Roman"/>
          <w:b/>
          <w:color w:val="000000"/>
          <w:sz w:val="28"/>
          <w:szCs w:val="28"/>
        </w:rPr>
      </w:pPr>
    </w:p>
    <w:p w:rsidR="002C670A" w:rsidRPr="002E5B8A" w:rsidRDefault="002C670A" w:rsidP="002C670A">
      <w:pPr>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002E5B8A">
        <w:rPr>
          <w:rFonts w:ascii="Times New Roman" w:hAnsi="Times New Roman"/>
          <w:color w:val="000000"/>
          <w:sz w:val="28"/>
          <w:szCs w:val="28"/>
        </w:rPr>
        <w:t xml:space="preserve">складено автором на основі </w:t>
      </w:r>
      <w:r w:rsidRPr="002E5B8A">
        <w:rPr>
          <w:rFonts w:ascii="Times New Roman" w:hAnsi="Times New Roman"/>
          <w:color w:val="000000"/>
          <w:sz w:val="28"/>
          <w:szCs w:val="28"/>
          <w:lang w:val="ru-RU"/>
        </w:rPr>
        <w:t>[</w:t>
      </w:r>
      <w:r>
        <w:rPr>
          <w:rFonts w:ascii="Times New Roman" w:hAnsi="Times New Roman"/>
          <w:color w:val="000000"/>
          <w:sz w:val="28"/>
          <w:szCs w:val="28"/>
        </w:rPr>
        <w:t>131</w:t>
      </w:r>
      <w:r w:rsidRPr="002E5B8A">
        <w:rPr>
          <w:rFonts w:ascii="Times New Roman" w:hAnsi="Times New Roman"/>
          <w:color w:val="000000"/>
          <w:sz w:val="28"/>
          <w:szCs w:val="28"/>
          <w:lang w:val="ru-RU"/>
        </w:rPr>
        <w:t>]</w:t>
      </w:r>
    </w:p>
    <w:p w:rsidR="002C670A" w:rsidRPr="0078696C" w:rsidRDefault="002C670A" w:rsidP="002C670A">
      <w:pPr>
        <w:jc w:val="center"/>
        <w:rPr>
          <w:rFonts w:ascii="Times New Roman" w:hAnsi="Times New Roman"/>
          <w:b/>
          <w:color w:val="000000"/>
          <w:sz w:val="28"/>
          <w:szCs w:val="28"/>
        </w:rPr>
      </w:pPr>
    </w:p>
    <w:p w:rsidR="00F53BDE" w:rsidRPr="0078696C" w:rsidRDefault="00D93DF3" w:rsidP="00AB6073">
      <w:pPr>
        <w:jc w:val="right"/>
        <w:rPr>
          <w:rFonts w:ascii="Times New Roman" w:hAnsi="Times New Roman"/>
          <w:b/>
          <w:color w:val="000000"/>
          <w:sz w:val="28"/>
          <w:szCs w:val="28"/>
        </w:rPr>
      </w:pPr>
      <w:r w:rsidRPr="0078696C">
        <w:rPr>
          <w:rFonts w:ascii="Times New Roman" w:hAnsi="Times New Roman"/>
          <w:b/>
          <w:color w:val="000000"/>
          <w:sz w:val="28"/>
          <w:szCs w:val="28"/>
        </w:rPr>
        <w:br w:type="page"/>
      </w:r>
      <w:r w:rsidR="00F53BDE" w:rsidRPr="0078696C">
        <w:rPr>
          <w:rFonts w:ascii="Times New Roman" w:hAnsi="Times New Roman"/>
          <w:b/>
          <w:color w:val="000000"/>
          <w:sz w:val="28"/>
          <w:szCs w:val="28"/>
        </w:rPr>
        <w:lastRenderedPageBreak/>
        <w:t xml:space="preserve">Додаток </w:t>
      </w:r>
      <w:r w:rsidR="00D97C5D" w:rsidRPr="0078696C">
        <w:rPr>
          <w:rFonts w:ascii="Times New Roman" w:hAnsi="Times New Roman"/>
          <w:b/>
          <w:color w:val="000000"/>
          <w:sz w:val="28"/>
          <w:szCs w:val="28"/>
        </w:rPr>
        <w:t>Г.1</w:t>
      </w:r>
    </w:p>
    <w:p w:rsidR="004F7389" w:rsidRPr="0078696C" w:rsidRDefault="004347CD" w:rsidP="00BE06BA">
      <w:pPr>
        <w:jc w:val="center"/>
        <w:rPr>
          <w:rFonts w:ascii="Times New Roman" w:hAnsi="Times New Roman"/>
          <w:b/>
          <w:color w:val="000000"/>
          <w:sz w:val="28"/>
          <w:szCs w:val="28"/>
        </w:rPr>
      </w:pPr>
      <w:r w:rsidRPr="0078696C">
        <w:rPr>
          <w:rFonts w:ascii="Times New Roman" w:hAnsi="Times New Roman"/>
          <w:b/>
          <w:color w:val="000000"/>
          <w:sz w:val="28"/>
          <w:szCs w:val="28"/>
        </w:rPr>
        <w:t>Приклад р</w:t>
      </w:r>
      <w:r w:rsidR="004F7389" w:rsidRPr="0078696C">
        <w:rPr>
          <w:rFonts w:ascii="Times New Roman" w:hAnsi="Times New Roman"/>
          <w:b/>
          <w:color w:val="000000"/>
          <w:sz w:val="28"/>
          <w:szCs w:val="28"/>
        </w:rPr>
        <w:t>о</w:t>
      </w:r>
      <w:r w:rsidRPr="0078696C">
        <w:rPr>
          <w:rFonts w:ascii="Times New Roman" w:hAnsi="Times New Roman"/>
          <w:b/>
          <w:color w:val="000000"/>
          <w:sz w:val="28"/>
          <w:szCs w:val="28"/>
        </w:rPr>
        <w:t>зрахун</w:t>
      </w:r>
      <w:r w:rsidR="004F7389" w:rsidRPr="0078696C">
        <w:rPr>
          <w:rFonts w:ascii="Times New Roman" w:hAnsi="Times New Roman"/>
          <w:b/>
          <w:color w:val="000000"/>
          <w:sz w:val="28"/>
          <w:szCs w:val="28"/>
        </w:rPr>
        <w:t>к</w:t>
      </w:r>
      <w:r w:rsidRPr="0078696C">
        <w:rPr>
          <w:rFonts w:ascii="Times New Roman" w:hAnsi="Times New Roman"/>
          <w:b/>
          <w:color w:val="000000"/>
          <w:sz w:val="28"/>
          <w:szCs w:val="28"/>
        </w:rPr>
        <w:t>у</w:t>
      </w:r>
      <w:r w:rsidR="004F7389" w:rsidRPr="0078696C">
        <w:rPr>
          <w:rFonts w:ascii="Times New Roman" w:hAnsi="Times New Roman"/>
          <w:b/>
          <w:color w:val="000000"/>
          <w:sz w:val="28"/>
          <w:szCs w:val="28"/>
        </w:rPr>
        <w:t xml:space="preserve"> розміру пенсії за віком</w:t>
      </w:r>
    </w:p>
    <w:p w:rsidR="002A1CB6" w:rsidRPr="0078696C" w:rsidRDefault="002A1CB6" w:rsidP="002A1CB6">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Для аналізу візьмімо наступні вихідні дані: хай це буде чоловік – Шевченко Іван Васильович, 01.01.1959 року народження, який розпочав свою підприємницьку діяльність 01.01.1992 року, тобто у віці 33 років. До досягнення зазначеного віку припускаємо, що він навчався у вищому навчальному закладі за денною формою навчання (до прикладу з 01.09.76 р. по 22.06.1981 р.), проходив строкову військову службу (з 01.09.1981 р. по 31.08.1983 р.), з 01.09.1983 р. по 31.12.1991 року працював слюсарем-ремонтником на заводі, а з 01.01.1992 р. по сьогодні займається одноосібною підприємницькою діяльністю та сплачує усі передбачені законодавством податки та збори, в тому числі і на обов’язкове пенсійне страхування.</w:t>
      </w:r>
    </w:p>
    <w:p w:rsidR="005920BB" w:rsidRPr="0078696C" w:rsidRDefault="005920BB" w:rsidP="002A1CB6">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Таким чином, за період з 01.09.1976 р. по 31.12.2018 р. (з перервами) страховий стаж Шевченка І.В. склав 42 роки 1 місяць 22 дні, або 505 повних місяців.</w:t>
      </w:r>
    </w:p>
    <w:p w:rsidR="00495043" w:rsidRPr="0078696C" w:rsidRDefault="00495043"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 огляду на те, що в аналізованому випадку в особи відсутній спеціальний стаж, тому коефіцієнт страхового стажу для обчислення розміру пенсії, розрахований у відповідності до вимог ст. 25 Закону України «Про загальнообов’язкове державне пенсійне страхування», становить:</w:t>
      </w:r>
    </w:p>
    <w:p w:rsidR="00495043" w:rsidRPr="0078696C" w:rsidRDefault="0055017C" w:rsidP="00495043">
      <w:pPr>
        <w:spacing w:after="0" w:line="360" w:lineRule="auto"/>
        <w:ind w:firstLine="709"/>
        <w:contextualSpacing/>
        <w:jc w:val="both"/>
        <w:rPr>
          <w:rFonts w:ascii="Times New Roman" w:hAnsi="Times New Roman"/>
          <w:color w:val="000000"/>
          <w:sz w:val="28"/>
          <w:szCs w:val="28"/>
        </w:rPr>
      </w:pPr>
      <w:r w:rsidRPr="0078696C">
        <w:rPr>
          <w:noProof/>
          <w:color w:val="000000"/>
          <w:lang w:eastAsia="uk-UA"/>
        </w:rPr>
        <w:drawing>
          <wp:inline distT="0" distB="0" distL="0" distR="0">
            <wp:extent cx="1704975" cy="581025"/>
            <wp:effectExtent l="0" t="0" r="0" b="0"/>
            <wp:docPr id="10" name="Рисунок 16" descr="https://zakon.rada.gov.ua/laws/file/imgs/32/p129651n20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https://zakon.rada.gov.ua/laws/file/imgs/32/p129651n2020.gif"/>
                    <pic:cNvPicPr>
                      <a:picLocks noChangeAspect="1" noChangeArrowheads="1"/>
                    </pic:cNvPicPr>
                  </pic:nvPicPr>
                  <pic:blipFill>
                    <a:blip r:embed="rId8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04975" cy="581025"/>
                    </a:xfrm>
                    <a:prstGeom prst="rect">
                      <a:avLst/>
                    </a:prstGeom>
                    <a:noFill/>
                    <a:ln>
                      <a:noFill/>
                    </a:ln>
                  </pic:spPr>
                </pic:pic>
              </a:graphicData>
            </a:graphic>
          </wp:inline>
        </w:drawing>
      </w:r>
    </w:p>
    <w:p w:rsidR="00495043" w:rsidRPr="0078696C" w:rsidRDefault="00495043"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Кс– коефіцієнт страхового стажу;</w:t>
      </w:r>
    </w:p>
    <w:p w:rsidR="00495043" w:rsidRPr="0078696C" w:rsidRDefault="00495043"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См – сума місяців страхового стажу;</w:t>
      </w:r>
    </w:p>
    <w:p w:rsidR="00495043" w:rsidRPr="0078696C" w:rsidRDefault="00495043"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Вс – визначена відповідно до цього Закону величина оцінки одного року страхового стажу (у відсотках). За період участі в системі загальнообов’язкового державного пенсійного страхування величина оцінки одного року страхового стажу дорівнює 1%</w:t>
      </w:r>
      <w:r w:rsidR="005F299A" w:rsidRPr="0078696C">
        <w:rPr>
          <w:rFonts w:ascii="Times New Roman" w:hAnsi="Times New Roman"/>
          <w:color w:val="000000"/>
          <w:sz w:val="28"/>
          <w:szCs w:val="28"/>
          <w:vertAlign w:val="superscript"/>
        </w:rPr>
        <w:t>.</w:t>
      </w:r>
    </w:p>
    <w:p w:rsidR="00495043" w:rsidRPr="0078696C" w:rsidRDefault="00495043"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Кс = 505 місяців х1% /100% х 12 = 0,42083.</w:t>
      </w:r>
    </w:p>
    <w:p w:rsidR="00495043" w:rsidRPr="0078696C" w:rsidRDefault="00495043"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Таким чином, на підставі наведених даних нами було обчислено коефіцієнт страхового стажу особи, який є невід’ємним показником при підрахунку розміру пенсійної виплати.</w:t>
      </w:r>
    </w:p>
    <w:p w:rsidR="002A1CB6" w:rsidRPr="0078696C" w:rsidRDefault="002A1CB6" w:rsidP="002A1CB6">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 метою усунення будь-яких протиріч в аналізі, вважаємо за доречне, виходити із того, що розмір доходу взятого для дослідження підприємця відповідав рівню встановленої мінімальної заробітної плати.</w:t>
      </w:r>
    </w:p>
    <w:p w:rsidR="002A1CB6" w:rsidRPr="0078696C" w:rsidRDefault="002A1CB6" w:rsidP="002A1CB6">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Всі вихідні дані наводимо з використанням наступних критеріїв: встановлений рівень мінімальної заробітної плати, ставка збору, розмір внеску на загальнообов’язкове соціальне страхування.</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Згідно з наведеними даними, середньоарифметична відсоткова ставка внесків на соціальне страхування за період 1992-2018 роки для підприємців-одноосібників становила 28,05 %. Вважаємо за доцільне дану відсоткову ставку застосувати при обчисленні сукупної вартості сплачених внесків, беручи за умовну основу показник мінімальної заробітної плати в Україні станом на грудень 2018 р.</w:t>
      </w:r>
      <w:r w:rsidR="005920BB" w:rsidRPr="0078696C">
        <w:rPr>
          <w:rFonts w:ascii="Times New Roman" w:hAnsi="Times New Roman"/>
          <w:color w:val="000000"/>
          <w:sz w:val="28"/>
          <w:szCs w:val="28"/>
        </w:rPr>
        <w:t xml:space="preserve"> – місяць, який передує зверненню за призначенням пенсії </w:t>
      </w:r>
      <w:r w:rsidRPr="0078696C">
        <w:rPr>
          <w:rFonts w:ascii="Times New Roman" w:hAnsi="Times New Roman"/>
          <w:color w:val="000000"/>
          <w:sz w:val="28"/>
          <w:szCs w:val="28"/>
        </w:rPr>
        <w:t xml:space="preserve">(3723 грн.). Виходячи з зазначених показників, можна вважати, що за 27 років підприємницької діяльності, Шевченком І.В. було сплачено до соціальних фондів 338353,69 грн., в тому числі безпосередньо до ПФУ – </w:t>
      </w:r>
      <w:r w:rsidRPr="0078696C">
        <w:rPr>
          <w:rFonts w:ascii="Times New Roman" w:hAnsi="Times New Roman"/>
          <w:color w:val="000000"/>
          <w:sz w:val="28"/>
          <w:szCs w:val="28"/>
        </w:rPr>
        <w:br/>
        <w:t>95 відсотків зазначеної суми.</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Володіючи даною інформацією, вважаємо за необхідне провести розрахунок майбутньої пенсійної виплати Шевченка І.В., яку орган ПФУ буде виплачувати йому з наступного дня після досягнення 60-річного віку</w:t>
      </w:r>
      <w:r w:rsidR="00A838DE" w:rsidRPr="0078696C">
        <w:rPr>
          <w:rFonts w:ascii="Times New Roman" w:hAnsi="Times New Roman"/>
          <w:color w:val="000000"/>
          <w:sz w:val="28"/>
          <w:szCs w:val="28"/>
        </w:rPr>
        <w:t>, тобто з 02.01.2019 року</w:t>
      </w:r>
      <w:r w:rsidRPr="0078696C">
        <w:rPr>
          <w:rFonts w:ascii="Times New Roman" w:hAnsi="Times New Roman"/>
          <w:color w:val="000000"/>
          <w:sz w:val="28"/>
          <w:szCs w:val="28"/>
        </w:rPr>
        <w:t>.</w:t>
      </w:r>
    </w:p>
    <w:p w:rsidR="002A1CB6" w:rsidRPr="0078696C" w:rsidRDefault="002A1CB6" w:rsidP="00495043">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В додатку</w:t>
      </w:r>
      <w:r w:rsidR="00D97C5D" w:rsidRPr="0078696C">
        <w:rPr>
          <w:rFonts w:ascii="Times New Roman" w:hAnsi="Times New Roman"/>
          <w:color w:val="000000"/>
          <w:sz w:val="28"/>
          <w:szCs w:val="28"/>
        </w:rPr>
        <w:t xml:space="preserve"> Г.2</w:t>
      </w:r>
      <w:r w:rsidRPr="0078696C">
        <w:rPr>
          <w:rFonts w:ascii="Times New Roman" w:hAnsi="Times New Roman"/>
          <w:color w:val="000000"/>
          <w:sz w:val="28"/>
          <w:szCs w:val="28"/>
        </w:rPr>
        <w:t xml:space="preserve"> нами наведено дані про розмір сплачених пенсіонером Шевченко І.В. страхових внесків (з 01.01.2011 р. – єдиного соціального внеску), виходячи із розміру мінімальної заробітної плати та відповідної ставки збору. Наведені дані відповідають розмірам </w:t>
      </w:r>
      <w:r w:rsidR="00495043" w:rsidRPr="0078696C">
        <w:rPr>
          <w:rFonts w:ascii="Times New Roman" w:hAnsi="Times New Roman"/>
          <w:color w:val="000000"/>
          <w:sz w:val="28"/>
          <w:szCs w:val="28"/>
        </w:rPr>
        <w:t>мінімального страхового внеску.</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Отже, нам залишилось з’ясувати розмір заробітної плати (доходу) для обчислення пенсії, який визначається за формулою, встановленою в ч. 2 ст. 40 </w:t>
      </w:r>
      <w:r w:rsidRPr="0078696C">
        <w:rPr>
          <w:rFonts w:ascii="Times New Roman" w:hAnsi="Times New Roman"/>
          <w:color w:val="000000"/>
          <w:sz w:val="28"/>
          <w:szCs w:val="28"/>
        </w:rPr>
        <w:lastRenderedPageBreak/>
        <w:t>Закону України «Про загальнообов’язкове державне пенсійне страхування», а саме:</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u w:val="single"/>
        </w:rPr>
        <w:t>Зп = Зс х (Ск : К), де</w:t>
      </w:r>
      <w:r w:rsidRPr="0078696C">
        <w:rPr>
          <w:rFonts w:ascii="Times New Roman" w:hAnsi="Times New Roman"/>
          <w:color w:val="000000"/>
          <w:sz w:val="28"/>
          <w:szCs w:val="28"/>
        </w:rPr>
        <w:t>:</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Зп – заробітна плата (дохід) застрахованої особи для обчислення пенсії, у гривнях;</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Зс – середня заробітна плата (дохід) в Україні, з якої сплачено страхові внески, за три календарні роки, що передують року звернення за призначенням пенсії. </w:t>
      </w:r>
    </w:p>
    <w:p w:rsidR="005920BB" w:rsidRPr="0078696C" w:rsidRDefault="00495043"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Розмір середньої заробітної плати (дохоуд) в Україні, з якої сплачено страхові внески, за 2016-2018 роки становить</w:t>
      </w:r>
      <w:r w:rsidR="005920BB" w:rsidRPr="0078696C">
        <w:rPr>
          <w:rFonts w:ascii="Times New Roman" w:hAnsi="Times New Roman"/>
          <w:color w:val="000000"/>
          <w:sz w:val="28"/>
          <w:szCs w:val="28"/>
        </w:rPr>
        <w:t>6188,89</w:t>
      </w:r>
      <w:r w:rsidRPr="0078696C">
        <w:rPr>
          <w:rFonts w:ascii="Times New Roman" w:hAnsi="Times New Roman"/>
          <w:color w:val="000000"/>
          <w:sz w:val="28"/>
          <w:szCs w:val="28"/>
        </w:rPr>
        <w:t xml:space="preserve"> грн.</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Ск – сума коефіцієнтів заробітної плати (доходу) за кожний місяць (Кз1 + Кз2 + Кз3 + ... + Кзn );</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 – страховий стаж за місяці, які враховано для визначення коефіцієнта заробітної плати (доходу) застрахованої особи.</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Коефіцієнт заробітної плати (доходу) застрахованої особи за кожний місяць страхового стажу, який враховується при обчисленні пенсії, визначається за формулою:</w:t>
      </w:r>
    </w:p>
    <w:p w:rsidR="002A1CB6" w:rsidRPr="0078696C" w:rsidRDefault="002A1CB6" w:rsidP="002A1CB6">
      <w:pPr>
        <w:spacing w:after="0" w:line="360" w:lineRule="auto"/>
        <w:ind w:firstLine="709"/>
        <w:contextualSpacing/>
        <w:jc w:val="both"/>
        <w:rPr>
          <w:rFonts w:ascii="Times New Roman" w:hAnsi="Times New Roman"/>
          <w:color w:val="000000"/>
          <w:sz w:val="28"/>
          <w:szCs w:val="28"/>
          <w:u w:val="single"/>
        </w:rPr>
      </w:pPr>
      <w:r w:rsidRPr="0078696C">
        <w:rPr>
          <w:rFonts w:ascii="Times New Roman" w:hAnsi="Times New Roman"/>
          <w:color w:val="000000"/>
          <w:sz w:val="28"/>
          <w:szCs w:val="28"/>
          <w:u w:val="single"/>
        </w:rPr>
        <w:t>Кз = Зв : Зс, де:</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Кз – коефіцієнт заробітної плати (доходу) застрахованої особи;</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Зв – сума заробітної плати (доходу) застрахованої особи, з якої сплачено страхові внески та яка відповідно до цього Закону враховується для обчислення пенсії за місяць, за який розраховується коефіцієнт заробітної плати (доходу);</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Зс – середня заробітна плата (дохід) в Україні, з якої сплачено страхові внески та яка відповідно до цього Закону враховується для обчислення пенсії, за місяць, за який розраховується коефіцієнт заробітної плати (доходу).</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Для проведення зазначеного розрахунку органи ПФУ наділені спеціальним програмним забезпеченням, який забезпечує автоматизацію процесів призначення, перерахунку та виплати пенсій на базі діючих законодавчих та нормативних актів України.</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Щоб коректно провести розрахунок в аналізованому випадку, нам слід скористатися показниками середньомісячної заробітної плати працівників, зайнятих у галузях національної економіки, за відповідний місяць.</w:t>
      </w:r>
    </w:p>
    <w:p w:rsidR="00B1466A" w:rsidRPr="0078696C" w:rsidRDefault="00D97C5D" w:rsidP="00B1466A">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Розрахунок заробітної плати надаємо у додатку Г.3</w:t>
      </w:r>
      <w:r w:rsidR="002A1CB6" w:rsidRPr="0078696C">
        <w:rPr>
          <w:rFonts w:ascii="Times New Roman" w:hAnsi="Times New Roman"/>
          <w:color w:val="000000"/>
          <w:sz w:val="28"/>
          <w:szCs w:val="28"/>
        </w:rPr>
        <w:t>.</w:t>
      </w:r>
    </w:p>
    <w:p w:rsidR="00B1466A"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Таким чином, індивідуальний коефіцієнт заробітної плати особи для обчислення розміру пенсії становить: </w:t>
      </w:r>
    </w:p>
    <w:p w:rsidR="00B1466A"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Ск: К = 90,39283</w:t>
      </w:r>
      <w:r w:rsidR="00B1466A" w:rsidRPr="0078696C">
        <w:rPr>
          <w:rFonts w:ascii="Times New Roman" w:hAnsi="Times New Roman"/>
          <w:color w:val="000000"/>
          <w:sz w:val="28"/>
        </w:rPr>
        <w:t>(</w:t>
      </w:r>
      <w:r w:rsidR="00B1466A" w:rsidRPr="0078696C">
        <w:rPr>
          <w:rFonts w:ascii="Times New Roman" w:hAnsi="Times New Roman"/>
          <w:color w:val="000000"/>
          <w:sz w:val="28"/>
          <w:szCs w:val="28"/>
        </w:rPr>
        <w:t>сума коефіцієнтів ЗП)</w:t>
      </w:r>
      <w:r w:rsidRPr="0078696C">
        <w:rPr>
          <w:rFonts w:ascii="Times New Roman" w:hAnsi="Times New Roman"/>
          <w:color w:val="000000"/>
          <w:sz w:val="28"/>
          <w:szCs w:val="28"/>
        </w:rPr>
        <w:t>/222</w:t>
      </w:r>
      <w:r w:rsidR="00B1466A" w:rsidRPr="0078696C">
        <w:rPr>
          <w:rFonts w:ascii="Times New Roman" w:hAnsi="Times New Roman"/>
          <w:color w:val="000000"/>
          <w:sz w:val="28"/>
        </w:rPr>
        <w:t>(</w:t>
      </w:r>
      <w:r w:rsidR="00B1466A" w:rsidRPr="0078696C">
        <w:rPr>
          <w:rFonts w:ascii="Times New Roman" w:hAnsi="Times New Roman"/>
          <w:color w:val="000000"/>
          <w:sz w:val="28"/>
          <w:szCs w:val="28"/>
        </w:rPr>
        <w:t xml:space="preserve">страховий стаж за місяці обчисленої ЗП) </w:t>
      </w:r>
      <w:r w:rsidRPr="0078696C">
        <w:rPr>
          <w:rFonts w:ascii="Times New Roman" w:hAnsi="Times New Roman"/>
          <w:color w:val="000000"/>
          <w:sz w:val="28"/>
          <w:szCs w:val="28"/>
        </w:rPr>
        <w:t xml:space="preserve">=0,40717, </w:t>
      </w:r>
    </w:p>
    <w:p w:rsidR="002A1CB6" w:rsidRPr="0078696C" w:rsidRDefault="002A1CB6" w:rsidP="00B1466A">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тому Зп = </w:t>
      </w:r>
      <w:r w:rsidR="00B1466A" w:rsidRPr="0078696C">
        <w:rPr>
          <w:rFonts w:ascii="Times New Roman" w:hAnsi="Times New Roman"/>
          <w:color w:val="000000"/>
          <w:sz w:val="28"/>
          <w:szCs w:val="28"/>
        </w:rPr>
        <w:t>6188,89 грн.</w:t>
      </w:r>
      <w:r w:rsidRPr="0078696C">
        <w:rPr>
          <w:rFonts w:ascii="Times New Roman" w:hAnsi="Times New Roman"/>
          <w:color w:val="000000"/>
          <w:sz w:val="28"/>
          <w:szCs w:val="28"/>
        </w:rPr>
        <w:t xml:space="preserve"> (</w:t>
      </w:r>
      <w:r w:rsidR="00B1466A" w:rsidRPr="0078696C">
        <w:rPr>
          <w:rFonts w:ascii="Times New Roman" w:hAnsi="Times New Roman"/>
          <w:color w:val="000000"/>
          <w:sz w:val="28"/>
          <w:szCs w:val="28"/>
        </w:rPr>
        <w:t>Зс –</w:t>
      </w:r>
      <w:r w:rsidRPr="0078696C">
        <w:rPr>
          <w:rFonts w:ascii="Times New Roman" w:hAnsi="Times New Roman"/>
          <w:color w:val="000000"/>
          <w:sz w:val="28"/>
          <w:szCs w:val="28"/>
        </w:rPr>
        <w:t>показник</w:t>
      </w:r>
      <w:r w:rsidR="00B1466A" w:rsidRPr="0078696C">
        <w:rPr>
          <w:rFonts w:ascii="Times New Roman" w:hAnsi="Times New Roman"/>
          <w:color w:val="000000"/>
          <w:sz w:val="28"/>
          <w:szCs w:val="28"/>
        </w:rPr>
        <w:t xml:space="preserve"> середньої ЗП</w:t>
      </w:r>
      <w:r w:rsidRPr="0078696C">
        <w:rPr>
          <w:rFonts w:ascii="Times New Roman" w:hAnsi="Times New Roman"/>
          <w:color w:val="000000"/>
          <w:sz w:val="28"/>
          <w:szCs w:val="28"/>
        </w:rPr>
        <w:t xml:space="preserve"> за 2016-2018 роки) х 0,40717 </w:t>
      </w:r>
      <w:r w:rsidR="00B1466A" w:rsidRPr="0078696C">
        <w:rPr>
          <w:rFonts w:ascii="Times New Roman" w:hAnsi="Times New Roman"/>
          <w:color w:val="000000"/>
          <w:sz w:val="28"/>
          <w:szCs w:val="28"/>
        </w:rPr>
        <w:t>(Ск: К)</w:t>
      </w:r>
      <w:r w:rsidR="00F02963" w:rsidRPr="0078696C">
        <w:rPr>
          <w:rFonts w:ascii="Times New Roman" w:hAnsi="Times New Roman"/>
          <w:color w:val="000000"/>
          <w:sz w:val="28"/>
          <w:szCs w:val="28"/>
        </w:rPr>
        <w:t>=2519,93</w:t>
      </w:r>
      <w:r w:rsidRPr="0078696C">
        <w:rPr>
          <w:rFonts w:ascii="Times New Roman" w:hAnsi="Times New Roman"/>
          <w:color w:val="000000"/>
          <w:sz w:val="28"/>
          <w:szCs w:val="28"/>
        </w:rPr>
        <w:t>грн.</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Отже, розмір пенсії Шевченка І.В., обчислений за формулою П = Зп х Кс, становитиме </w:t>
      </w:r>
      <w:r w:rsidR="00F02963" w:rsidRPr="0078696C">
        <w:rPr>
          <w:rFonts w:ascii="Times New Roman" w:hAnsi="Times New Roman"/>
          <w:color w:val="000000"/>
          <w:sz w:val="28"/>
          <w:szCs w:val="28"/>
        </w:rPr>
        <w:t xml:space="preserve">1060,46 </w:t>
      </w:r>
      <w:r w:rsidRPr="0078696C">
        <w:rPr>
          <w:rFonts w:ascii="Times New Roman" w:hAnsi="Times New Roman"/>
          <w:color w:val="000000"/>
          <w:sz w:val="28"/>
          <w:szCs w:val="28"/>
        </w:rPr>
        <w:t>грн. (</w:t>
      </w:r>
      <w:r w:rsidR="00F02963" w:rsidRPr="0078696C">
        <w:rPr>
          <w:rFonts w:ascii="Times New Roman" w:hAnsi="Times New Roman"/>
          <w:color w:val="000000"/>
          <w:sz w:val="28"/>
          <w:szCs w:val="28"/>
        </w:rPr>
        <w:t>2519,93</w:t>
      </w:r>
      <w:r w:rsidRPr="0078696C">
        <w:rPr>
          <w:rFonts w:ascii="Times New Roman" w:hAnsi="Times New Roman"/>
          <w:color w:val="000000"/>
          <w:sz w:val="28"/>
          <w:szCs w:val="28"/>
        </w:rPr>
        <w:t xml:space="preserve"> грн. х 0,42083).</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Також, згідно з ст. 28 Закону України «Про загальнообов’язкове державне пенсійне страхування» Шевченко І.В. матиме право на отримання надбавки за стаж роботи понад 35 років у розмірі 1 відсотку розміру пенсії, обчисленої відповідно до статті 27 цього Закону. Тобто, надбавка Шевченка І.В. за понаднормовий стаж становитиме </w:t>
      </w:r>
      <w:r w:rsidR="00F02963" w:rsidRPr="0078696C">
        <w:rPr>
          <w:rFonts w:ascii="Times New Roman" w:hAnsi="Times New Roman"/>
          <w:color w:val="000000"/>
          <w:sz w:val="28"/>
          <w:szCs w:val="28"/>
        </w:rPr>
        <w:t>74,23</w:t>
      </w:r>
      <w:r w:rsidRPr="0078696C">
        <w:rPr>
          <w:rFonts w:ascii="Times New Roman" w:hAnsi="Times New Roman"/>
          <w:color w:val="000000"/>
          <w:sz w:val="28"/>
          <w:szCs w:val="28"/>
        </w:rPr>
        <w:t xml:space="preserve"> грн. (</w:t>
      </w:r>
      <w:r w:rsidR="00F02963" w:rsidRPr="0078696C">
        <w:rPr>
          <w:rFonts w:ascii="Times New Roman" w:hAnsi="Times New Roman"/>
          <w:color w:val="000000"/>
          <w:sz w:val="28"/>
          <w:szCs w:val="28"/>
        </w:rPr>
        <w:t>1060,46</w:t>
      </w:r>
      <w:r w:rsidRPr="0078696C">
        <w:rPr>
          <w:rFonts w:ascii="Times New Roman" w:hAnsi="Times New Roman"/>
          <w:color w:val="000000"/>
          <w:sz w:val="28"/>
          <w:szCs w:val="28"/>
        </w:rPr>
        <w:t xml:space="preserve"> грн. х 7 %).</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З урахуванням проведених розрахунків, розмір пенсії Шевченка І.В., виходячи зі стажу роби 42 роки та з урахуванням сплачених ним внесків з мінімальної заробітної плати за 27 років підприємницької діяльності, складатиме </w:t>
      </w:r>
      <w:r w:rsidR="00F02963" w:rsidRPr="0078696C">
        <w:rPr>
          <w:rFonts w:ascii="Times New Roman" w:hAnsi="Times New Roman"/>
          <w:color w:val="000000"/>
          <w:sz w:val="28"/>
          <w:szCs w:val="28"/>
        </w:rPr>
        <w:t xml:space="preserve">1134,69 </w:t>
      </w:r>
      <w:r w:rsidRPr="0078696C">
        <w:rPr>
          <w:rFonts w:ascii="Times New Roman" w:hAnsi="Times New Roman"/>
          <w:color w:val="000000"/>
          <w:sz w:val="28"/>
          <w:szCs w:val="28"/>
        </w:rPr>
        <w:t xml:space="preserve"> грн., що на </w:t>
      </w:r>
      <w:r w:rsidR="00F02963" w:rsidRPr="0078696C">
        <w:rPr>
          <w:rFonts w:ascii="Times New Roman" w:hAnsi="Times New Roman"/>
          <w:color w:val="000000"/>
          <w:sz w:val="28"/>
          <w:szCs w:val="28"/>
        </w:rPr>
        <w:t>24</w:t>
      </w:r>
      <w:r w:rsidRPr="0078696C">
        <w:rPr>
          <w:rFonts w:ascii="Times New Roman" w:hAnsi="Times New Roman"/>
          <w:color w:val="000000"/>
          <w:sz w:val="28"/>
          <w:szCs w:val="28"/>
        </w:rPr>
        <w:t>,</w:t>
      </w:r>
      <w:r w:rsidR="00F02963" w:rsidRPr="0078696C">
        <w:rPr>
          <w:rFonts w:ascii="Times New Roman" w:hAnsi="Times New Roman"/>
          <w:color w:val="000000"/>
          <w:sz w:val="28"/>
          <w:szCs w:val="28"/>
        </w:rPr>
        <w:t>2</w:t>
      </w:r>
      <w:r w:rsidRPr="0078696C">
        <w:rPr>
          <w:rFonts w:ascii="Times New Roman" w:hAnsi="Times New Roman"/>
          <w:color w:val="000000"/>
          <w:sz w:val="28"/>
          <w:szCs w:val="28"/>
        </w:rPr>
        <w:t xml:space="preserve"> % менше, ніж встановлений прожитковий мінімум для осіб, які втратили працездатність (з 01.12.2018 р. цей показник дорівнює 1497 грн.).</w:t>
      </w:r>
    </w:p>
    <w:p w:rsidR="002A1CB6" w:rsidRPr="0078696C" w:rsidRDefault="002A1CB6" w:rsidP="002A1CB6">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Враховуючи той факт, що в аналізованому випадку страховий стаж особи становить понад 35 років, встановлених ч. 1 ст. 28 Закону України «Про загальнообов’язкове державне пенсійне страхування» для чоловіків, тому Шевченку І.В. пенсію буде призначено у розмірі 1497 грн., при цьому </w:t>
      </w:r>
      <w:r w:rsidR="00F02963" w:rsidRPr="0078696C">
        <w:rPr>
          <w:rFonts w:ascii="Times New Roman" w:hAnsi="Times New Roman"/>
          <w:color w:val="000000"/>
          <w:sz w:val="28"/>
          <w:szCs w:val="28"/>
        </w:rPr>
        <w:t xml:space="preserve">1134,69  </w:t>
      </w:r>
      <w:r w:rsidRPr="0078696C">
        <w:rPr>
          <w:rFonts w:ascii="Times New Roman" w:hAnsi="Times New Roman"/>
          <w:color w:val="000000"/>
          <w:sz w:val="28"/>
          <w:szCs w:val="28"/>
        </w:rPr>
        <w:t xml:space="preserve">(або </w:t>
      </w:r>
      <w:r w:rsidR="00F02963" w:rsidRPr="0078696C">
        <w:rPr>
          <w:rFonts w:ascii="Times New Roman" w:hAnsi="Times New Roman"/>
          <w:color w:val="000000"/>
          <w:sz w:val="28"/>
          <w:szCs w:val="28"/>
        </w:rPr>
        <w:t>75,8</w:t>
      </w:r>
      <w:r w:rsidRPr="0078696C">
        <w:rPr>
          <w:rFonts w:ascii="Times New Roman" w:hAnsi="Times New Roman"/>
          <w:color w:val="000000"/>
          <w:sz w:val="28"/>
          <w:szCs w:val="28"/>
        </w:rPr>
        <w:t xml:space="preserve"> %) буде фінансуватися за кошти ПФУ, решта – </w:t>
      </w:r>
      <w:r w:rsidR="00F02963" w:rsidRPr="0078696C">
        <w:rPr>
          <w:rFonts w:ascii="Times New Roman" w:hAnsi="Times New Roman"/>
          <w:color w:val="000000"/>
          <w:sz w:val="28"/>
          <w:szCs w:val="28"/>
        </w:rPr>
        <w:t>362,31</w:t>
      </w:r>
      <w:r w:rsidRPr="0078696C">
        <w:rPr>
          <w:rFonts w:ascii="Times New Roman" w:hAnsi="Times New Roman"/>
          <w:color w:val="000000"/>
          <w:sz w:val="28"/>
          <w:szCs w:val="28"/>
        </w:rPr>
        <w:t xml:space="preserve"> грн. (або </w:t>
      </w:r>
      <w:r w:rsidR="00F02963" w:rsidRPr="0078696C">
        <w:rPr>
          <w:rFonts w:ascii="Times New Roman" w:hAnsi="Times New Roman"/>
          <w:color w:val="000000"/>
          <w:sz w:val="28"/>
          <w:szCs w:val="28"/>
        </w:rPr>
        <w:t>24,2</w:t>
      </w:r>
      <w:r w:rsidRPr="0078696C">
        <w:rPr>
          <w:rFonts w:ascii="Times New Roman" w:hAnsi="Times New Roman"/>
          <w:color w:val="000000"/>
          <w:sz w:val="28"/>
          <w:szCs w:val="28"/>
        </w:rPr>
        <w:t>%) за рахунок коштів Державного бюджету України (ч. 6 ст. 26 ЗУ «Про загальнообов’язкове державне пенсійне страхування»).</w:t>
      </w:r>
    </w:p>
    <w:p w:rsidR="00022DFC" w:rsidRPr="0078696C" w:rsidRDefault="00022DFC" w:rsidP="00022DFC">
      <w:pPr>
        <w:spacing w:after="0"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lastRenderedPageBreak/>
        <w:t>Аналізований випадок яскраво демонструє диспропорцію діючої солідарної пенсійної системи України та дисбаланс між особистим страховим внеском особи до ПФУ та розміром призначеної пенсії.</w:t>
      </w:r>
    </w:p>
    <w:p w:rsidR="007D663F" w:rsidRPr="0078696C" w:rsidRDefault="00022DFC" w:rsidP="00022DFC">
      <w:pPr>
        <w:spacing w:line="360" w:lineRule="auto"/>
        <w:ind w:firstLine="709"/>
        <w:contextualSpacing/>
        <w:jc w:val="both"/>
        <w:rPr>
          <w:rFonts w:ascii="Times New Roman" w:hAnsi="Times New Roman"/>
          <w:color w:val="000000"/>
          <w:sz w:val="28"/>
          <w:szCs w:val="28"/>
        </w:rPr>
      </w:pPr>
      <w:r w:rsidRPr="0078696C">
        <w:rPr>
          <w:rFonts w:ascii="Times New Roman" w:hAnsi="Times New Roman"/>
          <w:color w:val="000000"/>
          <w:sz w:val="28"/>
          <w:szCs w:val="28"/>
        </w:rPr>
        <w:t>Однак, в сучасних українських реаліях, низький рівень пенсійного забезпечення при значних внесках на соціальне страхування не є єдиною проблемою сучасної пенсійної системи.</w:t>
      </w:r>
    </w:p>
    <w:p w:rsidR="005F299A" w:rsidRPr="0078696C" w:rsidRDefault="005F299A">
      <w:pPr>
        <w:spacing w:after="0" w:line="240" w:lineRule="auto"/>
        <w:rPr>
          <w:rFonts w:ascii="Times New Roman" w:hAnsi="Times New Roman"/>
          <w:color w:val="000000"/>
          <w:sz w:val="28"/>
          <w:szCs w:val="28"/>
        </w:rPr>
      </w:pPr>
    </w:p>
    <w:p w:rsidR="005F299A" w:rsidRPr="00B16D8C" w:rsidRDefault="002C670A" w:rsidP="002C670A">
      <w:pPr>
        <w:spacing w:after="0" w:line="240" w:lineRule="auto"/>
        <w:jc w:val="center"/>
        <w:rPr>
          <w:rFonts w:ascii="Times New Roman" w:hAnsi="Times New Roman"/>
          <w:i/>
          <w:color w:val="000000"/>
          <w:sz w:val="28"/>
          <w:szCs w:val="28"/>
          <w:lang w:val="ru-RU"/>
        </w:rPr>
      </w:pPr>
      <w:r w:rsidRPr="00B16D8C">
        <w:rPr>
          <w:rFonts w:ascii="Times New Roman" w:hAnsi="Times New Roman"/>
          <w:i/>
          <w:color w:val="000000"/>
          <w:sz w:val="28"/>
          <w:szCs w:val="28"/>
          <w:lang w:val="ru-RU"/>
        </w:rPr>
        <w:t>[</w:t>
      </w:r>
      <w:r w:rsidR="00FD2866" w:rsidRPr="00B16D8C">
        <w:rPr>
          <w:rFonts w:ascii="Times New Roman" w:hAnsi="Times New Roman"/>
          <w:i/>
          <w:color w:val="000000"/>
          <w:sz w:val="28"/>
          <w:szCs w:val="28"/>
        </w:rPr>
        <w:t xml:space="preserve">усі формули, наведені в додатку Г.1 </w:t>
      </w:r>
      <w:r w:rsidR="005F299A" w:rsidRPr="00B16D8C">
        <w:rPr>
          <w:rFonts w:ascii="Times New Roman" w:hAnsi="Times New Roman"/>
          <w:i/>
          <w:color w:val="000000"/>
          <w:sz w:val="28"/>
          <w:szCs w:val="28"/>
        </w:rPr>
        <w:t>взято із Закону України «Про загальнообов’язкове державне пенсійне страхування»</w:t>
      </w:r>
      <w:r w:rsidRPr="00B16D8C">
        <w:rPr>
          <w:rFonts w:ascii="Times New Roman" w:hAnsi="Times New Roman"/>
          <w:i/>
          <w:color w:val="000000"/>
          <w:sz w:val="28"/>
          <w:szCs w:val="28"/>
          <w:lang w:val="ru-RU"/>
        </w:rPr>
        <w:t>]</w:t>
      </w:r>
    </w:p>
    <w:p w:rsidR="005F299A" w:rsidRPr="00B16D8C" w:rsidRDefault="005F299A">
      <w:pPr>
        <w:spacing w:after="0" w:line="240" w:lineRule="auto"/>
        <w:rPr>
          <w:rFonts w:ascii="Times New Roman" w:hAnsi="Times New Roman"/>
          <w:i/>
          <w:color w:val="000000"/>
          <w:sz w:val="28"/>
          <w:szCs w:val="28"/>
        </w:rPr>
      </w:pPr>
    </w:p>
    <w:p w:rsidR="007D663F" w:rsidRPr="0078696C" w:rsidRDefault="007D663F" w:rsidP="00AB6073">
      <w:pPr>
        <w:spacing w:after="0" w:line="240" w:lineRule="auto"/>
        <w:jc w:val="right"/>
        <w:rPr>
          <w:rFonts w:ascii="Times New Roman" w:hAnsi="Times New Roman"/>
          <w:color w:val="000000"/>
          <w:sz w:val="28"/>
          <w:szCs w:val="28"/>
        </w:rPr>
      </w:pPr>
      <w:r w:rsidRPr="0078696C">
        <w:rPr>
          <w:rFonts w:ascii="Times New Roman" w:hAnsi="Times New Roman"/>
          <w:color w:val="000000"/>
          <w:sz w:val="28"/>
          <w:szCs w:val="28"/>
        </w:rPr>
        <w:br w:type="page"/>
      </w:r>
      <w:r w:rsidRPr="0078696C">
        <w:rPr>
          <w:rFonts w:ascii="Times New Roman" w:hAnsi="Times New Roman"/>
          <w:b/>
          <w:color w:val="000000"/>
          <w:sz w:val="28"/>
          <w:szCs w:val="28"/>
        </w:rPr>
        <w:lastRenderedPageBreak/>
        <w:t xml:space="preserve">Додаток </w:t>
      </w:r>
      <w:r w:rsidR="00D97C5D" w:rsidRPr="0078696C">
        <w:rPr>
          <w:rFonts w:ascii="Times New Roman" w:hAnsi="Times New Roman"/>
          <w:b/>
          <w:color w:val="000000"/>
          <w:sz w:val="28"/>
          <w:szCs w:val="28"/>
        </w:rPr>
        <w:t>Г.2</w:t>
      </w:r>
    </w:p>
    <w:p w:rsidR="007D663F" w:rsidRPr="0078696C" w:rsidRDefault="007D663F" w:rsidP="007D663F">
      <w:pPr>
        <w:jc w:val="center"/>
        <w:rPr>
          <w:rFonts w:ascii="Times New Roman" w:hAnsi="Times New Roman"/>
          <w:b/>
          <w:color w:val="000000"/>
          <w:sz w:val="28"/>
          <w:szCs w:val="28"/>
        </w:rPr>
      </w:pPr>
      <w:r w:rsidRPr="0078696C">
        <w:rPr>
          <w:rFonts w:ascii="Times New Roman" w:hAnsi="Times New Roman"/>
          <w:b/>
          <w:color w:val="000000"/>
          <w:sz w:val="28"/>
          <w:szCs w:val="28"/>
        </w:rPr>
        <w:t>Ставки збору на соціальне страхування</w:t>
      </w:r>
    </w:p>
    <w:tbl>
      <w:tblPr>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1679"/>
        <w:gridCol w:w="1528"/>
        <w:gridCol w:w="1669"/>
        <w:gridCol w:w="979"/>
        <w:gridCol w:w="2442"/>
        <w:gridCol w:w="992"/>
      </w:tblGrid>
      <w:tr w:rsidR="007D663F" w:rsidRPr="00CF26B9" w:rsidTr="0014734E">
        <w:trPr>
          <w:jc w:val="center"/>
        </w:trPr>
        <w:tc>
          <w:tcPr>
            <w:tcW w:w="566"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п/п</w:t>
            </w: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Календарний період</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Розмір мінімальної зарплати</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Нормативно-правовий акт</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Ставка збору</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Нормативно-правовий акт</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Розмір внеску</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01.01.1992-30.04.1992</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400 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Указ Президента України від 09.01.92 р. № 34/92</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10 %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Кабінету Міністрів України від 21 січня 1992 р. № 23</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xml:space="preserve">01.05.1992- 31.10.1992 </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900 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29.04.92 р. № 2301-XII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10%</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Кабінету Міністрів України від 21 січня 1992 р. № 23</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01.11.1992 – 31.12.1992</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2300 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16.11.92 р. № 2779-XII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10%</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Кабінету Міністрів України від 21 січня 1992 р. № 23</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230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01.01.1993-30.04.1993</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xml:space="preserve">4600 крб. </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Декрет КМУ від 29.12.92 р. № 19-92</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10%</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Кабінету Міністрів України від 21 січня 1992 р. № 23</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460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01.05.1993-</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xml:space="preserve">4600 крб. </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Декрет КМУ від 29.12.92 р. № 19-92</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17.06.1993 р. № 3290-XII</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414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01.06.93 – 31.08.93</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6 900 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01.06.93 р. № 3243-XII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17.06.1993 р. № 3290-XII</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621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01.09.93 – 30.11.93</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20 000 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27.08.93 р. № 3415-XII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17.06.1993 р. № 3290-XII</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1800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01.12.93 – 06.02.96</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60 000крб.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25.11.93 р. № 3653-XII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17.06.1993 р. № 3290-XII</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5400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07.02.1996-29.02.1996</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60 000крб.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25.11.93 р. № 3653-XII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33,6%</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07.02.1996 р. № 36/96-ВР</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20160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01.03.96 – 01.09.96</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1500 000 крб.</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ВРУ від 20.02.96 р. № 49/96-ВР</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33,6%</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07.02.1996 р. № 36/96-ВР</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504000 крб.</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02.09.96 – 28.07.97</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15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Указ Президента України від 25.08.96 р. № 762/96</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33,6 %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Постанова Верховної Ради України від 07.02.1996 р. № 36/96-ВР</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5,04 грн.</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29.07.97 – 31.12.97</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15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Указ Президента України від 25.08.96 р. № 762/96</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ЗУ «Про збір на обов'язкове державне пенсійне страхування»</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01.01.98 – 30.06.98</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45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24.12.97 р. № 780/97-ВР</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14,4</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01.07.98 – 31.12.98</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55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Указ Президента України від 23.06.98 р. № 669/98</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17,6</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01.01.99 – 31.03.2000</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74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25.12.98 р. № 366-XIV</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23,68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01.04.2000 – 30.06.2000</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90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01.06.2000 р. № 1766-III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28,80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01.07.2000 – 31.12.2001</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118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01.06.2000 р. № 1766-III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37,76</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01.01.2002 – 30.06.2002</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140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13.12.2001 р. № 2896-III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44,80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01.07.2002 – 31.12.2002</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xml:space="preserve">165 грн. </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13.12.2001 р. № 2896-III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52,80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01.01.2003 – 30.11.2003</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185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26.12.2002 р. № 372-IV</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59,20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01.12.2003 – 31.08.2004</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205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26.12.2002 р. № 380-IV</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65,60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01.09.2004 – 31.12.2004</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237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27.11.2003 р. № 1344-IV</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75,84</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01.01.2005 – 31.03.2005</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262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від 23.12.2004 р. № 2285-IV</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83,84</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01.04.2005 – 30.06.2005</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290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92,80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xml:space="preserve">01.07.2005 – </w:t>
            </w:r>
            <w:r w:rsidRPr="00CF26B9">
              <w:rPr>
                <w:rFonts w:ascii="Times New Roman" w:hAnsi="Times New Roman"/>
                <w:color w:val="000000"/>
                <w:sz w:val="24"/>
                <w:szCs w:val="24"/>
              </w:rPr>
              <w:lastRenderedPageBreak/>
              <w:t>31.08.2005</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lastRenderedPageBreak/>
              <w:t>310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99,20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 xml:space="preserve">01.09.2005 – 31.12.2005 </w:t>
            </w:r>
          </w:p>
        </w:tc>
        <w:tc>
          <w:tcPr>
            <w:tcW w:w="1528"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332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106,24</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01.01.2006 – 30.06.2006</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350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20.12.2005 р. № 3235-IV</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112</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01.07.2006 – 30.11.2006</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xml:space="preserve">375 грн. </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120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01.12.2006 – 31.12.2006</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xml:space="preserve">400 грн. </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128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01.01.2007 – 31.03.2007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xml:space="preserve">400 грн. </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19.12.2006 р. № 489-V</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128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xml:space="preserve">01.04.2007 – 30.06.2007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420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134,40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01.07.2007 – 30.09.2007</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440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140,80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01.10.2007 – 31.12.2007</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xml:space="preserve">460 грн. </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147,20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01.01.2008 – 31.03.2008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515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28.12.2007 р. № 107-VI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164,80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01.04.2008 – 30.09.2008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525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168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01.10.2008 – 30.11.2008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545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174,40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01.12.2008 – 31.12.2008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605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193,60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01.01.2009 – 31.03.2009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605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26.12.2008 року № 835-VI </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193,60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01.04.2009 – 30.06.2009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625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200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01.07.2009 – 30.09.2009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630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201,60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01.10.2009 – 31.10.2009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650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208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01.11.2009 – 31.12.2009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744 грн.</w:t>
            </w:r>
          </w:p>
        </w:tc>
        <w:tc>
          <w:tcPr>
            <w:tcW w:w="166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26.12.2008 року № 835-VI;</w:t>
            </w:r>
          </w:p>
          <w:p w:rsidR="007D663F" w:rsidRPr="00CF26B9" w:rsidRDefault="007D663F" w:rsidP="0039246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від 20.10.2009 р. № 1646-VI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238,08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 xml:space="preserve">01.01.2010 – </w:t>
            </w:r>
            <w:r w:rsidRPr="00CF26B9">
              <w:rPr>
                <w:rFonts w:ascii="Times New Roman" w:hAnsi="Times New Roman"/>
                <w:color w:val="000000"/>
                <w:sz w:val="24"/>
                <w:szCs w:val="24"/>
              </w:rPr>
              <w:lastRenderedPageBreak/>
              <w:t>31.03.2010 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lastRenderedPageBreak/>
              <w:t>869 грн.</w:t>
            </w:r>
          </w:p>
        </w:tc>
        <w:tc>
          <w:tcPr>
            <w:tcW w:w="1669" w:type="dxa"/>
            <w:shd w:val="clear" w:color="auto" w:fill="auto"/>
          </w:tcPr>
          <w:p w:rsidR="007D663F" w:rsidRPr="00CF26B9" w:rsidRDefault="007D663F" w:rsidP="0014734E">
            <w:pPr>
              <w:spacing w:after="0" w:line="240" w:lineRule="auto"/>
              <w:contextualSpacing/>
              <w:jc w:val="center"/>
              <w:rPr>
                <w:rFonts w:ascii="Times New Roman" w:hAnsi="Times New Roman"/>
                <w:color w:val="000000"/>
                <w:sz w:val="24"/>
                <w:szCs w:val="24"/>
              </w:rPr>
            </w:pPr>
            <w:r w:rsidRPr="00CF26B9">
              <w:rPr>
                <w:rFonts w:ascii="Times New Roman" w:hAnsi="Times New Roman"/>
                <w:color w:val="000000"/>
                <w:sz w:val="24"/>
                <w:szCs w:val="24"/>
              </w:rPr>
              <w:t xml:space="preserve">Закон </w:t>
            </w:r>
            <w:r w:rsidRPr="00CF26B9">
              <w:rPr>
                <w:rFonts w:ascii="Times New Roman" w:hAnsi="Times New Roman"/>
                <w:color w:val="000000"/>
                <w:sz w:val="24"/>
                <w:szCs w:val="24"/>
              </w:rPr>
              <w:lastRenderedPageBreak/>
              <w:t>України від 20.10.2009 р. № 1646-VI;</w:t>
            </w:r>
          </w:p>
          <w:p w:rsidR="007D663F" w:rsidRPr="00CF26B9" w:rsidRDefault="007D663F" w:rsidP="0014734E">
            <w:pPr>
              <w:spacing w:after="0" w:line="240" w:lineRule="auto"/>
              <w:contextualSpacing/>
              <w:jc w:val="center"/>
              <w:rPr>
                <w:rFonts w:ascii="Times New Roman" w:hAnsi="Times New Roman"/>
                <w:color w:val="000000"/>
                <w:sz w:val="24"/>
                <w:szCs w:val="24"/>
              </w:rPr>
            </w:pPr>
            <w:r w:rsidRPr="00CF26B9">
              <w:rPr>
                <w:rFonts w:ascii="Times New Roman" w:hAnsi="Times New Roman"/>
                <w:color w:val="000000"/>
                <w:sz w:val="24"/>
                <w:szCs w:val="24"/>
              </w:rPr>
              <w:t>Закон України від 27.04.2010 р. № 2154-VI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lastRenderedPageBreak/>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278,08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01.04.2010 – 30.06.2010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884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282,88</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01.07.2010 – 30.09.2010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888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284,16</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01.10.2010 – 30.11.2010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907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290,24</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01.12.2010 – 31.12.2010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922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32 %</w:t>
            </w:r>
          </w:p>
        </w:tc>
        <w:tc>
          <w:tcPr>
            <w:tcW w:w="244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295,04</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01.01.2011 – 31.03.2011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941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«Про Державний бюджет України на 2011 рік» від 23.12.2010 р. № 2857-VI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Про збір та облік єдиного внеску на загальнообов'язкове державне соціальне страхування" № 2464-VI від 08.07.2010 р.</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326,53</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01.04.2011 – 30.09.2011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960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333,12</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01.10.2011 – 30.11.2011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985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341,80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01.12.2011 – 31.12.2011 </w:t>
            </w:r>
          </w:p>
        </w:tc>
        <w:tc>
          <w:tcPr>
            <w:tcW w:w="1528"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1004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348,39</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01.01.2012 – 31.03.2012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1073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«Про Державний бюджет України на 2012 рік» від 22.12.2011 р. № 4282-VI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372,33</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01.04.2012 – 30.06.2012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1094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379,62</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01.07.2012 – 30.09.2012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1102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382,39</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01.10.2012 – 30.11.2012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1118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387,95</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01.12.2012 – 31.12.2012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1134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393,50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01.01.2013 – 30.11.2013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1147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«Про Державний бюджет України на 2013 рік» від 06.12.2012 р. № 5515-VI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398,01</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01.12.2013 – 31.12.2013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1218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422,65</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01.01.2014 - 31.12.2014</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1218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Закон України «Про Державний бюджет України на 2014 рік» від 16.01.2014 р. № 719-VII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422,65</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01.01.2015 - 31.08.2015</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1218 грн.</w:t>
            </w:r>
          </w:p>
        </w:tc>
        <w:tc>
          <w:tcPr>
            <w:tcW w:w="166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ст. 8 Закону України від 28.12.2014 р. № 80-VIII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422,65</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01.09.2015 - 31.12.2015</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1378 грн.</w:t>
            </w:r>
          </w:p>
        </w:tc>
        <w:tc>
          <w:tcPr>
            <w:tcW w:w="166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пп. 2 п. 1 Закону України від 17.09.2015 р. № 704-VIII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34,7</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478,17</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01.01.2016 - 30.04.2016</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1378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ст. 8 Закону України від 25.12.2015 р. № 928-VIII</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22%</w:t>
            </w:r>
          </w:p>
        </w:tc>
        <w:tc>
          <w:tcPr>
            <w:tcW w:w="2442" w:type="dxa"/>
            <w:shd w:val="clear" w:color="auto" w:fill="auto"/>
          </w:tcPr>
          <w:p w:rsidR="007D663F" w:rsidRPr="00CF26B9" w:rsidRDefault="007D663F" w:rsidP="0014734E">
            <w:pPr>
              <w:spacing w:after="0" w:line="240" w:lineRule="auto"/>
              <w:contextualSpacing/>
              <w:rPr>
                <w:rFonts w:ascii="Times New Roman" w:hAnsi="Times New Roman"/>
                <w:color w:val="000000"/>
                <w:sz w:val="24"/>
                <w:szCs w:val="24"/>
              </w:rPr>
            </w:pPr>
            <w:r w:rsidRPr="00CF26B9">
              <w:rPr>
                <w:rFonts w:ascii="Times New Roman" w:hAnsi="Times New Roman"/>
                <w:color w:val="000000"/>
                <w:sz w:val="24"/>
                <w:szCs w:val="24"/>
              </w:rPr>
              <w:t>Закон України «Про внесення змін до Податкового кодексу України та деяких законодавчих актів України щодо збалансованості бюджетних надходжень у 2016 р.» від 24.12.2015 р. № 909</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303,16</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01.05.2016 - 30.11.2016</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1450 грн.</w:t>
            </w:r>
          </w:p>
        </w:tc>
        <w:tc>
          <w:tcPr>
            <w:tcW w:w="166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22 %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319,00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01.12.2016 - 31.12.2016</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1600 грн. </w:t>
            </w:r>
          </w:p>
        </w:tc>
        <w:tc>
          <w:tcPr>
            <w:tcW w:w="166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22 %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352,00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01.01.2017 – 31.12.2017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3200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ст. 8 Закону України від 21.12.2016 р. № 1801-VIII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22 %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704,00</w:t>
            </w:r>
          </w:p>
        </w:tc>
      </w:tr>
      <w:tr w:rsidR="007D663F" w:rsidRPr="00CF26B9" w:rsidTr="0014734E">
        <w:trPr>
          <w:jc w:val="center"/>
        </w:trPr>
        <w:tc>
          <w:tcPr>
            <w:tcW w:w="566" w:type="dxa"/>
            <w:shd w:val="clear" w:color="auto" w:fill="auto"/>
          </w:tcPr>
          <w:p w:rsidR="007D663F" w:rsidRPr="00CF26B9" w:rsidRDefault="007D663F" w:rsidP="0014734E">
            <w:pPr>
              <w:numPr>
                <w:ilvl w:val="0"/>
                <w:numId w:val="10"/>
              </w:numPr>
              <w:spacing w:after="0" w:line="240" w:lineRule="auto"/>
              <w:ind w:left="0" w:firstLine="0"/>
              <w:contextualSpacing/>
              <w:jc w:val="both"/>
              <w:rPr>
                <w:rFonts w:ascii="Times New Roman" w:hAnsi="Times New Roman"/>
                <w:color w:val="000000"/>
                <w:sz w:val="24"/>
                <w:szCs w:val="24"/>
              </w:rPr>
            </w:pPr>
          </w:p>
        </w:tc>
        <w:tc>
          <w:tcPr>
            <w:tcW w:w="16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01.01.2018 – 31.12.2018 </w:t>
            </w:r>
          </w:p>
        </w:tc>
        <w:tc>
          <w:tcPr>
            <w:tcW w:w="1528"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3723 грн.</w:t>
            </w:r>
          </w:p>
        </w:tc>
        <w:tc>
          <w:tcPr>
            <w:tcW w:w="1669"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ст. 8 Закону України від 07.12.2017 р. № 2246-VIII</w:t>
            </w:r>
          </w:p>
        </w:tc>
        <w:tc>
          <w:tcPr>
            <w:tcW w:w="979" w:type="dxa"/>
            <w:shd w:val="clear" w:color="auto" w:fill="auto"/>
          </w:tcPr>
          <w:p w:rsidR="007D663F" w:rsidRPr="00CF26B9" w:rsidRDefault="007D663F" w:rsidP="0014734E">
            <w:pPr>
              <w:spacing w:after="0" w:line="240" w:lineRule="auto"/>
              <w:rPr>
                <w:rFonts w:ascii="Times New Roman" w:hAnsi="Times New Roman"/>
                <w:color w:val="000000"/>
                <w:sz w:val="24"/>
                <w:szCs w:val="24"/>
              </w:rPr>
            </w:pPr>
            <w:r w:rsidRPr="00CF26B9">
              <w:rPr>
                <w:rFonts w:ascii="Times New Roman" w:hAnsi="Times New Roman"/>
                <w:color w:val="000000"/>
                <w:sz w:val="24"/>
                <w:szCs w:val="24"/>
              </w:rPr>
              <w:t>22 %</w:t>
            </w:r>
          </w:p>
        </w:tc>
        <w:tc>
          <w:tcPr>
            <w:tcW w:w="244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w:t>
            </w:r>
          </w:p>
        </w:tc>
        <w:tc>
          <w:tcPr>
            <w:tcW w:w="992" w:type="dxa"/>
            <w:shd w:val="clear" w:color="auto" w:fill="auto"/>
          </w:tcPr>
          <w:p w:rsidR="007D663F" w:rsidRPr="00CF26B9" w:rsidRDefault="007D663F" w:rsidP="0014734E">
            <w:pPr>
              <w:spacing w:after="0" w:line="240" w:lineRule="auto"/>
              <w:contextualSpacing/>
              <w:jc w:val="both"/>
              <w:rPr>
                <w:rFonts w:ascii="Times New Roman" w:hAnsi="Times New Roman"/>
                <w:color w:val="000000"/>
                <w:sz w:val="24"/>
                <w:szCs w:val="24"/>
              </w:rPr>
            </w:pPr>
            <w:r w:rsidRPr="00CF26B9">
              <w:rPr>
                <w:rFonts w:ascii="Times New Roman" w:hAnsi="Times New Roman"/>
                <w:color w:val="000000"/>
                <w:sz w:val="24"/>
                <w:szCs w:val="24"/>
              </w:rPr>
              <w:t>819,06</w:t>
            </w:r>
          </w:p>
        </w:tc>
      </w:tr>
    </w:tbl>
    <w:p w:rsidR="007D663F" w:rsidRPr="0078696C" w:rsidRDefault="007D663F" w:rsidP="007D663F">
      <w:pPr>
        <w:spacing w:after="0" w:line="240" w:lineRule="auto"/>
        <w:contextualSpacing/>
        <w:jc w:val="both"/>
        <w:rPr>
          <w:rFonts w:ascii="Times New Roman" w:hAnsi="Times New Roman"/>
          <w:i/>
          <w:color w:val="000000"/>
          <w:sz w:val="28"/>
          <w:szCs w:val="28"/>
        </w:rPr>
      </w:pPr>
    </w:p>
    <w:p w:rsidR="00B16D8C" w:rsidRPr="007F3B41" w:rsidRDefault="00B16D8C" w:rsidP="00B16D8C">
      <w:pPr>
        <w:spacing w:after="0" w:line="240" w:lineRule="auto"/>
        <w:jc w:val="center"/>
        <w:rPr>
          <w:rFonts w:ascii="Times New Roman" w:hAnsi="Times New Roman"/>
          <w:color w:val="000000"/>
          <w:sz w:val="28"/>
          <w:szCs w:val="28"/>
          <w:lang w:val="ru-RU"/>
        </w:rPr>
      </w:pPr>
      <w:r>
        <w:rPr>
          <w:rFonts w:ascii="Times New Roman" w:hAnsi="Times New Roman"/>
          <w:color w:val="000000"/>
          <w:sz w:val="28"/>
          <w:szCs w:val="28"/>
        </w:rPr>
        <w:t xml:space="preserve">Джерело: </w:t>
      </w:r>
      <w:r w:rsidRPr="00B16D8C">
        <w:rPr>
          <w:rFonts w:ascii="Times New Roman" w:hAnsi="Times New Roman"/>
          <w:color w:val="000000"/>
          <w:sz w:val="28"/>
          <w:szCs w:val="28"/>
          <w:lang w:val="ru-RU"/>
        </w:rPr>
        <w:t xml:space="preserve">[таблицю складено автором з використанням </w:t>
      </w:r>
    </w:p>
    <w:p w:rsidR="00B16D8C" w:rsidRPr="00B16D8C" w:rsidRDefault="00B16D8C" w:rsidP="00B16D8C">
      <w:pPr>
        <w:spacing w:after="0" w:line="240" w:lineRule="auto"/>
        <w:jc w:val="center"/>
        <w:rPr>
          <w:rFonts w:ascii="Times New Roman" w:hAnsi="Times New Roman"/>
          <w:color w:val="000000"/>
          <w:sz w:val="28"/>
          <w:szCs w:val="28"/>
          <w:lang w:val="ru-RU"/>
        </w:rPr>
      </w:pPr>
      <w:r w:rsidRPr="00B16D8C">
        <w:rPr>
          <w:rFonts w:ascii="Times New Roman" w:hAnsi="Times New Roman"/>
          <w:color w:val="000000"/>
          <w:sz w:val="28"/>
          <w:szCs w:val="28"/>
          <w:lang w:val="ru-RU"/>
        </w:rPr>
        <w:t>інформації про розмір мінімальної заробітної плати та ставки збору на соціальне страхування за відповідні роки]</w:t>
      </w:r>
    </w:p>
    <w:p w:rsidR="00B16D8C" w:rsidRPr="00B16D8C" w:rsidRDefault="00B16D8C" w:rsidP="007D663F">
      <w:pPr>
        <w:spacing w:after="0" w:line="240" w:lineRule="auto"/>
        <w:contextualSpacing/>
        <w:jc w:val="both"/>
        <w:rPr>
          <w:rFonts w:ascii="Times New Roman" w:hAnsi="Times New Roman"/>
          <w:i/>
          <w:color w:val="000000"/>
          <w:sz w:val="28"/>
          <w:szCs w:val="28"/>
          <w:lang w:val="ru-RU"/>
        </w:rPr>
      </w:pPr>
    </w:p>
    <w:p w:rsidR="007D663F" w:rsidRPr="0078696C" w:rsidRDefault="007D663F" w:rsidP="007D663F">
      <w:pPr>
        <w:jc w:val="right"/>
        <w:rPr>
          <w:rFonts w:ascii="Times New Roman" w:hAnsi="Times New Roman"/>
          <w:b/>
          <w:color w:val="000000"/>
          <w:sz w:val="28"/>
          <w:szCs w:val="28"/>
        </w:rPr>
      </w:pPr>
    </w:p>
    <w:p w:rsidR="00B16D44" w:rsidRPr="0078696C" w:rsidRDefault="007D663F" w:rsidP="00AB6073">
      <w:pPr>
        <w:spacing w:after="0" w:line="240" w:lineRule="auto"/>
        <w:jc w:val="right"/>
        <w:rPr>
          <w:rFonts w:ascii="Times New Roman" w:hAnsi="Times New Roman"/>
          <w:b/>
          <w:color w:val="000000"/>
          <w:sz w:val="28"/>
          <w:szCs w:val="28"/>
        </w:rPr>
      </w:pPr>
      <w:r w:rsidRPr="0078696C">
        <w:rPr>
          <w:rFonts w:ascii="Times New Roman" w:hAnsi="Times New Roman"/>
          <w:b/>
          <w:color w:val="000000"/>
          <w:sz w:val="28"/>
          <w:szCs w:val="28"/>
        </w:rPr>
        <w:br w:type="page"/>
      </w:r>
      <w:r w:rsidR="00D97C5D" w:rsidRPr="0078696C">
        <w:rPr>
          <w:rFonts w:ascii="Times New Roman" w:hAnsi="Times New Roman"/>
          <w:b/>
          <w:color w:val="000000"/>
          <w:sz w:val="28"/>
          <w:szCs w:val="28"/>
        </w:rPr>
        <w:lastRenderedPageBreak/>
        <w:t>Додаток Г.3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7"/>
        <w:gridCol w:w="2343"/>
        <w:gridCol w:w="2516"/>
        <w:gridCol w:w="2203"/>
        <w:gridCol w:w="2086"/>
      </w:tblGrid>
      <w:tr w:rsidR="004F7389" w:rsidRPr="0078696C" w:rsidTr="004F7389">
        <w:tc>
          <w:tcPr>
            <w:tcW w:w="707" w:type="dxa"/>
            <w:shd w:val="clear" w:color="auto" w:fill="auto"/>
          </w:tcPr>
          <w:p w:rsidR="004F7389" w:rsidRPr="0078696C" w:rsidRDefault="004F7389" w:rsidP="004F7389">
            <w:pPr>
              <w:tabs>
                <w:tab w:val="left" w:pos="315"/>
              </w:tabs>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w:t>
            </w:r>
          </w:p>
          <w:p w:rsidR="004F7389" w:rsidRPr="0078696C" w:rsidRDefault="004F7389" w:rsidP="004F7389">
            <w:pPr>
              <w:tabs>
                <w:tab w:val="left" w:pos="315"/>
              </w:tabs>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п/п</w:t>
            </w: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Місяць і рік</w:t>
            </w:r>
          </w:p>
        </w:tc>
        <w:tc>
          <w:tcPr>
            <w:tcW w:w="2410"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Показниксередньої заробітної плати (доходу) по Україні </w:t>
            </w:r>
          </w:p>
          <w:p w:rsidR="004F7389" w:rsidRPr="0078696C" w:rsidRDefault="004F7389" w:rsidP="004F7389">
            <w:pPr>
              <w:spacing w:after="0" w:line="240" w:lineRule="auto"/>
              <w:contextualSpacing/>
              <w:jc w:val="both"/>
              <w:rPr>
                <w:rFonts w:ascii="Times New Roman" w:hAnsi="Times New Roman"/>
                <w:color w:val="000000"/>
                <w:sz w:val="28"/>
                <w:szCs w:val="28"/>
              </w:rPr>
            </w:pPr>
          </w:p>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Зс</w:t>
            </w:r>
          </w:p>
        </w:tc>
        <w:tc>
          <w:tcPr>
            <w:tcW w:w="2253"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Дохід особи, з якого сплачено страхові внески</w:t>
            </w:r>
          </w:p>
          <w:p w:rsidR="004F7389" w:rsidRPr="0078696C" w:rsidRDefault="004F7389" w:rsidP="004F7389">
            <w:pPr>
              <w:spacing w:after="0" w:line="240" w:lineRule="auto"/>
              <w:contextualSpacing/>
              <w:jc w:val="both"/>
              <w:rPr>
                <w:rFonts w:ascii="Times New Roman" w:hAnsi="Times New Roman"/>
                <w:color w:val="000000"/>
                <w:sz w:val="28"/>
                <w:szCs w:val="28"/>
              </w:rPr>
            </w:pPr>
          </w:p>
          <w:p w:rsidR="0039246E" w:rsidRPr="0078696C" w:rsidRDefault="0039246E" w:rsidP="004F7389">
            <w:pPr>
              <w:spacing w:after="0" w:line="240" w:lineRule="auto"/>
              <w:contextualSpacing/>
              <w:jc w:val="both"/>
              <w:rPr>
                <w:rFonts w:ascii="Times New Roman" w:hAnsi="Times New Roman"/>
                <w:color w:val="000000"/>
                <w:sz w:val="28"/>
                <w:szCs w:val="28"/>
              </w:rPr>
            </w:pPr>
          </w:p>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Зв</w:t>
            </w:r>
          </w:p>
        </w:tc>
        <w:tc>
          <w:tcPr>
            <w:tcW w:w="2086"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Індивідуальний коефіцієнт заробітної плати (доходу),</w:t>
            </w:r>
          </w:p>
          <w:p w:rsidR="0039246E" w:rsidRPr="0078696C" w:rsidRDefault="0039246E" w:rsidP="004F7389">
            <w:pPr>
              <w:spacing w:after="0" w:line="240" w:lineRule="auto"/>
              <w:contextualSpacing/>
              <w:jc w:val="both"/>
              <w:rPr>
                <w:rFonts w:ascii="Times New Roman" w:hAnsi="Times New Roman"/>
                <w:color w:val="000000"/>
                <w:sz w:val="28"/>
                <w:szCs w:val="28"/>
              </w:rPr>
            </w:pPr>
          </w:p>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Кз</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Липень 2000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238,49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0,49478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247,44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0,47688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249,04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0,47382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254,11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0,46437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257,58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0,45811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296,26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0,39830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2001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253,39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0,46569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263,66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0,44755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281,03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0,41988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288,93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0,40840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302,96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0,38949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317,81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0,37129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327,31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0,36051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329,33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0,35830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326,34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0,36159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335,75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0,35145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334,44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0,35283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378,45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0,31180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2002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320,76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0,43646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328,7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0,42592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354,81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0,39458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355,78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0,39350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358,88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0,39010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377,41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0,37095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0,41447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390,07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0,42300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391,14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0,42184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397,49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0,41510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395,7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0,41698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442,91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0,37254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2003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332,11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0,55704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326,96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0,56582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346,18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0,53440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347,13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0,53294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353,19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0,52380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390,54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0,47370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381,37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0,48509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374,16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0,49444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398,58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0,46415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400,65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0,46175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392,69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0,47111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424,63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0,48277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2004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444,7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0,46098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461,5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0,44420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489,17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0,41908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494,66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0,41443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498,48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0,41125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550,81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0,37218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530,82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0,38619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520,59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0,39378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 w:val="left" w:pos="315"/>
              </w:tabs>
              <w:spacing w:after="0" w:line="240" w:lineRule="auto"/>
              <w:ind w:left="454" w:hangingChars="162" w:hanging="454"/>
              <w:contextualSpacing/>
              <w:jc w:val="both"/>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556,61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0,42579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142"/>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561,87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0,42181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57"/>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569,35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0,41626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57"/>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607,11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0,39037</w:t>
            </w:r>
          </w:p>
        </w:tc>
      </w:tr>
      <w:tr w:rsidR="004F7389" w:rsidRPr="0078696C" w:rsidTr="004F7389">
        <w:trPr>
          <w:trHeight w:val="446"/>
        </w:trPr>
        <w:tc>
          <w:tcPr>
            <w:tcW w:w="707" w:type="dxa"/>
            <w:shd w:val="clear" w:color="auto" w:fill="auto"/>
          </w:tcPr>
          <w:p w:rsidR="004F7389" w:rsidRPr="0078696C" w:rsidRDefault="004F7389" w:rsidP="004A73C4">
            <w:pPr>
              <w:numPr>
                <w:ilvl w:val="0"/>
                <w:numId w:val="12"/>
              </w:numPr>
              <w:tabs>
                <w:tab w:val="left" w:pos="0"/>
                <w:tab w:val="left" w:pos="357"/>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2005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606,09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0,43228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57"/>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628,18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0,41708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57"/>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682,38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0,38395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 w:val="left" w:pos="357"/>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678,07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0,42768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697,52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0,41576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777,67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0,37291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732,12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0,42343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726,43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0,42674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764,63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0,43420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791,03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0,41971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816,38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0,40667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911,42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0,36427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2006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781,51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0,44785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819,16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0,42727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883,99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0,39593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877,46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0,39888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905,17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0,38667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998,69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0,35046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932,86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0,40199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924,65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0,40556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959,67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0,39076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965,75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0,38830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988,7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0,37929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1 104,33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0,36221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2007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1 003,60</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0,39857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1033,58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0,38700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1096,38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0,36484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1 098,58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420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0,38231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1141,25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420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0,36802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1 276,97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420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0,32890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1 222,25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0,35999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1199,04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0,36696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1 238,18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0,35536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1 292,50</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0,35590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1316,23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0,34948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1443,16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0,31874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2008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1342,27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515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0,38368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1 449,59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515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0,35527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1494,71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515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0,34455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1 515,00</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0,34653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1563,36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0,33582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1728,31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0,30376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1611,63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0,32576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1571,37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0,33410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1643,25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0,31949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1667,13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545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0,32691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1 592,70</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545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0,34219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1705,67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0,35470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2009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1449,89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0,41727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1 514,77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0,39940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1578,91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605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0,38318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1588,08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0,39356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1617,95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0,38629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1809,77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625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0,34535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1675,5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630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0,37601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1597,17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630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0,39445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1677,69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630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0,37552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1687,37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0,38521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1718,91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744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0,43283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1899,21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744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0,39174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2010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1687,62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869</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0,51493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1739,43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869</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0,49959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1874,27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869</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0,46365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1859,7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0,47535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1951,28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0,45304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2 198,46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0,40210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1982,72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0,44787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1 932,81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0,45943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2046,31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888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0,43395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2113,62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907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0,42912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2073,9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907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0,43734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2 326,74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922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0,39626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2011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2137,84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941</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0,44016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2137,19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941</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0,44030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2253,9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941</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0,41750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2243,42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0,42792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2317,48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0,41424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2574,35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0,37291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2370,28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0,40502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2 328,21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0,41233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2416,19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960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0,39732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2 451,80</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0,40175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2466,42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985</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0,39936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2727,94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1004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0,36804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2012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2491,4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1073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0,43068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2548,6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1073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0,42102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2690,03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1073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0,39888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2662,55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1094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0,41088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2791,84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1094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0,39186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2994,78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1094</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0,36530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2754,69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1102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0,40005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2690,49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1102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0,40959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2751,67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1102</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0,40048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2791,19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0,40055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2818,68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0,39664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3 048,60</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0,37624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2013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2758,11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0,41586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2 805,37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0,40886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2897,19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0,39590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2932,06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0,39119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2 980,54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0,38483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3275,94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0,35013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2 975,87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0,38543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2882,46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0,39792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2957,81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0,38779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2996,56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0,38277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2987,05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1147</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0,38399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3309,24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0,36806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2014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2899,77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0,42003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2937,98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0,41457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3068,64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0,39692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3097,76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0,39319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3120,21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0,39036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3465,63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0,35145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3212,48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0,37915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3008,73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0,40482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3136,51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0,38833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3165,49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0,38477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3192,38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0,38153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3 556,97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0,34243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2015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3119,04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0,39050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3182,96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0,38266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3383,16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0,36002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3429,94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0,35511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3578,75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0,34034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3991,14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0,30518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3674,24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0,33150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3502,62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1218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0,34774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3768,52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0,36566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3940,98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0,34966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3914,88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0,35199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4460,32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0,30895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2016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3894,73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0,35381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4029,89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0,34194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4208,47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0,32743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4211,77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1378</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0,32718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4370,92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0,33174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4934,07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0,29388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4445,53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0,32617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4320,12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0,33564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4583,29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0,31637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4556,04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0,31826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4686,5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1450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0,30940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5562,97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1600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0,28762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2017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5 378,61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0,59495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5590,26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0,57242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5887,7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0,54351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5843,43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0,54762</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6173,33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0,51836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7032,28</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0,45504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6174,07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0,51830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6 028,81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0,53078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6 454,14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0,49581</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6522,77</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0,49059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6 598,71</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0,48494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7 601,89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3200</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0,42095</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Січень 2018 р.</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6 930,69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0,53718</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Лютий</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7103,74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0,52409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Березень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7382</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0,50433</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Квітень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7434,64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0,50076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Травень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7769,16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0,47920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Червень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8727,05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0,42660</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Липень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7621,5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0,48849</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Серпень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7601,55</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0,48977</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Вересень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7870,29</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0,47304</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 xml:space="preserve">Жовтень </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8001,93</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0,46526</w:t>
            </w:r>
          </w:p>
        </w:tc>
      </w:tr>
      <w:tr w:rsidR="004F7389" w:rsidRPr="0078696C" w:rsidTr="004F7389">
        <w:tc>
          <w:tcPr>
            <w:tcW w:w="707" w:type="dxa"/>
            <w:shd w:val="clear" w:color="auto" w:fill="auto"/>
          </w:tcPr>
          <w:p w:rsidR="004F7389" w:rsidRPr="0078696C" w:rsidRDefault="004F7389" w:rsidP="004A73C4">
            <w:pPr>
              <w:numPr>
                <w:ilvl w:val="0"/>
                <w:numId w:val="12"/>
              </w:numPr>
              <w:tabs>
                <w:tab w:val="left" w:pos="0"/>
              </w:tabs>
              <w:spacing w:after="0" w:line="240" w:lineRule="auto"/>
              <w:ind w:left="454" w:hangingChars="162" w:hanging="454"/>
              <w:contextualSpacing/>
              <w:rPr>
                <w:rFonts w:ascii="Times New Roman" w:hAnsi="Times New Roman"/>
                <w:color w:val="000000"/>
                <w:sz w:val="28"/>
                <w:szCs w:val="28"/>
              </w:rPr>
            </w:pP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Листопад</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8137,84</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0,45749</w:t>
            </w:r>
          </w:p>
        </w:tc>
      </w:tr>
      <w:tr w:rsidR="004F7389" w:rsidRPr="0078696C" w:rsidTr="004F7389">
        <w:tc>
          <w:tcPr>
            <w:tcW w:w="707" w:type="dxa"/>
            <w:shd w:val="clear" w:color="auto" w:fill="auto"/>
          </w:tcPr>
          <w:p w:rsidR="004F7389" w:rsidRPr="0078696C" w:rsidRDefault="004F7389" w:rsidP="004F7389">
            <w:pPr>
              <w:tabs>
                <w:tab w:val="left" w:pos="0"/>
              </w:tabs>
              <w:spacing w:after="0" w:line="240" w:lineRule="auto"/>
              <w:contextualSpacing/>
              <w:rPr>
                <w:rFonts w:ascii="Times New Roman" w:hAnsi="Times New Roman"/>
                <w:color w:val="000000"/>
                <w:sz w:val="28"/>
                <w:szCs w:val="28"/>
              </w:rPr>
            </w:pPr>
            <w:r w:rsidRPr="0078696C">
              <w:rPr>
                <w:rFonts w:ascii="Times New Roman" w:hAnsi="Times New Roman"/>
                <w:color w:val="000000"/>
                <w:sz w:val="28"/>
                <w:szCs w:val="28"/>
              </w:rPr>
              <w:t>222.</w:t>
            </w:r>
          </w:p>
        </w:tc>
        <w:tc>
          <w:tcPr>
            <w:tcW w:w="2399" w:type="dxa"/>
            <w:shd w:val="clear" w:color="auto" w:fill="auto"/>
          </w:tcPr>
          <w:p w:rsidR="004F7389" w:rsidRPr="0078696C" w:rsidRDefault="004F7389" w:rsidP="004F7389">
            <w:pPr>
              <w:spacing w:after="0" w:line="240" w:lineRule="auto"/>
              <w:contextualSpacing/>
              <w:jc w:val="both"/>
              <w:rPr>
                <w:rFonts w:ascii="Times New Roman" w:hAnsi="Times New Roman"/>
                <w:color w:val="000000"/>
                <w:sz w:val="28"/>
                <w:szCs w:val="28"/>
              </w:rPr>
            </w:pPr>
            <w:r w:rsidRPr="0078696C">
              <w:rPr>
                <w:rFonts w:ascii="Times New Roman" w:hAnsi="Times New Roman"/>
                <w:color w:val="000000"/>
                <w:sz w:val="28"/>
                <w:szCs w:val="28"/>
              </w:rPr>
              <w:t>Грудень</w:t>
            </w:r>
          </w:p>
        </w:tc>
        <w:tc>
          <w:tcPr>
            <w:tcW w:w="2410"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9095,46</w:t>
            </w:r>
          </w:p>
        </w:tc>
        <w:tc>
          <w:tcPr>
            <w:tcW w:w="2253" w:type="dxa"/>
            <w:shd w:val="clear" w:color="auto" w:fill="auto"/>
            <w:vAlign w:val="center"/>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3723</w:t>
            </w:r>
          </w:p>
        </w:tc>
        <w:tc>
          <w:tcPr>
            <w:tcW w:w="2086" w:type="dxa"/>
            <w:shd w:val="clear" w:color="auto" w:fill="auto"/>
            <w:vAlign w:val="bottom"/>
          </w:tcPr>
          <w:p w:rsidR="004F7389" w:rsidRPr="0078696C" w:rsidRDefault="004F7389" w:rsidP="004F7389">
            <w:pPr>
              <w:spacing w:after="0" w:line="240" w:lineRule="auto"/>
              <w:rPr>
                <w:rFonts w:ascii="Times New Roman" w:hAnsi="Times New Roman"/>
                <w:color w:val="000000"/>
                <w:sz w:val="28"/>
                <w:szCs w:val="28"/>
              </w:rPr>
            </w:pPr>
            <w:r w:rsidRPr="0078696C">
              <w:rPr>
                <w:rFonts w:ascii="Times New Roman" w:hAnsi="Times New Roman"/>
                <w:color w:val="000000"/>
                <w:sz w:val="28"/>
                <w:szCs w:val="28"/>
              </w:rPr>
              <w:t>0,40933</w:t>
            </w:r>
          </w:p>
        </w:tc>
      </w:tr>
    </w:tbl>
    <w:p w:rsidR="004F7389" w:rsidRDefault="004F7389" w:rsidP="004F7389">
      <w:pPr>
        <w:spacing w:after="0" w:line="240" w:lineRule="auto"/>
        <w:ind w:left="567" w:right="567"/>
        <w:contextualSpacing/>
        <w:jc w:val="both"/>
        <w:rPr>
          <w:rFonts w:ascii="Times New Roman" w:hAnsi="Times New Roman"/>
          <w:i/>
          <w:color w:val="000000"/>
          <w:sz w:val="28"/>
          <w:szCs w:val="28"/>
          <w:lang w:val="en-US"/>
        </w:rPr>
      </w:pPr>
    </w:p>
    <w:p w:rsidR="00B16D8C" w:rsidRDefault="00B16D8C" w:rsidP="00B16D8C">
      <w:pPr>
        <w:spacing w:after="0" w:line="240" w:lineRule="auto"/>
        <w:ind w:left="567" w:right="567"/>
        <w:contextualSpacing/>
        <w:jc w:val="center"/>
        <w:rPr>
          <w:rFonts w:ascii="Times New Roman" w:hAnsi="Times New Roman"/>
          <w:color w:val="000000"/>
          <w:sz w:val="28"/>
          <w:szCs w:val="28"/>
        </w:rPr>
      </w:pPr>
      <w:r w:rsidRPr="00B16D8C">
        <w:rPr>
          <w:rFonts w:ascii="Times New Roman" w:hAnsi="Times New Roman"/>
          <w:color w:val="000000"/>
          <w:sz w:val="28"/>
          <w:szCs w:val="28"/>
          <w:lang w:val="ru-RU"/>
        </w:rPr>
        <w:t>Джерело</w:t>
      </w:r>
      <w:r w:rsidRPr="007F3B41">
        <w:rPr>
          <w:rFonts w:ascii="Times New Roman" w:hAnsi="Times New Roman"/>
          <w:color w:val="000000"/>
          <w:sz w:val="28"/>
          <w:szCs w:val="28"/>
          <w:lang w:val="ru-RU"/>
        </w:rPr>
        <w:t xml:space="preserve">: [таблицю складено автором з використанням даних </w:t>
      </w:r>
    </w:p>
    <w:p w:rsidR="00B16D8C" w:rsidRPr="00B16D8C" w:rsidRDefault="00B16D8C" w:rsidP="00B16D8C">
      <w:pPr>
        <w:spacing w:after="0" w:line="240" w:lineRule="auto"/>
        <w:ind w:left="567" w:right="567"/>
        <w:contextualSpacing/>
        <w:jc w:val="center"/>
        <w:rPr>
          <w:rFonts w:ascii="Times New Roman" w:hAnsi="Times New Roman"/>
          <w:color w:val="000000"/>
          <w:sz w:val="28"/>
          <w:szCs w:val="28"/>
        </w:rPr>
      </w:pPr>
      <w:r w:rsidRPr="00B16D8C">
        <w:rPr>
          <w:rFonts w:ascii="Times New Roman" w:hAnsi="Times New Roman"/>
          <w:color w:val="000000"/>
          <w:sz w:val="28"/>
          <w:szCs w:val="28"/>
        </w:rPr>
        <w:t>додатку Г. 2 та інформації з офіційного сайту ПФУ про показники середньомісячної заробітної плати працівників, зайнятих у галузях національної економіки, за аналізовані роки]</w:t>
      </w:r>
    </w:p>
    <w:sectPr w:rsidR="00B16D8C" w:rsidRPr="00B16D8C" w:rsidSect="004147CC">
      <w:headerReference w:type="default" r:id="rId9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37DD" w:rsidRDefault="007E37DD" w:rsidP="00AF78D1">
      <w:pPr>
        <w:spacing w:after="0" w:line="240" w:lineRule="auto"/>
      </w:pPr>
      <w:r>
        <w:separator/>
      </w:r>
    </w:p>
  </w:endnote>
  <w:endnote w:type="continuationSeparator" w:id="1">
    <w:p w:rsidR="007E37DD" w:rsidRDefault="007E37DD" w:rsidP="00AF78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37DD" w:rsidRDefault="007E37DD" w:rsidP="00AF78D1">
      <w:pPr>
        <w:spacing w:after="0" w:line="240" w:lineRule="auto"/>
      </w:pPr>
      <w:r>
        <w:separator/>
      </w:r>
    </w:p>
  </w:footnote>
  <w:footnote w:type="continuationSeparator" w:id="1">
    <w:p w:rsidR="007E37DD" w:rsidRDefault="007E37DD" w:rsidP="00AF78D1">
      <w:pPr>
        <w:spacing w:after="0" w:line="240" w:lineRule="auto"/>
      </w:pPr>
      <w:r>
        <w:continuationSeparator/>
      </w:r>
    </w:p>
  </w:footnote>
  <w:footnote w:id="2">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Бульба В.Г., Тарабукіна І.І. Державне управління реформуванням системи надання соціальних послуг. </w:t>
      </w:r>
      <w:r w:rsidRPr="00BB06E1">
        <w:rPr>
          <w:rFonts w:ascii="Times New Roman" w:hAnsi="Times New Roman"/>
          <w:i/>
          <w:color w:val="000000" w:themeColor="text1"/>
          <w:sz w:val="22"/>
          <w:szCs w:val="22"/>
        </w:rPr>
        <w:t>Теорія та практика державного управління</w:t>
      </w:r>
      <w:r w:rsidRPr="00BB06E1">
        <w:rPr>
          <w:rFonts w:ascii="Times New Roman" w:hAnsi="Times New Roman"/>
          <w:color w:val="000000" w:themeColor="text1"/>
          <w:sz w:val="22"/>
          <w:szCs w:val="22"/>
        </w:rPr>
        <w:t>. 2013. Вип. 4. С. 11</w:t>
      </w:r>
      <w:r w:rsidRPr="00BB06E1">
        <w:rPr>
          <w:rFonts w:ascii="Times New Roman" w:hAnsi="Times New Roman"/>
          <w:color w:val="000000" w:themeColor="text1"/>
          <w:sz w:val="22"/>
          <w:szCs w:val="22"/>
          <w:lang w:val="ru-RU"/>
        </w:rPr>
        <w:t>2.</w:t>
      </w:r>
    </w:p>
  </w:footnote>
  <w:footnote w:id="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Економічна енциклопедія: У трьох томах. Т. 2 / відп. ред. С.В. Мочерний</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К.: Вид. центр Академія, 2001. С. 707.</w:t>
      </w:r>
    </w:p>
  </w:footnote>
  <w:footnote w:id="4">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Економічний словник / За ред. П.І.Багрія, С.І.Дорогунцова. К.: Гол. ред. Укр. рад. енцикл. АН УРСР, 1973. </w:t>
      </w:r>
      <w:r w:rsidRPr="00BB06E1">
        <w:rPr>
          <w:rFonts w:ascii="Times New Roman" w:hAnsi="Times New Roman"/>
          <w:color w:val="000000" w:themeColor="text1"/>
          <w:sz w:val="22"/>
          <w:szCs w:val="22"/>
          <w:lang w:val="en-US"/>
        </w:rPr>
        <w:t>C</w:t>
      </w:r>
      <w:r w:rsidRPr="00BB06E1">
        <w:rPr>
          <w:rFonts w:ascii="Times New Roman" w:hAnsi="Times New Roman"/>
          <w:color w:val="000000" w:themeColor="text1"/>
          <w:sz w:val="22"/>
          <w:szCs w:val="22"/>
          <w:lang w:val="ru-RU"/>
        </w:rPr>
        <w:t>.358.</w:t>
      </w:r>
    </w:p>
  </w:footnote>
  <w:footnote w:id="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Енциклопедія Українознавства/ За ред. В. Кубійовича</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Львів: Видавництво Молоде життя, 1996. </w:t>
      </w:r>
      <w:r w:rsidRPr="00BB06E1">
        <w:rPr>
          <w:rFonts w:ascii="Times New Roman" w:hAnsi="Times New Roman"/>
          <w:color w:val="000000" w:themeColor="text1"/>
          <w:sz w:val="22"/>
          <w:szCs w:val="22"/>
        </w:rPr>
        <w:br/>
        <w:t>Т.5. С. 1980.</w:t>
      </w:r>
    </w:p>
  </w:footnote>
  <w:footnote w:id="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Шевчук П.І. Соціальна політика. 2-е вид. Львів: Світ, 2005. С.138.</w:t>
      </w:r>
    </w:p>
  </w:footnote>
  <w:footnote w:id="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Якимів А.І. Формування і розвиток системи пенсійного забезпечення в Україні. Львів: Афіша, 2003. С. 93.</w:t>
      </w:r>
    </w:p>
  </w:footnote>
  <w:footnote w:id="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Сташків Б.І. Право соціального забезпечення. Загальна частина: навчальний посібник. Чернігів: ПАТ «ПВК» «Десна», 2016. С. 446.</w:t>
      </w:r>
    </w:p>
  </w:footnote>
  <w:footnote w:id="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Луговенко Н. Соціальні функції пенсійного забезпечення. </w:t>
      </w:r>
      <w:r w:rsidRPr="00BB06E1">
        <w:rPr>
          <w:rFonts w:ascii="Times New Roman" w:hAnsi="Times New Roman"/>
          <w:i/>
          <w:color w:val="000000" w:themeColor="text1"/>
          <w:sz w:val="22"/>
          <w:szCs w:val="22"/>
        </w:rPr>
        <w:t>Вісник Академії державного управління при Президентові України</w:t>
      </w:r>
      <w:r w:rsidRPr="00BB06E1">
        <w:rPr>
          <w:rFonts w:ascii="Times New Roman" w:hAnsi="Times New Roman"/>
          <w:color w:val="000000" w:themeColor="text1"/>
          <w:sz w:val="22"/>
          <w:szCs w:val="22"/>
        </w:rPr>
        <w:t>. 2005. № 4. C. 421.</w:t>
      </w:r>
    </w:p>
  </w:footnote>
  <w:footnote w:id="1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rPr>
        <w:br/>
        <w:t>№ 1058-IV. URL: http://zakon.rada.gov.ua/laws/show/1058-15.</w:t>
      </w:r>
    </w:p>
  </w:footnote>
  <w:footnote w:id="1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Роик В.Д. Пенсионная система России: история, проблемы и пути совершенствования. М.,2007. </w:t>
      </w:r>
      <w:r w:rsidRPr="00BB06E1">
        <w:rPr>
          <w:rFonts w:ascii="Times New Roman" w:hAnsi="Times New Roman"/>
          <w:color w:val="000000" w:themeColor="text1"/>
          <w:sz w:val="22"/>
          <w:szCs w:val="22"/>
        </w:rPr>
        <w:br/>
        <w:t>С. 116.</w:t>
      </w:r>
    </w:p>
  </w:footnote>
  <w:footnote w:id="1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Соломка О.М. Пенсійне забезпечення в системі соціального захисту населення: автореф. дис. канд. екон. наук. Х., 2006. С. 4.</w:t>
      </w:r>
    </w:p>
  </w:footnote>
  <w:footnote w:id="1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Бевзенко О.В. Пенсійне страхування: сутність та порівняльнахарактеристика. </w:t>
      </w:r>
      <w:r w:rsidRPr="00BB06E1">
        <w:rPr>
          <w:rFonts w:ascii="Times New Roman" w:hAnsi="Times New Roman"/>
          <w:i/>
          <w:color w:val="000000" w:themeColor="text1"/>
          <w:sz w:val="22"/>
          <w:szCs w:val="22"/>
        </w:rPr>
        <w:t>Вісник Чернігівського державного технологічного університету</w:t>
      </w:r>
      <w:r w:rsidRPr="00BB06E1">
        <w:rPr>
          <w:rFonts w:ascii="Times New Roman" w:hAnsi="Times New Roman"/>
          <w:color w:val="000000" w:themeColor="text1"/>
          <w:sz w:val="22"/>
          <w:szCs w:val="22"/>
        </w:rPr>
        <w:t>: Економічні науки. 2012. № 3 (60). С. 252.</w:t>
      </w:r>
    </w:p>
  </w:footnote>
  <w:footnote w:id="1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Жмурко І.В. Сутність пенсійної системи та її місце в системі соціального захисту населення. </w:t>
      </w:r>
      <w:r w:rsidRPr="00BB06E1">
        <w:rPr>
          <w:rFonts w:ascii="Times New Roman" w:hAnsi="Times New Roman"/>
          <w:i/>
          <w:color w:val="000000" w:themeColor="text1"/>
          <w:sz w:val="22"/>
          <w:szCs w:val="22"/>
        </w:rPr>
        <w:t>Бізнес-інформ</w:t>
      </w:r>
      <w:r w:rsidRPr="00BB06E1">
        <w:rPr>
          <w:rFonts w:ascii="Times New Roman" w:hAnsi="Times New Roman"/>
          <w:color w:val="000000" w:themeColor="text1"/>
          <w:sz w:val="22"/>
          <w:szCs w:val="22"/>
        </w:rPr>
        <w:t>. 2014. № 12. С. 305.</w:t>
      </w:r>
    </w:p>
  </w:footnote>
  <w:footnote w:id="1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Буряченко О.Є. Сутність поняття пенсійного забезпечення внауковому дискурсі</w:t>
      </w:r>
      <w:r w:rsidRPr="00BB06E1">
        <w:rPr>
          <w:rFonts w:ascii="Times New Roman" w:hAnsi="Times New Roman"/>
          <w:i/>
          <w:color w:val="000000" w:themeColor="text1"/>
          <w:sz w:val="22"/>
          <w:szCs w:val="22"/>
        </w:rPr>
        <w:t>.Теорія та практика державного управління</w:t>
      </w:r>
      <w:r w:rsidRPr="00BB06E1">
        <w:rPr>
          <w:rFonts w:ascii="Times New Roman" w:hAnsi="Times New Roman"/>
          <w:color w:val="000000" w:themeColor="text1"/>
          <w:sz w:val="22"/>
          <w:szCs w:val="22"/>
        </w:rPr>
        <w:t>. 2015. Вип. 2 (49). С. 92–93.</w:t>
      </w:r>
    </w:p>
  </w:footnote>
  <w:footnote w:id="1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Міндова О.І.Теоретичний аналіз економічної сутності пенсійного забезпечення</w:t>
      </w:r>
      <w:r w:rsidRPr="00BB06E1">
        <w:rPr>
          <w:rFonts w:ascii="Times New Roman" w:hAnsi="Times New Roman"/>
          <w:i/>
          <w:color w:val="000000" w:themeColor="text1"/>
          <w:sz w:val="22"/>
          <w:szCs w:val="22"/>
        </w:rPr>
        <w:t>. Науковий вісник Херсонського державного університету</w:t>
      </w:r>
      <w:r w:rsidRPr="00BB06E1">
        <w:rPr>
          <w:rFonts w:ascii="Times New Roman" w:hAnsi="Times New Roman"/>
          <w:color w:val="000000" w:themeColor="text1"/>
          <w:sz w:val="22"/>
          <w:szCs w:val="22"/>
        </w:rPr>
        <w:t>. 2016. Випуск 17. Частина 4. С. 103–104.</w:t>
      </w:r>
    </w:p>
  </w:footnote>
  <w:footnote w:id="1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Дідковська Т.О. Пенсійне забезпеченняпрацівників на роботах зі шкідливими та важкимиумовами праці: автореф. дис. канд. юрид. наук. Х., 2008. С. 13.</w:t>
      </w:r>
    </w:p>
  </w:footnote>
  <w:footnote w:id="1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Кравчук Т.В. Пенсійне забезпечення у разівтрати годувальника у солідарній пенсійній системіУкраїни: автореф. дис.канд. юрид. наук. О., 2008. С.7–8.</w:t>
      </w:r>
    </w:p>
  </w:footnote>
  <w:footnote w:id="1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Черненок К.П. Особливості розвитку пенсійних систем у сучасних соціально-економічних умовах. </w:t>
      </w:r>
      <w:r w:rsidRPr="00BB06E1">
        <w:rPr>
          <w:rFonts w:ascii="Times New Roman" w:hAnsi="Times New Roman"/>
          <w:i/>
          <w:color w:val="000000" w:themeColor="text1"/>
          <w:sz w:val="22"/>
          <w:szCs w:val="22"/>
        </w:rPr>
        <w:t xml:space="preserve">Інвестиції: практика та досвід. </w:t>
      </w:r>
      <w:r w:rsidRPr="00BB06E1">
        <w:rPr>
          <w:rFonts w:ascii="Times New Roman" w:hAnsi="Times New Roman"/>
          <w:color w:val="000000" w:themeColor="text1"/>
          <w:sz w:val="22"/>
          <w:szCs w:val="22"/>
        </w:rPr>
        <w:t>№ 13–14/2015. С. 14–15.</w:t>
      </w:r>
    </w:p>
  </w:footnote>
  <w:footnote w:id="2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Павлюченко В.Г. Социальное страхование. М., 2007. С. 28.</w:t>
      </w:r>
    </w:p>
  </w:footnote>
  <w:footnote w:id="2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Юрій С.І. Соціальне страхування: підручник / С.І. Юрій, М.П. Шаварина, Н.В. Шаманська</w:t>
      </w:r>
      <w:r w:rsidRPr="004A3AA5">
        <w:rPr>
          <w:rFonts w:ascii="Times New Roman" w:hAnsi="Times New Roman"/>
          <w:color w:val="000000" w:themeColor="text1"/>
          <w:sz w:val="22"/>
          <w:szCs w:val="22"/>
        </w:rPr>
        <w:t>.</w:t>
      </w:r>
      <w:r w:rsidRPr="00BB06E1">
        <w:rPr>
          <w:rFonts w:ascii="Times New Roman" w:hAnsi="Times New Roman"/>
          <w:color w:val="000000" w:themeColor="text1"/>
          <w:sz w:val="22"/>
          <w:szCs w:val="22"/>
        </w:rPr>
        <w:t xml:space="preserve"> К.: Кондор, 2006. С. 58.</w:t>
      </w:r>
    </w:p>
  </w:footnote>
  <w:footnote w:id="2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Антропов В.В. Экономические модели социальной защиты населения в государствах ЕС: автореф. диc. докт. экон. наук. М.: МГУ им. Н.В Ломоносова. 2007. С. 24.</w:t>
      </w:r>
    </w:p>
  </w:footnote>
  <w:footnote w:id="2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Стожок Л.Г. Загальнообов’язкове державне пенсійне страхування в системі соціальної політики: автореф. дис. канд. екон. наук. К., 2007. С.6.</w:t>
      </w:r>
    </w:p>
  </w:footnote>
  <w:footnote w:id="2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Шумило М.М. Правовідносини у сфері пенсійного забезпечення в Україні: монографія. </w:t>
      </w:r>
      <w:r w:rsidRPr="00BB06E1">
        <w:rPr>
          <w:rFonts w:ascii="Times New Roman" w:hAnsi="Times New Roman"/>
          <w:color w:val="000000" w:themeColor="text1"/>
          <w:sz w:val="22"/>
          <w:szCs w:val="22"/>
        </w:rPr>
        <w:br/>
        <w:t>К.: Ніка-Центр, 2016. С. 275.</w:t>
      </w:r>
    </w:p>
  </w:footnote>
  <w:footnote w:id="2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Финогенова Ю.Ю. Пенсионное страхование: учебное пособие. М.: РЭА им. Плеханова, 2010.</w:t>
      </w:r>
      <w:r w:rsidRPr="00BB06E1">
        <w:rPr>
          <w:rFonts w:ascii="Times New Roman" w:hAnsi="Times New Roman"/>
          <w:color w:val="000000" w:themeColor="text1"/>
          <w:sz w:val="22"/>
          <w:szCs w:val="22"/>
        </w:rPr>
        <w:br/>
        <w:t>С. 6–7.</w:t>
      </w:r>
    </w:p>
  </w:footnote>
  <w:footnote w:id="2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 № 1058-IV. URL: http://zakon.rada.gov.ua/laws/show/1058-15/ed20190101.</w:t>
      </w:r>
    </w:p>
  </w:footnote>
  <w:footnote w:id="2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Кокорев Р.А. Негосударственные пенсионные фонды: болевые точки и возможности роста Аналитический вестник (издание Аналитического управления Совета Федерации ФедеральногоСобрания Российской Федерации). 2006. № 11(289). С. 45.</w:t>
      </w:r>
    </w:p>
  </w:footnote>
  <w:footnote w:id="2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Толуб’як В.С. Трансформація фінансових механізмів державного управління пенсійною системою в Україні: автореф. дис. д-ра держ. упр. К., 2012. С. 27.</w:t>
      </w:r>
    </w:p>
  </w:footnote>
  <w:footnote w:id="29">
    <w:p w:rsidR="00777771" w:rsidRPr="004A3AA5"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Конституція України: Закон України від 28.06.1996 р. № 254к/96-ВР. URL:http://zakon.rada.gov.ua/laws/show/254к/96-вр</w:t>
      </w:r>
      <w:r w:rsidRPr="004A3AA5">
        <w:rPr>
          <w:rFonts w:ascii="Times New Roman" w:hAnsi="Times New Roman"/>
          <w:color w:val="000000" w:themeColor="text1"/>
          <w:sz w:val="22"/>
          <w:szCs w:val="22"/>
        </w:rPr>
        <w:t>.</w:t>
      </w:r>
    </w:p>
  </w:footnote>
  <w:footnote w:id="3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Венгеров А.Б. Теория государства и права: Учебник для юридических вузов. </w:t>
      </w:r>
      <w:r w:rsidRPr="00BB06E1">
        <w:rPr>
          <w:rFonts w:ascii="Times New Roman" w:hAnsi="Times New Roman"/>
          <w:color w:val="000000" w:themeColor="text1"/>
          <w:sz w:val="22"/>
          <w:szCs w:val="22"/>
        </w:rPr>
        <w:br/>
        <w:t>М.: Юриспруденция, 2000. С. 209.</w:t>
      </w:r>
    </w:p>
  </w:footnote>
  <w:footnote w:id="3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Крестовська Н.М., Матвеева Л.Г. Теорія держави і права: Елементарний курс. Видання друге.</w:t>
      </w:r>
      <w:r w:rsidRPr="00BB06E1">
        <w:rPr>
          <w:rFonts w:ascii="Times New Roman" w:hAnsi="Times New Roman"/>
          <w:color w:val="000000" w:themeColor="text1"/>
          <w:sz w:val="22"/>
          <w:szCs w:val="22"/>
        </w:rPr>
        <w:br/>
        <w:t xml:space="preserve"> X.: ТОВ «Одіссей»,2008. С. 310.</w:t>
      </w:r>
    </w:p>
  </w:footnote>
  <w:footnote w:id="3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Загальна теорія держави і права: (основні поняття, категорії, прав. конструкції та наук. концепції): навчальний посібник /За ред. Зайчука О.В., Оніщенко Н.М. К.: Юрінком Інтер, 2008. С. 188.</w:t>
      </w:r>
    </w:p>
  </w:footnote>
  <w:footnote w:id="3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само,с. 188–189.</w:t>
      </w:r>
    </w:p>
  </w:footnote>
  <w:footnote w:id="3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Крестовська Н.М., Матвеева Л.Г. Теорія держави і права: Елементарний курс. Видання друге.</w:t>
      </w:r>
      <w:r w:rsidRPr="00BB06E1">
        <w:rPr>
          <w:rFonts w:ascii="Times New Roman" w:hAnsi="Times New Roman"/>
          <w:color w:val="000000" w:themeColor="text1"/>
          <w:sz w:val="22"/>
          <w:szCs w:val="22"/>
        </w:rPr>
        <w:br/>
        <w:t>X.: ТОВ «Одіссей»,2008. С. 295.</w:t>
      </w:r>
    </w:p>
  </w:footnote>
  <w:footnote w:id="3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Рубанов А.А. Поняття джерела права як прояв метафоричності юридичної свідомості.Судова практика як джерело права. М., 1997. С. 45–46.</w:t>
      </w:r>
    </w:p>
  </w:footnote>
  <w:footnote w:id="3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Марченко М.М. Теорія держави і права: Підручник. К.: Видавництво «Зерцало», 2004.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С. 264.</w:t>
      </w:r>
    </w:p>
  </w:footnote>
  <w:footnote w:id="3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Нерсесянц В.С. Проблемы общей теории права и государства. Учебник для вузов / Под общ. ред. члена-корр. РАН,доктора юрид. наук, проф. В.С. Нерсесянца. М.: Издательская группа НОРМА–ИНФРА М, 1999. С. 26.</w:t>
      </w:r>
    </w:p>
  </w:footnote>
  <w:footnote w:id="3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навч. посіб. / І.А. Вєтухова, Г.О. Яковлєва, О.М. Ярошенко, за заг. ред.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В.В. Жернакова. Х.: Нац.ун-т Юрид. акад. України ім. Ярослава Мудрого, 2013. С. 16.</w:t>
      </w:r>
    </w:p>
  </w:footnote>
  <w:footnote w:id="3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Конституція України: Закон України від 28.06.1996 р. № 254к/96-ВР.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http://zakon.rada.gov.ua/laws/show/254к/96-в</w:t>
      </w:r>
      <w:r w:rsidRPr="00BB06E1">
        <w:rPr>
          <w:rFonts w:ascii="Times New Roman" w:hAnsi="Times New Roman"/>
          <w:color w:val="000000" w:themeColor="text1"/>
          <w:sz w:val="22"/>
          <w:szCs w:val="22"/>
          <w:lang w:val="ru-RU"/>
        </w:rPr>
        <w:t>р</w:t>
      </w:r>
      <w:r w:rsidRPr="00BB06E1">
        <w:rPr>
          <w:rFonts w:ascii="Times New Roman" w:hAnsi="Times New Roman"/>
          <w:color w:val="000000" w:themeColor="text1"/>
          <w:sz w:val="22"/>
          <w:szCs w:val="22"/>
        </w:rPr>
        <w:t>.</w:t>
      </w:r>
    </w:p>
  </w:footnote>
  <w:footnote w:id="4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Сташків Б.І. Право соціального забезпечення. Загальна частина: навчальний посібник. Чернігів: ПАТ «ПВК» «Десна», 2016. С. 358–359.</w:t>
      </w:r>
    </w:p>
  </w:footnote>
  <w:footnote w:id="4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Конституція України: Закон України від 28.06.1996 р. № 254к/96-ВР. URL: http://zakon.rada.gov.ua/laws/show/254к/96-вр.</w:t>
      </w:r>
    </w:p>
  </w:footnote>
  <w:footnote w:id="4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Сташків Б.І. Право соціального забезпечення. Загальна частина: навчальний посібник. Чернігів: ПАТ «ПВК» «Десна», 2016. С. 358–359.</w:t>
      </w:r>
    </w:p>
  </w:footnote>
  <w:footnote w:id="4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p>
  </w:footnote>
  <w:footnote w:id="4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про гарантії прав громадян держав-учасниць Співдружності Незалежних Держав в галузі пенсійного забезпечення: Міжнародний документ від 13.03.1992 року. </w:t>
      </w:r>
      <w:r w:rsidRPr="00BB06E1">
        <w:rPr>
          <w:rFonts w:ascii="Times New Roman" w:hAnsi="Times New Roman"/>
          <w:color w:val="000000" w:themeColor="text1"/>
          <w:sz w:val="22"/>
          <w:szCs w:val="22"/>
        </w:rPr>
        <w:br/>
        <w:t>URL: http://zakon.rada.gov.ua/laws/show/997_107.</w:t>
      </w:r>
    </w:p>
  </w:footnote>
  <w:footnote w:id="4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між Урядом України та Урядом Республіки Білорусь про гарантії прав громадян в галузі пенсійного забезпечення: Міжнародний документ від 14.12.1995 р. </w:t>
      </w:r>
      <w:r w:rsidRPr="00BB06E1">
        <w:rPr>
          <w:rFonts w:ascii="Times New Roman" w:hAnsi="Times New Roman"/>
          <w:color w:val="000000" w:themeColor="text1"/>
          <w:sz w:val="22"/>
          <w:szCs w:val="22"/>
        </w:rPr>
        <w:br/>
      </w:r>
      <w:r w:rsidRPr="00BB06E1">
        <w:rPr>
          <w:rFonts w:ascii="Times New Roman" w:hAnsi="Times New Roman"/>
          <w:color w:val="000000" w:themeColor="text1"/>
          <w:sz w:val="22"/>
          <w:szCs w:val="22"/>
          <w:lang w:val="ru-RU"/>
        </w:rPr>
        <w:t>URL: http://zakon.rada.gov.ua/laws/show/112_678.</w:t>
      </w:r>
    </w:p>
  </w:footnote>
  <w:footnote w:id="46">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між Урядом України та Урядом Республіки Молдова про гарантії прав громадян в галузі пенсійного забезпечення</w:t>
      </w:r>
      <w:r w:rsidRPr="00BB06E1">
        <w:rPr>
          <w:rFonts w:ascii="Times New Roman" w:hAnsi="Times New Roman"/>
          <w:color w:val="000000" w:themeColor="text1"/>
          <w:sz w:val="22"/>
          <w:szCs w:val="22"/>
          <w:lang w:val="ru-RU"/>
        </w:rPr>
        <w:t xml:space="preserve">: </w:t>
      </w:r>
      <w:r w:rsidRPr="00BB06E1">
        <w:rPr>
          <w:rFonts w:ascii="Times New Roman" w:hAnsi="Times New Roman"/>
          <w:color w:val="000000" w:themeColor="text1"/>
          <w:sz w:val="22"/>
          <w:szCs w:val="22"/>
        </w:rPr>
        <w:t xml:space="preserve">Міжнародний документ від </w:t>
      </w:r>
      <w:r w:rsidRPr="00BB06E1">
        <w:rPr>
          <w:rFonts w:ascii="Times New Roman" w:hAnsi="Times New Roman"/>
          <w:color w:val="000000" w:themeColor="text1"/>
          <w:sz w:val="22"/>
          <w:szCs w:val="22"/>
          <w:lang w:val="ru-RU"/>
        </w:rPr>
        <w:t>29.08.1995 р. URL: http://zakon.rada.gov.ua/laws/show/498_637.</w:t>
      </w:r>
    </w:p>
  </w:footnote>
  <w:footnote w:id="4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Угода між Урядом України і Урядом Азербайджанської Республіки про співробітництво в галузі пенсійного забезпечення: Міжнародний документ від 28.07.1995 р. </w:t>
      </w:r>
      <w:r w:rsidRPr="00BB06E1">
        <w:rPr>
          <w:rFonts w:ascii="Times New Roman" w:hAnsi="Times New Roman"/>
          <w:color w:val="000000" w:themeColor="text1"/>
          <w:sz w:val="22"/>
          <w:szCs w:val="22"/>
          <w:lang w:val="ru-RU"/>
        </w:rPr>
        <w:t xml:space="preserve">URL: </w:t>
      </w:r>
      <w:hyperlink r:id="rId1" w:history="1">
        <w:r w:rsidRPr="00BB06E1">
          <w:rPr>
            <w:rStyle w:val="a9"/>
            <w:rFonts w:ascii="Times New Roman" w:hAnsi="Times New Roman"/>
            <w:color w:val="000000" w:themeColor="text1"/>
            <w:sz w:val="22"/>
            <w:szCs w:val="22"/>
            <w:u w:val="none"/>
          </w:rPr>
          <w:t>http://zakon.rada.gov.ua/</w:t>
        </w:r>
        <w:r w:rsidRPr="00BB06E1">
          <w:rPr>
            <w:rStyle w:val="a9"/>
            <w:rFonts w:ascii="Times New Roman" w:hAnsi="Times New Roman"/>
            <w:color w:val="000000" w:themeColor="text1"/>
            <w:sz w:val="22"/>
            <w:szCs w:val="22"/>
            <w:u w:val="none"/>
          </w:rPr>
          <w:br/>
          <w:t>laws/show/031_644</w:t>
        </w:r>
      </w:hyperlink>
      <w:r w:rsidRPr="00BB06E1">
        <w:rPr>
          <w:rFonts w:ascii="Times New Roman" w:hAnsi="Times New Roman"/>
          <w:color w:val="000000" w:themeColor="text1"/>
          <w:sz w:val="22"/>
          <w:szCs w:val="22"/>
          <w:lang w:val="ru-RU"/>
        </w:rPr>
        <w:t>.</w:t>
      </w:r>
    </w:p>
  </w:footnote>
  <w:footnote w:id="4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Угода між Урядом України і Урядом Республіки Грузія про співробітництво в галузі пенсійного забезпечення: Міжнародний документ від 09.01.1995 р. </w:t>
      </w:r>
      <w:r w:rsidRPr="00BB06E1">
        <w:rPr>
          <w:rFonts w:ascii="Times New Roman" w:hAnsi="Times New Roman"/>
          <w:color w:val="000000" w:themeColor="text1"/>
          <w:sz w:val="22"/>
          <w:szCs w:val="22"/>
          <w:lang w:val="ru-RU"/>
        </w:rPr>
        <w:t xml:space="preserve">URL: </w:t>
      </w:r>
      <w:hyperlink r:id="rId2" w:history="1">
        <w:r w:rsidRPr="00BB06E1">
          <w:rPr>
            <w:rStyle w:val="a9"/>
            <w:rFonts w:ascii="Times New Roman" w:hAnsi="Times New Roman"/>
            <w:color w:val="000000" w:themeColor="text1"/>
            <w:sz w:val="22"/>
            <w:szCs w:val="22"/>
            <w:u w:val="none"/>
          </w:rPr>
          <w:t>http://zakon.rada.gov.ua/</w:t>
        </w:r>
        <w:r w:rsidRPr="00BB06E1">
          <w:rPr>
            <w:rStyle w:val="a9"/>
            <w:rFonts w:ascii="Times New Roman" w:hAnsi="Times New Roman"/>
            <w:color w:val="000000" w:themeColor="text1"/>
            <w:sz w:val="22"/>
            <w:szCs w:val="22"/>
            <w:u w:val="none"/>
          </w:rPr>
          <w:br/>
          <w:t>laws/show/268_513</w:t>
        </w:r>
      </w:hyperlink>
      <w:r w:rsidRPr="00BB06E1">
        <w:rPr>
          <w:rFonts w:ascii="Times New Roman" w:hAnsi="Times New Roman"/>
          <w:color w:val="000000" w:themeColor="text1"/>
          <w:sz w:val="22"/>
          <w:szCs w:val="22"/>
          <w:lang w:val="ru-RU"/>
        </w:rPr>
        <w:t>.</w:t>
      </w:r>
    </w:p>
  </w:footnote>
  <w:footnote w:id="49">
    <w:p w:rsidR="00777771" w:rsidRPr="00BB06E1" w:rsidRDefault="00777771" w:rsidP="00BB06E1">
      <w:pPr>
        <w:pStyle w:val="a6"/>
        <w:jc w:val="both"/>
        <w:rPr>
          <w:rFonts w:ascii="Times New Roman" w:hAnsi="Times New Roman"/>
          <w:bCs/>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Соглашение между Союзом Советских Социалистических Республик и Монгольской Народной Республикой осотрудничествев области социального обеспечения: Международн</w:t>
      </w:r>
      <w:r w:rsidRPr="00BB06E1">
        <w:rPr>
          <w:rFonts w:ascii="Times New Roman" w:hAnsi="Times New Roman"/>
          <w:color w:val="000000" w:themeColor="text1"/>
          <w:sz w:val="22"/>
          <w:szCs w:val="22"/>
          <w:lang w:val="ru-RU"/>
        </w:rPr>
        <w:t>ый документ от 0</w:t>
      </w:r>
      <w:r w:rsidRPr="00BB06E1">
        <w:rPr>
          <w:rFonts w:ascii="Times New Roman" w:hAnsi="Times New Roman"/>
          <w:bCs/>
          <w:color w:val="000000" w:themeColor="text1"/>
          <w:sz w:val="22"/>
          <w:szCs w:val="22"/>
          <w:lang w:val="ru-RU"/>
        </w:rPr>
        <w:t xml:space="preserve">6.04.1981 г. URL: </w:t>
      </w:r>
      <w:r w:rsidRPr="00BB06E1">
        <w:rPr>
          <w:rFonts w:ascii="Times New Roman" w:hAnsi="Times New Roman"/>
          <w:bCs/>
          <w:color w:val="000000" w:themeColor="text1"/>
          <w:sz w:val="22"/>
          <w:szCs w:val="22"/>
        </w:rPr>
        <w:fldChar w:fldCharType="begin"/>
      </w:r>
      <w:r w:rsidRPr="00BB06E1">
        <w:rPr>
          <w:rFonts w:ascii="Times New Roman" w:hAnsi="Times New Roman"/>
          <w:bCs/>
          <w:color w:val="000000" w:themeColor="text1"/>
          <w:sz w:val="22"/>
          <w:szCs w:val="22"/>
        </w:rPr>
        <w:instrText xml:space="preserve"> HYPERLINK "http://www.pfrf.ru/files/id/pensii/pens_zarubej/mejpravitel_soglsh/mongol.doc. </w:instrText>
      </w:r>
    </w:p>
    <w:p w:rsidR="00777771" w:rsidRPr="00BB06E1" w:rsidRDefault="00777771" w:rsidP="00BB06E1">
      <w:pPr>
        <w:pStyle w:val="a6"/>
        <w:jc w:val="both"/>
        <w:rPr>
          <w:rFonts w:ascii="Times New Roman" w:hAnsi="Times New Roman"/>
          <w:bCs/>
          <w:color w:val="000000" w:themeColor="text1"/>
          <w:sz w:val="22"/>
          <w:szCs w:val="22"/>
        </w:rPr>
      </w:pPr>
      <w:r w:rsidRPr="00BB06E1">
        <w:rPr>
          <w:rFonts w:ascii="Times New Roman" w:hAnsi="Times New Roman"/>
          <w:bCs/>
          <w:color w:val="000000" w:themeColor="text1"/>
          <w:sz w:val="22"/>
          <w:szCs w:val="22"/>
        </w:rPr>
        <w:instrText xml:space="preserve">" </w:instrText>
      </w:r>
      <w:r w:rsidRPr="00BB06E1">
        <w:rPr>
          <w:rFonts w:ascii="Times New Roman" w:hAnsi="Times New Roman"/>
          <w:bCs/>
          <w:color w:val="000000" w:themeColor="text1"/>
          <w:sz w:val="22"/>
          <w:szCs w:val="22"/>
        </w:rPr>
        <w:fldChar w:fldCharType="separate"/>
      </w:r>
      <w:r w:rsidRPr="00BB06E1">
        <w:rPr>
          <w:rStyle w:val="a9"/>
          <w:rFonts w:ascii="Times New Roman" w:hAnsi="Times New Roman"/>
          <w:bCs/>
          <w:color w:val="000000" w:themeColor="text1"/>
          <w:sz w:val="22"/>
          <w:szCs w:val="22"/>
          <w:u w:val="none"/>
        </w:rPr>
        <w:t xml:space="preserve">www.pfrf.ru/files/id/pensii/pens_zarubej/mejpravitel_soglsh/mongol.doc. </w:t>
      </w:r>
      <w:r w:rsidRPr="00BB06E1">
        <w:rPr>
          <w:rFonts w:ascii="Times New Roman" w:hAnsi="Times New Roman"/>
          <w:bCs/>
          <w:color w:val="000000" w:themeColor="text1"/>
          <w:sz w:val="22"/>
          <w:szCs w:val="22"/>
        </w:rPr>
        <w:fldChar w:fldCharType="end"/>
      </w:r>
    </w:p>
  </w:footnote>
  <w:footnote w:id="50">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lang w:val="ru-RU"/>
        </w:rPr>
        <w:t xml:space="preserve"> С</w:t>
      </w:r>
      <w:r w:rsidRPr="00BB06E1">
        <w:rPr>
          <w:rFonts w:ascii="Times New Roman" w:hAnsi="Times New Roman"/>
          <w:color w:val="000000" w:themeColor="text1"/>
          <w:sz w:val="22"/>
          <w:szCs w:val="22"/>
        </w:rPr>
        <w:t>оглашение между СССР и Венгерской Народной Республикой о сотрудничестве в области социального обеспечения: Международн</w:t>
      </w:r>
      <w:r w:rsidRPr="00BB06E1">
        <w:rPr>
          <w:rFonts w:ascii="Times New Roman" w:hAnsi="Times New Roman"/>
          <w:color w:val="000000" w:themeColor="text1"/>
          <w:sz w:val="22"/>
          <w:szCs w:val="22"/>
          <w:lang w:val="ru-RU"/>
        </w:rPr>
        <w:t xml:space="preserve">ый документ от 20.12.1962 г. </w:t>
      </w:r>
      <w:r w:rsidRPr="00BB06E1">
        <w:rPr>
          <w:rFonts w:ascii="Times New Roman" w:hAnsi="Times New Roman"/>
          <w:color w:val="000000" w:themeColor="text1"/>
          <w:sz w:val="22"/>
          <w:szCs w:val="22"/>
          <w:lang w:val="ru-RU"/>
        </w:rPr>
        <w:br/>
        <w:t>URL: http://www.lawmix.ru/abro/918.</w:t>
      </w:r>
    </w:p>
  </w:footnote>
  <w:footnote w:id="5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Соглашение между Союзом Советских Социалистических Республик и Румынской Народной Республикой о сотрудничестве в области социального обеспечения: Международн</w:t>
      </w:r>
      <w:r w:rsidRPr="00BB06E1">
        <w:rPr>
          <w:rFonts w:ascii="Times New Roman" w:hAnsi="Times New Roman"/>
          <w:color w:val="000000" w:themeColor="text1"/>
          <w:sz w:val="22"/>
          <w:szCs w:val="22"/>
          <w:lang w:val="ru-RU"/>
        </w:rPr>
        <w:t xml:space="preserve">ый документ от 24.12.1960 г. </w:t>
      </w:r>
      <w:r w:rsidRPr="00BB06E1">
        <w:rPr>
          <w:rFonts w:ascii="Times New Roman" w:hAnsi="Times New Roman"/>
          <w:bCs/>
          <w:color w:val="000000" w:themeColor="text1"/>
          <w:sz w:val="22"/>
          <w:szCs w:val="22"/>
          <w:lang w:val="ru-RU"/>
        </w:rPr>
        <w:t>URL: www.mid.ru/foreign_policy/international_contracts/2_contract/-/storage.../45972.</w:t>
      </w:r>
    </w:p>
  </w:footnote>
  <w:footnote w:id="5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між Україною та Республікою Польща про соціальне забезпечення: Міжнародний документ від 18.05.2012 р. URL: </w:t>
      </w:r>
      <w:hyperlink r:id="rId3" w:history="1">
        <w:r w:rsidRPr="00BB06E1">
          <w:rPr>
            <w:rStyle w:val="a9"/>
            <w:rFonts w:ascii="Times New Roman" w:hAnsi="Times New Roman"/>
            <w:color w:val="000000" w:themeColor="text1"/>
            <w:sz w:val="22"/>
            <w:szCs w:val="22"/>
            <w:u w:val="none"/>
          </w:rPr>
          <w:t>http://zakon.rada.gov.ua/laws/card/616_161</w:t>
        </w:r>
      </w:hyperlink>
      <w:r w:rsidRPr="00BB06E1">
        <w:rPr>
          <w:rFonts w:ascii="Times New Roman" w:hAnsi="Times New Roman"/>
          <w:color w:val="000000" w:themeColor="text1"/>
          <w:sz w:val="22"/>
          <w:szCs w:val="22"/>
        </w:rPr>
        <w:t>.</w:t>
      </w:r>
    </w:p>
  </w:footnote>
  <w:footnote w:id="5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між Україною та Португальською Республікою про соціальне забезпечення: міжнародний документ від 07.07.2009 р. URL: </w:t>
      </w:r>
      <w:hyperlink r:id="rId4" w:history="1">
        <w:r w:rsidRPr="00BB06E1">
          <w:rPr>
            <w:rStyle w:val="a9"/>
            <w:rFonts w:ascii="Times New Roman" w:hAnsi="Times New Roman"/>
            <w:color w:val="000000" w:themeColor="text1"/>
            <w:sz w:val="22"/>
            <w:szCs w:val="22"/>
            <w:u w:val="none"/>
          </w:rPr>
          <w:t>http://zakon.rada.gov.ua/laws/show/620_024</w:t>
        </w:r>
      </w:hyperlink>
      <w:r w:rsidRPr="00BB06E1">
        <w:rPr>
          <w:rFonts w:ascii="Times New Roman" w:hAnsi="Times New Roman"/>
          <w:color w:val="000000" w:themeColor="text1"/>
          <w:sz w:val="22"/>
          <w:szCs w:val="22"/>
        </w:rPr>
        <w:t>.</w:t>
      </w:r>
    </w:p>
  </w:footnote>
  <w:footnote w:id="5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між Україною та Естонською Республікою у сфері соціального забезпечення: Міжнародний документ від 05.10.2010 р. </w:t>
      </w:r>
      <w:r w:rsidRPr="00BB06E1">
        <w:rPr>
          <w:rFonts w:ascii="Times New Roman" w:hAnsi="Times New Roman"/>
          <w:color w:val="000000" w:themeColor="text1"/>
          <w:sz w:val="22"/>
          <w:szCs w:val="22"/>
          <w:lang w:val="ru-RU"/>
        </w:rPr>
        <w:t xml:space="preserve">URL: </w:t>
      </w:r>
      <w:hyperlink r:id="rId5" w:history="1">
        <w:r w:rsidRPr="00BB06E1">
          <w:rPr>
            <w:rStyle w:val="a9"/>
            <w:rFonts w:ascii="Times New Roman" w:hAnsi="Times New Roman"/>
            <w:color w:val="000000" w:themeColor="text1"/>
            <w:sz w:val="22"/>
            <w:szCs w:val="22"/>
            <w:u w:val="none"/>
          </w:rPr>
          <w:t>http://zakon.rada.gov.ua/laws/show/233_040</w:t>
        </w:r>
      </w:hyperlink>
      <w:r w:rsidRPr="00BB06E1">
        <w:rPr>
          <w:rFonts w:ascii="Times New Roman" w:hAnsi="Times New Roman"/>
          <w:color w:val="000000" w:themeColor="text1"/>
          <w:sz w:val="22"/>
          <w:szCs w:val="22"/>
          <w:lang w:val="ru-RU"/>
        </w:rPr>
        <w:t>.</w:t>
      </w:r>
    </w:p>
  </w:footnote>
  <w:footnote w:id="5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Договір між Україною та Чеською Республікою про соціальне забезпечення: Міжнародний документ від 04.07.2001 р. URL: </w:t>
      </w:r>
      <w:hyperlink r:id="rId6" w:history="1">
        <w:r w:rsidRPr="00BB06E1">
          <w:rPr>
            <w:rStyle w:val="a9"/>
            <w:rFonts w:ascii="Times New Roman" w:hAnsi="Times New Roman"/>
            <w:color w:val="000000" w:themeColor="text1"/>
            <w:sz w:val="22"/>
            <w:szCs w:val="22"/>
            <w:u w:val="none"/>
          </w:rPr>
          <w:t>http://zakon.rada.gov.ua/laws/show/203_019</w:t>
        </w:r>
      </w:hyperlink>
      <w:r w:rsidRPr="00BB06E1">
        <w:rPr>
          <w:rFonts w:ascii="Times New Roman" w:hAnsi="Times New Roman"/>
          <w:color w:val="000000" w:themeColor="text1"/>
          <w:sz w:val="22"/>
          <w:szCs w:val="22"/>
        </w:rPr>
        <w:t>.</w:t>
      </w:r>
    </w:p>
  </w:footnote>
  <w:footnote w:id="5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Договір між Україною та Республікою Болгарія про соціальне забезпечення: Міжнародний документ від 04.09.2001 р. URL:</w:t>
      </w:r>
      <w:hyperlink r:id="rId7" w:history="1">
        <w:r w:rsidRPr="00BB06E1">
          <w:rPr>
            <w:rStyle w:val="a9"/>
            <w:rFonts w:ascii="Times New Roman" w:hAnsi="Times New Roman"/>
            <w:color w:val="000000" w:themeColor="text1"/>
            <w:sz w:val="22"/>
            <w:szCs w:val="22"/>
            <w:u w:val="none"/>
          </w:rPr>
          <w:t>http://zakon.rada.gov.ua/laws/show/100_028</w:t>
        </w:r>
      </w:hyperlink>
      <w:r w:rsidRPr="00BB06E1">
        <w:rPr>
          <w:rFonts w:ascii="Times New Roman" w:hAnsi="Times New Roman"/>
          <w:color w:val="000000" w:themeColor="text1"/>
          <w:sz w:val="22"/>
          <w:szCs w:val="22"/>
        </w:rPr>
        <w:t>.</w:t>
      </w:r>
    </w:p>
  </w:footnote>
  <w:footnote w:id="5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Договір між Україною та Литовською Республікою про соціальне забезпечення: Міжнародний документ від  23.04.2001 р. URL: </w:t>
      </w:r>
      <w:hyperlink r:id="rId8" w:history="1">
        <w:r w:rsidRPr="00BB06E1">
          <w:rPr>
            <w:rStyle w:val="a9"/>
            <w:rFonts w:ascii="Times New Roman" w:hAnsi="Times New Roman"/>
            <w:color w:val="000000" w:themeColor="text1"/>
            <w:sz w:val="22"/>
            <w:szCs w:val="22"/>
            <w:u w:val="none"/>
          </w:rPr>
          <w:t>http://zakon.rada.gov.ua/laws/show/440_022</w:t>
        </w:r>
      </w:hyperlink>
      <w:r w:rsidRPr="00BB06E1">
        <w:rPr>
          <w:rFonts w:ascii="Times New Roman" w:hAnsi="Times New Roman"/>
          <w:color w:val="000000" w:themeColor="text1"/>
          <w:sz w:val="22"/>
          <w:szCs w:val="22"/>
        </w:rPr>
        <w:t>.</w:t>
      </w:r>
    </w:p>
  </w:footnote>
  <w:footnote w:id="5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Договір між Україною та Словацькою Республікою про соціальне забезпечення: Міжнародний документ від 05.12.2000 р. </w:t>
      </w:r>
      <w:r w:rsidRPr="00BB06E1">
        <w:rPr>
          <w:rFonts w:ascii="Times New Roman" w:hAnsi="Times New Roman"/>
          <w:color w:val="000000" w:themeColor="text1"/>
          <w:sz w:val="22"/>
          <w:szCs w:val="22"/>
          <w:lang w:val="ru-RU"/>
        </w:rPr>
        <w:t>URL: http://zakon.rada.gov.ua/laws/show/703_009.</w:t>
      </w:r>
    </w:p>
  </w:footnote>
  <w:footnote w:id="5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Договір між Україною і Латвійською Республікою про співробітництво в галузі соціального забезпечення: Міжнародний документ від 26.02.1998 р. </w:t>
      </w:r>
      <w:r w:rsidRPr="00BB06E1">
        <w:rPr>
          <w:rFonts w:ascii="Times New Roman" w:hAnsi="Times New Roman"/>
          <w:color w:val="000000" w:themeColor="text1"/>
          <w:sz w:val="22"/>
          <w:szCs w:val="22"/>
          <w:lang w:val="ru-RU"/>
        </w:rPr>
        <w:t>URL</w:t>
      </w:r>
      <w:r w:rsidRPr="00BB06E1">
        <w:rPr>
          <w:rFonts w:ascii="Times New Roman" w:hAnsi="Times New Roman"/>
          <w:color w:val="000000" w:themeColor="text1"/>
          <w:sz w:val="22"/>
          <w:szCs w:val="22"/>
        </w:rPr>
        <w:t xml:space="preserve">: </w:t>
      </w:r>
      <w:hyperlink r:id="rId9" w:history="1">
        <w:r w:rsidRPr="00BB06E1">
          <w:rPr>
            <w:rStyle w:val="a9"/>
            <w:rFonts w:ascii="Times New Roman" w:hAnsi="Times New Roman"/>
            <w:color w:val="000000" w:themeColor="text1"/>
            <w:sz w:val="22"/>
            <w:szCs w:val="22"/>
            <w:u w:val="none"/>
          </w:rPr>
          <w:t>http://zakon.rada.gov.ua/laws/show/</w:t>
        </w:r>
        <w:r w:rsidRPr="00BB06E1">
          <w:rPr>
            <w:rStyle w:val="a9"/>
            <w:rFonts w:ascii="Times New Roman" w:hAnsi="Times New Roman"/>
            <w:color w:val="000000" w:themeColor="text1"/>
            <w:sz w:val="22"/>
            <w:szCs w:val="22"/>
            <w:u w:val="none"/>
          </w:rPr>
          <w:br/>
          <w:t>428_010</w:t>
        </w:r>
      </w:hyperlink>
      <w:r w:rsidRPr="00BB06E1">
        <w:rPr>
          <w:rFonts w:ascii="Times New Roman" w:hAnsi="Times New Roman"/>
          <w:color w:val="000000" w:themeColor="text1"/>
          <w:sz w:val="22"/>
          <w:szCs w:val="22"/>
        </w:rPr>
        <w:t>.</w:t>
      </w:r>
    </w:p>
  </w:footnote>
  <w:footnote w:id="6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Угода між Україною і Королівством Іспанія про соціальне забезпечення громадян: Міжнародний документ від 07.10.1996 р. </w:t>
      </w:r>
      <w:r w:rsidRPr="00BB06E1">
        <w:rPr>
          <w:rFonts w:ascii="Times New Roman" w:hAnsi="Times New Roman"/>
          <w:color w:val="000000" w:themeColor="text1"/>
          <w:sz w:val="22"/>
          <w:szCs w:val="22"/>
          <w:lang w:val="ru-RU"/>
        </w:rPr>
        <w:t xml:space="preserve">URL: </w:t>
      </w:r>
      <w:r w:rsidRPr="00BB06E1">
        <w:rPr>
          <w:rFonts w:ascii="Times New Roman" w:hAnsi="Times New Roman"/>
          <w:color w:val="000000" w:themeColor="text1"/>
          <w:sz w:val="22"/>
          <w:szCs w:val="22"/>
        </w:rPr>
        <w:t>http://zakon.rada.gov.ua/laws/show/724_005.</w:t>
      </w:r>
    </w:p>
  </w:footnote>
  <w:footnote w:id="6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Конституція України: Закон України від 28.06.1996 р. № 254к/96-ВР. </w:t>
      </w:r>
      <w:r w:rsidRPr="00BB06E1">
        <w:rPr>
          <w:rFonts w:ascii="Times New Roman" w:hAnsi="Times New Roman"/>
          <w:color w:val="000000" w:themeColor="text1"/>
          <w:sz w:val="22"/>
          <w:szCs w:val="22"/>
        </w:rPr>
        <w:br/>
        <w:t>URL: http://zakon.rada.gov.ua/laws/show/254к/96-вр.</w:t>
      </w:r>
    </w:p>
  </w:footnote>
  <w:footnote w:id="62">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 Закон України від 9 липня 2003 року </w:t>
      </w:r>
      <w:r w:rsidRPr="00BB06E1">
        <w:rPr>
          <w:rFonts w:ascii="Times New Roman" w:hAnsi="Times New Roman"/>
          <w:color w:val="000000" w:themeColor="text1"/>
          <w:sz w:val="22"/>
          <w:szCs w:val="22"/>
        </w:rPr>
        <w:br/>
        <w:t>№ 1058. URL: http://zakon.rada.gov.ua/laws/show/1058-15</w:t>
      </w:r>
      <w:r w:rsidRPr="00BB06E1">
        <w:rPr>
          <w:rFonts w:ascii="Times New Roman" w:hAnsi="Times New Roman"/>
          <w:color w:val="000000" w:themeColor="text1"/>
          <w:sz w:val="22"/>
          <w:szCs w:val="22"/>
          <w:lang w:val="ru-RU"/>
        </w:rPr>
        <w:t>.</w:t>
      </w:r>
    </w:p>
  </w:footnote>
  <w:footnote w:id="6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 Закон України від 9 липня 2003 року </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 1058. URL: http://zakon.rada.gov.ua/laws/show/1058-15.</w:t>
      </w:r>
    </w:p>
  </w:footnote>
  <w:footnote w:id="6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Основні напрями реформування пенсійного забезпечення в Україні: Указ Президента України від 13.04.1998 р. URL: http://zakon.rada.gov.ua/laws/show/291/98.</w:t>
      </w:r>
    </w:p>
  </w:footnote>
  <w:footnote w:id="6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медико-соціальну експертизу: Постанова КМУ №1317 від 03.12.2009 р. </w:t>
      </w:r>
      <w:r w:rsidRPr="00BB06E1">
        <w:rPr>
          <w:rFonts w:ascii="Times New Roman" w:hAnsi="Times New Roman"/>
          <w:bCs/>
          <w:color w:val="000000" w:themeColor="text1"/>
          <w:sz w:val="22"/>
          <w:szCs w:val="22"/>
        </w:rPr>
        <w:t>URL:http://zakon.rada.gov.ua/laws/show/1317-2009-п.</w:t>
      </w:r>
    </w:p>
  </w:footnote>
  <w:footnote w:id="6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списків виробництв, робіт, професій, посад і показників, зайнятість в яких дає право на пенсію за віком на пільгових умовах: Постанова КМУ </w:t>
      </w:r>
      <w:r w:rsidRPr="00BB06E1">
        <w:rPr>
          <w:rFonts w:ascii="Times New Roman" w:hAnsi="Times New Roman"/>
          <w:bCs/>
          <w:color w:val="000000" w:themeColor="text1"/>
          <w:sz w:val="22"/>
          <w:szCs w:val="22"/>
        </w:rPr>
        <w:t>від 24 червня 2016 р. № 461</w:t>
      </w:r>
      <w:r w:rsidRPr="00BB06E1">
        <w:rPr>
          <w:rFonts w:ascii="Times New Roman" w:hAnsi="Times New Roman"/>
          <w:color w:val="000000" w:themeColor="text1"/>
          <w:sz w:val="22"/>
          <w:szCs w:val="22"/>
        </w:rPr>
        <w:t xml:space="preserve">. </w:t>
      </w:r>
      <w:r w:rsidRPr="00BB06E1">
        <w:rPr>
          <w:rFonts w:ascii="Times New Roman" w:hAnsi="Times New Roman"/>
          <w:color w:val="000000" w:themeColor="text1"/>
          <w:sz w:val="22"/>
          <w:szCs w:val="22"/>
        </w:rPr>
        <w:br/>
      </w:r>
      <w:r w:rsidRPr="00BB06E1">
        <w:rPr>
          <w:rFonts w:ascii="Times New Roman" w:hAnsi="Times New Roman"/>
          <w:bCs/>
          <w:color w:val="000000" w:themeColor="text1"/>
          <w:sz w:val="22"/>
          <w:szCs w:val="22"/>
        </w:rPr>
        <w:t>URL: http://zakon.rada.gov.ua/laws/show/461-2016-п.</w:t>
      </w:r>
    </w:p>
  </w:footnote>
  <w:footnote w:id="6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Порядку підтвердження наявного трудового стажу для призначення пенсій за відсутності трудової книжки або відповідних записів у ній: Постанова КМУ від 12.08. 1993 р. №637. URL: http://zakon.rada.gov.ua/laws/show/637-93-п.</w:t>
      </w:r>
    </w:p>
  </w:footnote>
  <w:footnote w:id="6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 1788-XII. URL: https://zakon.</w:t>
      </w:r>
      <w:r w:rsidRPr="00BB06E1">
        <w:rPr>
          <w:rFonts w:ascii="Times New Roman" w:hAnsi="Times New Roman"/>
          <w:color w:val="000000" w:themeColor="text1"/>
          <w:sz w:val="22"/>
          <w:szCs w:val="22"/>
        </w:rPr>
        <w:br/>
        <w:t>rada.gov.ua/laws/show/1788-12.</w:t>
      </w:r>
    </w:p>
  </w:footnote>
  <w:footnote w:id="6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наборів продуктів харчування, наборів непродовольчих товарів та наборів послуг для основних соціальних і демографічних груп населення: Постанова КМУ </w:t>
      </w:r>
      <w:r w:rsidRPr="00BB06E1">
        <w:rPr>
          <w:rFonts w:ascii="Times New Roman" w:hAnsi="Times New Roman"/>
          <w:bCs/>
          <w:color w:val="000000" w:themeColor="text1"/>
          <w:sz w:val="22"/>
          <w:szCs w:val="22"/>
        </w:rPr>
        <w:t xml:space="preserve">від 11 жовтня </w:t>
      </w:r>
      <w:r w:rsidRPr="00BB06E1">
        <w:rPr>
          <w:rFonts w:ascii="Times New Roman" w:hAnsi="Times New Roman"/>
          <w:bCs/>
          <w:color w:val="000000" w:themeColor="text1"/>
          <w:sz w:val="22"/>
          <w:szCs w:val="22"/>
        </w:rPr>
        <w:br/>
        <w:t xml:space="preserve">2016 р. № 780. URL: http://zakon.rada.gov.ua/laws/show/780-2016-п. </w:t>
      </w:r>
    </w:p>
  </w:footnote>
  <w:footnote w:id="7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Пенсійний фонд України: Постанова КМУ від від 23 липня 2014 р. № 280. URL: https://zakon.rada.gov.ua/laws/show/280-2014-п.</w:t>
      </w:r>
    </w:p>
  </w:footnote>
  <w:footnote w:id="7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навч. посіб. / І.А. Вєтухова, Г.О. Яковлєва, О.М. Ярошенко, за заг. ред. В.В. Жернакова. Х.: Нац.ун-т Юрид. акад. України ім. Ярослава Мудрого, 2013. С. 18.</w:t>
      </w:r>
    </w:p>
  </w:footnote>
  <w:footnote w:id="7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Порядок подання та оформлення документів для призначення (перерахунку) пенсій відповідно до Закону України «Про загальнообов’язкове державне пенсійне страхування»: постанова Правління Пенсійного фонду України від 25 листопада 2005 р. № 22-1. URL: http://zakon.rada.</w:t>
      </w:r>
      <w:r w:rsidRPr="00BB06E1">
        <w:rPr>
          <w:rFonts w:ascii="Times New Roman" w:hAnsi="Times New Roman"/>
          <w:color w:val="000000" w:themeColor="text1"/>
          <w:sz w:val="22"/>
          <w:szCs w:val="22"/>
        </w:rPr>
        <w:br/>
        <w:t>gov.ua/laws/show/z0991-15.</w:t>
      </w:r>
    </w:p>
  </w:footnote>
  <w:footnote w:id="7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Порядок підтвердження періодів роботи, що зараховується до трудового стажу при призначенні пенсії на пільгових умовах або вислугу років: постанова Пенсійного фонду України № 18-1 від 10.11.2006 року. URL: http://zakon.rada.gov.ua/laws/show/z1231-06.</w:t>
      </w:r>
    </w:p>
  </w:footnote>
  <w:footnote w:id="7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Порядку застосування Списків № 1 і № 2 виробництв, робіт, професій, посад і показників при обчисленні стажу роботи, що дає право на пенсію за віком на пільгових умовах: Наказ Міністерства праці та соціальної політики України від 18 листопада 2005 року № 383. </w:t>
      </w:r>
      <w:r w:rsidRPr="00BB06E1">
        <w:rPr>
          <w:rFonts w:ascii="Times New Roman" w:hAnsi="Times New Roman"/>
          <w:color w:val="000000" w:themeColor="text1"/>
          <w:sz w:val="22"/>
          <w:szCs w:val="22"/>
        </w:rPr>
        <w:br/>
        <w:t>URL: http://zakon.rada.gov.ua/laws/show/z1451-05.</w:t>
      </w:r>
    </w:p>
  </w:footnote>
  <w:footnote w:id="7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Методичні рекомендації для проведення атестації робочих місць за умовами праці: Постанова Мінпраці № 41 від 01.09.1992 р. URL:http://zakon.rada.gov.ua/rada/show/v0041205-92.</w:t>
      </w:r>
    </w:p>
  </w:footnote>
  <w:footnote w:id="7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Кодекс законів про працю України: Закон УРСР від 10.12.1971 р. № </w:t>
      </w:r>
      <w:r w:rsidRPr="00BB06E1">
        <w:rPr>
          <w:rFonts w:ascii="Times New Roman" w:hAnsi="Times New Roman"/>
          <w:bCs/>
          <w:color w:val="000000" w:themeColor="text1"/>
          <w:sz w:val="22"/>
          <w:szCs w:val="22"/>
        </w:rPr>
        <w:t>322-VIII</w:t>
      </w:r>
      <w:r w:rsidRPr="00BB06E1">
        <w:rPr>
          <w:rFonts w:ascii="Times New Roman" w:hAnsi="Times New Roman"/>
          <w:color w:val="000000" w:themeColor="text1"/>
          <w:sz w:val="22"/>
          <w:szCs w:val="22"/>
        </w:rPr>
        <w:t>. URL: http://zakon.rada.gov.ua/laws /show/322-08.</w:t>
      </w:r>
    </w:p>
  </w:footnote>
  <w:footnote w:id="7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rPr>
        <w:br/>
        <w:t>№ 1058-IV. URL: http://zakon.rada.gov.ua/laws/show/1058-15.</w:t>
      </w:r>
    </w:p>
  </w:footnote>
  <w:footnote w:id="7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 1788-XII. URL: https://zakon.rada.</w:t>
      </w:r>
      <w:r w:rsidRPr="00BB06E1">
        <w:rPr>
          <w:rFonts w:ascii="Times New Roman" w:hAnsi="Times New Roman"/>
          <w:color w:val="000000" w:themeColor="text1"/>
          <w:sz w:val="22"/>
          <w:szCs w:val="22"/>
        </w:rPr>
        <w:br/>
        <w:t>gov.ua/laws/show/1788-12.</w:t>
      </w:r>
    </w:p>
  </w:footnote>
  <w:footnote w:id="7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недержавне пенсійне забезпечення: Закон України від 09.07.2003 р. № </w:t>
      </w:r>
      <w:r w:rsidRPr="00BB06E1">
        <w:rPr>
          <w:rFonts w:ascii="Times New Roman" w:hAnsi="Times New Roman"/>
          <w:bCs/>
          <w:color w:val="000000" w:themeColor="text1"/>
          <w:sz w:val="22"/>
          <w:szCs w:val="22"/>
        </w:rPr>
        <w:t>1057-IV.</w:t>
      </w:r>
      <w:r w:rsidRPr="00BB06E1">
        <w:rPr>
          <w:rFonts w:ascii="Times New Roman" w:hAnsi="Times New Roman"/>
          <w:color w:val="000000" w:themeColor="text1"/>
          <w:sz w:val="22"/>
          <w:szCs w:val="22"/>
        </w:rPr>
        <w:t xml:space="preserve"> URL: http://zakon.rada.gov.ua/laws/show/1057-15.</w:t>
      </w:r>
    </w:p>
  </w:footnote>
  <w:footnote w:id="8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і соціальний захист громадян, які постраждали внаслідок Чорнобильської катастрофи: Закон України від 28.02.1991 р. № 796-ХІІ. URL: https//zakon.rada.gov.ua/laws/show/796-12.</w:t>
      </w:r>
    </w:p>
  </w:footnote>
  <w:footnote w:id="8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прокуратуру: Закон України від 14.10.2014 р. № 1697-VII. URL: https//zakon.rada.gov.ua/laws/show/1697-18.</w:t>
      </w:r>
    </w:p>
  </w:footnote>
  <w:footnote w:id="8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осіб, звільнених з військової служби, та деяких інших осіб: Закон України № 2262-XII від 09.04.1992 р. URL: http://zakon.rada.gov.ua/laws/show/2262-12.</w:t>
      </w:r>
    </w:p>
  </w:footnote>
  <w:footnote w:id="8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ветеранів війни, гарантії їх соціального захисту: Закон України від 22.10.1993 р. </w:t>
      </w:r>
      <w:r w:rsidRPr="00BB06E1">
        <w:rPr>
          <w:rFonts w:ascii="Times New Roman" w:hAnsi="Times New Roman"/>
          <w:color w:val="000000" w:themeColor="text1"/>
          <w:sz w:val="22"/>
          <w:szCs w:val="22"/>
        </w:rPr>
        <w:br/>
        <w:t xml:space="preserve">№ </w:t>
      </w:r>
      <w:r w:rsidRPr="00BB06E1">
        <w:rPr>
          <w:rFonts w:ascii="Times New Roman" w:hAnsi="Times New Roman"/>
          <w:bCs/>
          <w:color w:val="000000" w:themeColor="text1"/>
          <w:sz w:val="22"/>
          <w:szCs w:val="22"/>
        </w:rPr>
        <w:t>3551-XII. URL: http://zakon.rada.gov.ua/laws/show/3551-12.</w:t>
      </w:r>
    </w:p>
  </w:footnote>
  <w:footnote w:id="8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основні засади соціального захисту ветеранів праці та інших громадян похилого віку в Україні: Закон України від 16.12.1993 р. № 3721-XII.URL: https://zakon.rada.gov.ua/laws/show/3721-12.</w:t>
      </w:r>
    </w:p>
  </w:footnote>
  <w:footnote w:id="8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10.12.2015 р. № 889-VIII. </w:t>
      </w:r>
      <w:r w:rsidRPr="00BB06E1">
        <w:rPr>
          <w:rFonts w:ascii="Times New Roman" w:hAnsi="Times New Roman"/>
          <w:color w:val="000000" w:themeColor="text1"/>
          <w:sz w:val="22"/>
          <w:szCs w:val="22"/>
        </w:rPr>
        <w:br/>
        <w:t>URL:http://zakon.rada.gov.ua/laws/show/889-19.</w:t>
      </w:r>
    </w:p>
  </w:footnote>
  <w:footnote w:id="8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16.12.1993 р. № 3723-XII. URL:http://zakon.rada.gov.ua/laws/show/3723-12.</w:t>
      </w:r>
    </w:p>
  </w:footnote>
  <w:footnote w:id="8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10.12.2015 р. № 889-VIII. URL: </w:t>
      </w:r>
      <w:hyperlink r:id="rId10" w:history="1">
        <w:r w:rsidRPr="00BB06E1">
          <w:rPr>
            <w:rStyle w:val="a9"/>
            <w:rFonts w:ascii="Times New Roman" w:hAnsi="Times New Roman"/>
            <w:color w:val="000000" w:themeColor="text1"/>
            <w:sz w:val="22"/>
            <w:szCs w:val="22"/>
            <w:u w:val="none"/>
          </w:rPr>
          <w:t>https://zakon.rada.gov.ua</w:t>
        </w:r>
      </w:hyperlink>
      <w:r w:rsidRPr="00BB06E1">
        <w:rPr>
          <w:rFonts w:ascii="Times New Roman" w:hAnsi="Times New Roman"/>
          <w:color w:val="000000" w:themeColor="text1"/>
          <w:sz w:val="22"/>
          <w:szCs w:val="22"/>
        </w:rPr>
        <w:br/>
        <w:t>/laws/show/889-19.</w:t>
      </w:r>
    </w:p>
  </w:footnote>
  <w:footnote w:id="8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rPr>
        <w:br/>
        <w:t>№ 1058-IV. URL: http://zakon.rada.gov.ua/laws/show/1058-15.</w:t>
      </w:r>
    </w:p>
  </w:footnote>
  <w:footnote w:id="8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16.12.1993 р. № 3723-XII. URL: http://zakon.rada.</w:t>
      </w:r>
      <w:r w:rsidRPr="00BB06E1">
        <w:rPr>
          <w:rFonts w:ascii="Times New Roman" w:hAnsi="Times New Roman"/>
          <w:color w:val="000000" w:themeColor="text1"/>
          <w:sz w:val="22"/>
          <w:szCs w:val="22"/>
        </w:rPr>
        <w:br/>
        <w:t>gov.ua/laws/show/3723-12.</w:t>
      </w:r>
    </w:p>
  </w:footnote>
  <w:footnote w:id="9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Про службу в органах місцевого самоврядування: Закон України № 2493-III від 07.06.2001 р. </w:t>
      </w:r>
      <w:r w:rsidRPr="00BB06E1">
        <w:rPr>
          <w:rFonts w:ascii="Times New Roman" w:hAnsi="Times New Roman"/>
          <w:color w:val="000000" w:themeColor="text1"/>
          <w:sz w:val="22"/>
          <w:szCs w:val="22"/>
        </w:rPr>
        <w:br/>
        <w:t>URL: http://zakon.rada.gov.ua/laws/show/2493-14.</w:t>
      </w:r>
    </w:p>
  </w:footnote>
  <w:footnote w:id="9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Про дипломатичну службу: Закон України №2449-VIII від 07.06.2018 р. URL: http://zakon.rada.</w:t>
      </w:r>
      <w:r w:rsidRPr="00BB06E1">
        <w:rPr>
          <w:rFonts w:ascii="Times New Roman" w:hAnsi="Times New Roman"/>
          <w:color w:val="000000" w:themeColor="text1"/>
          <w:sz w:val="22"/>
          <w:szCs w:val="22"/>
        </w:rPr>
        <w:br/>
        <w:t>gov.ua/laws/show/2449-19#n332.</w:t>
      </w:r>
    </w:p>
  </w:footnote>
  <w:footnote w:id="9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Про статус народного депутата України: Закон України № </w:t>
      </w:r>
      <w:r w:rsidRPr="00BB06E1">
        <w:rPr>
          <w:rFonts w:ascii="Times New Roman" w:hAnsi="Times New Roman"/>
          <w:bCs/>
          <w:color w:val="000000" w:themeColor="text1"/>
          <w:sz w:val="22"/>
          <w:szCs w:val="22"/>
        </w:rPr>
        <w:t xml:space="preserve">2790-XII </w:t>
      </w:r>
      <w:r w:rsidRPr="00BB06E1">
        <w:rPr>
          <w:rFonts w:ascii="Times New Roman" w:hAnsi="Times New Roman"/>
          <w:color w:val="000000" w:themeColor="text1"/>
          <w:sz w:val="22"/>
          <w:szCs w:val="22"/>
        </w:rPr>
        <w:t xml:space="preserve">від 17.11.1992 р. </w:t>
      </w:r>
      <w:r w:rsidRPr="00BB06E1">
        <w:rPr>
          <w:rFonts w:ascii="Times New Roman" w:hAnsi="Times New Roman"/>
          <w:color w:val="000000" w:themeColor="text1"/>
          <w:sz w:val="22"/>
          <w:szCs w:val="22"/>
        </w:rPr>
        <w:br/>
        <w:t>URL: http://zakon.rada.gov.ua/laws/show/2790-12.</w:t>
      </w:r>
    </w:p>
  </w:footnote>
  <w:footnote w:id="9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Митний кодекс України: Закон України № </w:t>
      </w:r>
      <w:r w:rsidRPr="00BB06E1">
        <w:rPr>
          <w:rFonts w:ascii="Times New Roman" w:hAnsi="Times New Roman"/>
          <w:bCs/>
          <w:color w:val="000000" w:themeColor="text1"/>
          <w:sz w:val="22"/>
          <w:szCs w:val="22"/>
        </w:rPr>
        <w:t>4495-VI від 13.03.2012 р.</w:t>
      </w:r>
      <w:hyperlink r:id="rId11" w:history="1">
        <w:r w:rsidRPr="00BB06E1">
          <w:rPr>
            <w:rStyle w:val="a9"/>
            <w:rFonts w:ascii="Times New Roman" w:hAnsi="Times New Roman"/>
            <w:color w:val="000000" w:themeColor="text1"/>
            <w:sz w:val="22"/>
            <w:szCs w:val="22"/>
            <w:u w:val="none"/>
          </w:rPr>
          <w:t>URL:http://zakon.rada.gov.ua/laws/show/4495-17</w:t>
        </w:r>
      </w:hyperlink>
      <w:r w:rsidRPr="00BB06E1">
        <w:rPr>
          <w:rFonts w:ascii="Times New Roman" w:hAnsi="Times New Roman"/>
          <w:color w:val="000000" w:themeColor="text1"/>
          <w:sz w:val="22"/>
          <w:szCs w:val="22"/>
        </w:rPr>
        <w:t>.</w:t>
      </w:r>
    </w:p>
  </w:footnote>
  <w:footnote w:id="9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судоустрій та статус суддів: Закон України  № 1402-VIII  від 02.06.2016 р. </w:t>
      </w:r>
      <w:r w:rsidRPr="00BB06E1">
        <w:rPr>
          <w:rFonts w:ascii="Times New Roman" w:hAnsi="Times New Roman"/>
          <w:color w:val="000000" w:themeColor="text1"/>
          <w:sz w:val="22"/>
          <w:szCs w:val="22"/>
        </w:rPr>
        <w:br/>
        <w:t>URL: http://zakon.rada.gov.ua/laws/show/1402-19.</w:t>
      </w:r>
    </w:p>
  </w:footnote>
  <w:footnote w:id="9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16.12.1993 р. № 3723-XII. URL: http://zakon.rada.gov.ua/laws/show/3723-12.</w:t>
      </w:r>
    </w:p>
  </w:footnote>
  <w:footnote w:id="9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Про судоустрій та статус суддів: Закон України № 1402-VIII  від 02.06.2016 р. URL: http://zakon.rada.gov.ua/laws/show/1402-19.</w:t>
      </w:r>
    </w:p>
  </w:footnote>
  <w:footnote w:id="9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донорство крові та її компонентів: Закон України від 23.06.1995 р. № </w:t>
      </w:r>
      <w:r w:rsidRPr="00BB06E1">
        <w:rPr>
          <w:rFonts w:ascii="Times New Roman" w:hAnsi="Times New Roman"/>
          <w:bCs/>
          <w:color w:val="000000" w:themeColor="text1"/>
          <w:sz w:val="22"/>
          <w:szCs w:val="22"/>
        </w:rPr>
        <w:t>239/95-ВР</w:t>
      </w:r>
      <w:r w:rsidRPr="00BB06E1">
        <w:rPr>
          <w:rFonts w:ascii="Times New Roman" w:hAnsi="Times New Roman"/>
          <w:color w:val="000000" w:themeColor="text1"/>
          <w:sz w:val="22"/>
          <w:szCs w:val="22"/>
        </w:rPr>
        <w:t xml:space="preserve">. URL: </w:t>
      </w:r>
      <w:hyperlink r:id="rId12" w:history="1">
        <w:r w:rsidRPr="00BB06E1">
          <w:rPr>
            <w:rStyle w:val="a9"/>
            <w:rFonts w:ascii="Times New Roman" w:hAnsi="Times New Roman"/>
            <w:color w:val="000000" w:themeColor="text1"/>
            <w:sz w:val="22"/>
            <w:szCs w:val="22"/>
            <w:u w:val="none"/>
          </w:rPr>
          <w:t>http://zakon.rada.gov.ua/laws/show/239/95-вр</w:t>
        </w:r>
      </w:hyperlink>
      <w:r w:rsidRPr="00BB06E1">
        <w:rPr>
          <w:rFonts w:ascii="Times New Roman" w:hAnsi="Times New Roman"/>
          <w:color w:val="000000" w:themeColor="text1"/>
          <w:sz w:val="22"/>
          <w:szCs w:val="22"/>
        </w:rPr>
        <w:t>.</w:t>
      </w:r>
    </w:p>
  </w:footnote>
  <w:footnote w:id="9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гірських населених пунктів в Україні: Закон України від  15.02.1995 р. № 56/95-ВР. URL: http://zakon.rada.gov.ua/laws/show/56/95-вр.</w:t>
      </w:r>
    </w:p>
  </w:footnote>
  <w:footnote w:id="9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підтримку засобів масової інформації та соціальний захист журналістів: Закон України від 23.09.1997 р. № 540/97-ВР. URL: http://zakon.rada.gov.ua/laws/show/540/97-вр.</w:t>
      </w:r>
    </w:p>
  </w:footnote>
  <w:footnote w:id="10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пенсії за особливі заслуги перед Україною: Закон України від 01.06.2000 р. № 1767-III. </w:t>
      </w:r>
      <w:r w:rsidRPr="00BB06E1">
        <w:rPr>
          <w:rFonts w:ascii="Times New Roman" w:hAnsi="Times New Roman"/>
          <w:color w:val="000000" w:themeColor="text1"/>
          <w:sz w:val="22"/>
          <w:szCs w:val="22"/>
        </w:rPr>
        <w:br/>
        <w:t>URL: http://zakon.rada.gov.ua/laws/show/1767-14.</w:t>
      </w:r>
    </w:p>
  </w:footnote>
  <w:footnote w:id="10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підвищення престижності шахтарської праці: Закон України від 02.09.2008 р. № 345-VI. </w:t>
      </w:r>
      <w:r w:rsidRPr="00BB06E1">
        <w:rPr>
          <w:rFonts w:ascii="Times New Roman" w:hAnsi="Times New Roman"/>
          <w:color w:val="000000" w:themeColor="text1"/>
          <w:sz w:val="22"/>
          <w:szCs w:val="22"/>
        </w:rPr>
        <w:br/>
        <w:t xml:space="preserve">URL: </w:t>
      </w:r>
      <w:hyperlink r:id="rId13" w:history="1">
        <w:r w:rsidRPr="00BB06E1">
          <w:rPr>
            <w:rStyle w:val="a9"/>
            <w:rFonts w:ascii="Times New Roman" w:hAnsi="Times New Roman"/>
            <w:color w:val="000000" w:themeColor="text1"/>
            <w:sz w:val="22"/>
            <w:szCs w:val="22"/>
            <w:u w:val="none"/>
          </w:rPr>
          <w:t>http://zakon.rada.gov.ua/laws/show/345-17</w:t>
        </w:r>
      </w:hyperlink>
      <w:r w:rsidRPr="00BB06E1">
        <w:rPr>
          <w:rFonts w:ascii="Times New Roman" w:hAnsi="Times New Roman"/>
          <w:color w:val="000000" w:themeColor="text1"/>
          <w:sz w:val="22"/>
          <w:szCs w:val="22"/>
        </w:rPr>
        <w:t>.</w:t>
      </w:r>
    </w:p>
  </w:footnote>
  <w:footnote w:id="10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10.12.2015 р. № 889-VIII. URL: http://zakon.rada.</w:t>
      </w:r>
      <w:r w:rsidRPr="00BB06E1">
        <w:rPr>
          <w:rFonts w:ascii="Times New Roman" w:hAnsi="Times New Roman"/>
          <w:color w:val="000000" w:themeColor="text1"/>
          <w:sz w:val="22"/>
          <w:szCs w:val="22"/>
        </w:rPr>
        <w:br/>
        <w:t>gov.ua/laws/show/889-19.</w:t>
      </w:r>
    </w:p>
  </w:footnote>
  <w:footnote w:id="10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прокуратуру: Закон України від 14.10.2014 р. № 1697-VII. URL: http://zakon.rada.</w:t>
      </w:r>
      <w:r w:rsidRPr="00BB06E1">
        <w:rPr>
          <w:rFonts w:ascii="Times New Roman" w:hAnsi="Times New Roman"/>
          <w:color w:val="000000" w:themeColor="text1"/>
          <w:sz w:val="22"/>
          <w:szCs w:val="22"/>
        </w:rPr>
        <w:br/>
        <w:t>gov.ua/laws/show/1697-18.</w:t>
      </w:r>
    </w:p>
  </w:footnote>
  <w:footnote w:id="10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судоустрій та статус суддів: Закон України № 1402-VIII від 02.06.2016 р. </w:t>
      </w:r>
      <w:r w:rsidRPr="00BB06E1">
        <w:rPr>
          <w:rFonts w:ascii="Times New Roman" w:hAnsi="Times New Roman"/>
          <w:color w:val="000000" w:themeColor="text1"/>
          <w:sz w:val="22"/>
          <w:szCs w:val="22"/>
        </w:rPr>
        <w:br/>
        <w:t>URL: http://zakon.rada.gov.ua/laws/show/1402-19.</w:t>
      </w:r>
    </w:p>
  </w:footnote>
  <w:footnote w:id="10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навч. посіб. / І.А. Вєтухова, Г.О. Яковлєва, О.М. Ярошенко, за заг. ред. В.В.Жернакова. Х.: Нац.ун-т Юрид. акад. України ім. Ярослава Мудрого, 2013. С. 20.</w:t>
      </w:r>
    </w:p>
  </w:footnote>
  <w:footnote w:id="10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Бондалетова Т.О., </w:t>
      </w:r>
      <w:r w:rsidRPr="00BB06E1">
        <w:rPr>
          <w:rFonts w:ascii="Times New Roman" w:hAnsi="Times New Roman"/>
          <w:color w:val="000000" w:themeColor="text1"/>
          <w:sz w:val="22"/>
          <w:szCs w:val="22"/>
          <w:lang w:val="ru-RU"/>
        </w:rPr>
        <w:t xml:space="preserve">Харченко </w:t>
      </w:r>
      <w:r w:rsidRPr="00BB06E1">
        <w:rPr>
          <w:rFonts w:ascii="Times New Roman" w:hAnsi="Times New Roman"/>
          <w:color w:val="000000" w:themeColor="text1"/>
          <w:sz w:val="22"/>
          <w:szCs w:val="22"/>
        </w:rPr>
        <w:t xml:space="preserve">А.С. Етапи становлення системи пенсійного забезпечення України. </w:t>
      </w:r>
      <w:r w:rsidRPr="00BB06E1">
        <w:rPr>
          <w:rFonts w:ascii="Times New Roman" w:hAnsi="Times New Roman"/>
          <w:i/>
          <w:color w:val="000000" w:themeColor="text1"/>
          <w:sz w:val="22"/>
          <w:szCs w:val="22"/>
        </w:rPr>
        <w:t>Інновації та традиції в сучасній науковій думці</w:t>
      </w:r>
      <w:r w:rsidRPr="00BB06E1">
        <w:rPr>
          <w:rFonts w:ascii="Times New Roman" w:hAnsi="Times New Roman"/>
          <w:color w:val="000000" w:themeColor="text1"/>
          <w:sz w:val="22"/>
          <w:szCs w:val="22"/>
        </w:rPr>
        <w:t>: матер. третьої міжнар. наук.-практ. інтернет-конф. Вінниця: [б.в.], 2014. C. 36–42.</w:t>
      </w:r>
    </w:p>
  </w:footnote>
  <w:footnote w:id="10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Оверчук В.С., Калюга Є.В. Історичний аспект розвитку пенсійної системи в Україні. </w:t>
      </w:r>
      <w:r w:rsidRPr="00BB06E1">
        <w:rPr>
          <w:rFonts w:ascii="Times New Roman" w:hAnsi="Times New Roman"/>
          <w:color w:val="000000" w:themeColor="text1"/>
          <w:sz w:val="22"/>
          <w:szCs w:val="22"/>
        </w:rPr>
        <w:br/>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http://irbisnbuv.gov.ua/.../cgiirbis_64.exe.</w:t>
      </w:r>
    </w:p>
  </w:footnote>
  <w:footnote w:id="10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в Україні та Білорусі: історія становлення і перспективи розвитку: монографія / за ред. Михайла Шумила, Ірини Комоцької. Київ: Ніка-Центр, 2018. С. 10–82.</w:t>
      </w:r>
    </w:p>
  </w:footnote>
  <w:footnote w:id="10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Оверчук В.С., Калюга Є.В. Історичний аспект розвитку пенсійної системи в Україні. URL: http://irbisnbuv.gov.ua/.../cgiirbis_64.exe.</w:t>
      </w:r>
    </w:p>
  </w:footnote>
  <w:footnote w:id="11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Мальований М. Історичний розвиток системи пенсійного забезпечення в світі. </w:t>
      </w:r>
      <w:r w:rsidRPr="00BB06E1">
        <w:rPr>
          <w:rFonts w:ascii="Times New Roman" w:hAnsi="Times New Roman"/>
          <w:i/>
          <w:color w:val="000000" w:themeColor="text1"/>
          <w:sz w:val="22"/>
          <w:szCs w:val="22"/>
        </w:rPr>
        <w:t xml:space="preserve">Економіка АПК. </w:t>
      </w:r>
      <w:r w:rsidRPr="00BB06E1">
        <w:rPr>
          <w:rFonts w:ascii="Times New Roman" w:hAnsi="Times New Roman"/>
          <w:color w:val="000000" w:themeColor="text1"/>
          <w:sz w:val="22"/>
          <w:szCs w:val="22"/>
        </w:rPr>
        <w:t>2005. № 3. С. 31–36.</w:t>
      </w:r>
    </w:p>
  </w:footnote>
  <w:footnote w:id="11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в Україні та Білорусі: історія становлення і перспективи розвитку: монографія / за ред. Михайла Шумила, Ірини Комоцької. Київ: Ніка-Центр, 2018. С. 11.</w:t>
      </w:r>
    </w:p>
  </w:footnote>
  <w:footnote w:id="11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 С. 12.</w:t>
      </w:r>
    </w:p>
  </w:footnote>
  <w:footnote w:id="11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Оверчук В.С., Калюга Є.В. Історичний аспект розвитку пенсійної системи в Україні. </w:t>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http://irbisnbuv.gov.ua/.../cgiirbis_64.exe.</w:t>
      </w:r>
    </w:p>
  </w:footnote>
  <w:footnote w:id="11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Рендюк Т. Становище українців Північної Буковини у складі ВеликоїРумунії впродовж 1918–1940 років</w:t>
      </w:r>
      <w:r w:rsidRPr="004A3AA5">
        <w:rPr>
          <w:rFonts w:ascii="Times New Roman" w:hAnsi="Times New Roman"/>
          <w:color w:val="000000" w:themeColor="text1"/>
          <w:sz w:val="22"/>
          <w:szCs w:val="22"/>
        </w:rPr>
        <w:t>.</w:t>
      </w:r>
      <w:r w:rsidRPr="00BB06E1">
        <w:rPr>
          <w:rFonts w:ascii="Times New Roman" w:hAnsi="Times New Roman"/>
          <w:i/>
          <w:color w:val="000000" w:themeColor="text1"/>
          <w:sz w:val="22"/>
          <w:szCs w:val="22"/>
        </w:rPr>
        <w:t>Краєзнавство: наук.журн</w:t>
      </w:r>
      <w:r w:rsidRPr="00BB06E1">
        <w:rPr>
          <w:rFonts w:ascii="Times New Roman" w:hAnsi="Times New Roman"/>
          <w:color w:val="000000" w:themeColor="text1"/>
          <w:sz w:val="22"/>
          <w:szCs w:val="22"/>
        </w:rPr>
        <w:t>. 2011. № 4. С. 246–247.</w:t>
      </w:r>
    </w:p>
  </w:footnote>
  <w:footnote w:id="11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Погорєлова С. Історія становлення державної системи соціального захисту в європейських країнах. </w:t>
      </w:r>
      <w:r w:rsidRPr="00BB06E1">
        <w:rPr>
          <w:rFonts w:ascii="Times New Roman" w:hAnsi="Times New Roman"/>
          <w:i/>
          <w:color w:val="000000" w:themeColor="text1"/>
          <w:sz w:val="22"/>
          <w:szCs w:val="22"/>
        </w:rPr>
        <w:t>Вісник пенсійного фонду України</w:t>
      </w:r>
      <w:r w:rsidRPr="00BB06E1">
        <w:rPr>
          <w:rFonts w:ascii="Times New Roman" w:hAnsi="Times New Roman"/>
          <w:color w:val="000000" w:themeColor="text1"/>
          <w:sz w:val="22"/>
          <w:szCs w:val="22"/>
        </w:rPr>
        <w:t>. 2008. № 5. С. 12–13.</w:t>
      </w:r>
    </w:p>
  </w:footnote>
  <w:footnote w:id="11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 С.12-13.</w:t>
      </w:r>
    </w:p>
  </w:footnote>
  <w:footnote w:id="11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Бек К. Відновлення сталінської системи в повоєнній УРСР</w:t>
      </w:r>
      <w:r w:rsidRPr="00BB06E1">
        <w:rPr>
          <w:rFonts w:ascii="Times New Roman" w:hAnsi="Times New Roman"/>
          <w:color w:val="000000" w:themeColor="text1"/>
          <w:sz w:val="22"/>
          <w:szCs w:val="22"/>
          <w:lang w:val="ru-RU"/>
        </w:rPr>
        <w:t xml:space="preserve">. </w:t>
      </w:r>
      <w:r w:rsidRPr="00BB06E1">
        <w:rPr>
          <w:rFonts w:ascii="Times New Roman" w:hAnsi="Times New Roman"/>
          <w:i/>
          <w:color w:val="000000" w:themeColor="text1"/>
          <w:sz w:val="22"/>
          <w:szCs w:val="22"/>
        </w:rPr>
        <w:t>Український історичний журнал.</w:t>
      </w:r>
      <w:r w:rsidRPr="00BB06E1">
        <w:rPr>
          <w:rFonts w:ascii="Times New Roman" w:hAnsi="Times New Roman"/>
          <w:color w:val="000000" w:themeColor="text1"/>
          <w:sz w:val="22"/>
          <w:szCs w:val="22"/>
        </w:rPr>
        <w:t xml:space="preserve"> 2012. № 4. URL: </w:t>
      </w:r>
      <w:hyperlink r:id="rId14" w:history="1">
        <w:r w:rsidRPr="00BB06E1">
          <w:rPr>
            <w:rStyle w:val="a9"/>
            <w:rFonts w:ascii="Times New Roman" w:hAnsi="Times New Roman"/>
            <w:color w:val="000000" w:themeColor="text1"/>
            <w:sz w:val="22"/>
            <w:szCs w:val="22"/>
            <w:u w:val="none"/>
          </w:rPr>
          <w:t>http://googl/HzPMZ4</w:t>
        </w:r>
      </w:hyperlink>
      <w:r w:rsidRPr="00BB06E1">
        <w:rPr>
          <w:rFonts w:ascii="Times New Roman" w:hAnsi="Times New Roman"/>
          <w:color w:val="000000" w:themeColor="text1"/>
          <w:sz w:val="22"/>
          <w:szCs w:val="22"/>
        </w:rPr>
        <w:t>. С. 127.</w:t>
      </w:r>
    </w:p>
  </w:footnote>
  <w:footnote w:id="118">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Михайлова І.Ю. Розвиток пенсійного законодавства в СРСР у післявоєнний період</w:t>
      </w:r>
      <w:r w:rsidRPr="00BB06E1">
        <w:rPr>
          <w:rFonts w:ascii="Times New Roman" w:hAnsi="Times New Roman"/>
          <w:color w:val="000000" w:themeColor="text1"/>
          <w:sz w:val="22"/>
          <w:szCs w:val="22"/>
          <w:lang w:val="ru-RU"/>
        </w:rPr>
        <w:t xml:space="preserve">. </w:t>
      </w:r>
      <w:r w:rsidRPr="00BB06E1">
        <w:rPr>
          <w:rFonts w:ascii="Times New Roman" w:hAnsi="Times New Roman"/>
          <w:i/>
          <w:color w:val="000000" w:themeColor="text1"/>
          <w:sz w:val="22"/>
          <w:szCs w:val="22"/>
        </w:rPr>
        <w:t>Університетські наукові записки</w:t>
      </w:r>
      <w:r w:rsidRPr="00BB06E1">
        <w:rPr>
          <w:rFonts w:ascii="Times New Roman" w:hAnsi="Times New Roman"/>
          <w:i/>
          <w:color w:val="000000" w:themeColor="text1"/>
          <w:sz w:val="22"/>
          <w:szCs w:val="22"/>
          <w:lang w:val="ru-RU"/>
        </w:rPr>
        <w:t>.</w:t>
      </w:r>
      <w:r w:rsidRPr="00BB06E1">
        <w:rPr>
          <w:rFonts w:ascii="Times New Roman" w:hAnsi="Times New Roman"/>
          <w:color w:val="000000" w:themeColor="text1"/>
          <w:sz w:val="22"/>
          <w:szCs w:val="22"/>
        </w:rPr>
        <w:t xml:space="preserve"> 2017</w:t>
      </w:r>
      <w:r w:rsidRPr="00BB06E1">
        <w:rPr>
          <w:rFonts w:ascii="Times New Roman" w:hAnsi="Times New Roman"/>
          <w:color w:val="000000" w:themeColor="text1"/>
          <w:sz w:val="22"/>
          <w:szCs w:val="22"/>
          <w:lang w:val="ru-RU"/>
        </w:rPr>
        <w:t>.</w:t>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xml:space="preserve">: </w:t>
      </w:r>
      <w:hyperlink r:id="rId15" w:history="1">
        <w:r w:rsidRPr="00BB06E1">
          <w:rPr>
            <w:rStyle w:val="a9"/>
            <w:rFonts w:ascii="Times New Roman" w:hAnsi="Times New Roman"/>
            <w:color w:val="000000" w:themeColor="text1"/>
            <w:sz w:val="22"/>
            <w:szCs w:val="22"/>
            <w:u w:val="none"/>
          </w:rPr>
          <w:t>http://www.univer.km.ua/visnyk/</w:t>
        </w:r>
      </w:hyperlink>
      <w:r w:rsidRPr="00BB06E1">
        <w:rPr>
          <w:rFonts w:ascii="Times New Roman" w:hAnsi="Times New Roman"/>
          <w:color w:val="000000" w:themeColor="text1"/>
          <w:sz w:val="22"/>
          <w:szCs w:val="22"/>
        </w:rPr>
        <w:t xml:space="preserve"> 1656.pdf.</w:t>
      </w:r>
    </w:p>
  </w:footnote>
  <w:footnote w:id="11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Андреев В.С. Право социального обеспечения СССР. М.: Юрид. лит.,1980. С. 98.</w:t>
      </w:r>
    </w:p>
  </w:footnote>
  <w:footnote w:id="12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державні пенсії: Закон СРСР від 14 липня 1956 року. URL: http://zakon.rada.gov.ua/</w:t>
      </w:r>
      <w:r w:rsidRPr="00BB06E1">
        <w:rPr>
          <w:rFonts w:ascii="Times New Roman" w:hAnsi="Times New Roman"/>
          <w:color w:val="000000" w:themeColor="text1"/>
          <w:sz w:val="22"/>
          <w:szCs w:val="22"/>
        </w:rPr>
        <w:br/>
        <w:t>laws/show/n0001400-56.</w:t>
      </w:r>
    </w:p>
  </w:footnote>
  <w:footnote w:id="121">
    <w:p w:rsidR="00777771" w:rsidRPr="00BB06E1" w:rsidRDefault="00777771" w:rsidP="00BB06E1">
      <w:pPr>
        <w:pStyle w:val="a6"/>
        <w:jc w:val="both"/>
        <w:rPr>
          <w:rFonts w:ascii="Times New Roman" w:eastAsia="Times New Roman" w:hAnsi="Times New Roman"/>
          <w:color w:val="000000" w:themeColor="text1"/>
          <w:sz w:val="22"/>
          <w:szCs w:val="22"/>
          <w:lang w:eastAsia="uk-UA"/>
        </w:rPr>
      </w:pPr>
      <w:r w:rsidRPr="00BB06E1">
        <w:rPr>
          <w:rStyle w:val="a8"/>
          <w:rFonts w:ascii="Times New Roman" w:hAnsi="Times New Roman"/>
          <w:color w:val="000000" w:themeColor="text1"/>
          <w:sz w:val="22"/>
          <w:szCs w:val="22"/>
        </w:rPr>
        <w:footnoteRef/>
      </w:r>
      <w:r w:rsidRPr="00BB06E1">
        <w:rPr>
          <w:rFonts w:ascii="Times New Roman" w:eastAsia="Times New Roman" w:hAnsi="Times New Roman"/>
          <w:color w:val="000000" w:themeColor="text1"/>
          <w:sz w:val="22"/>
          <w:szCs w:val="22"/>
          <w:lang w:eastAsia="uk-UA"/>
        </w:rPr>
        <w:t xml:space="preserve"> Там само.</w:t>
      </w:r>
    </w:p>
  </w:footnote>
  <w:footnote w:id="12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порядок призначення і виплати державних пенсій: Постанова Ради Міністрів СРСР №1044 від 4 серпня 1956 року. </w:t>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http://www.libussr.ru/doc_ussr/</w:t>
      </w:r>
      <w:r w:rsidRPr="00BB06E1">
        <w:rPr>
          <w:rFonts w:ascii="Times New Roman" w:hAnsi="Times New Roman"/>
          <w:color w:val="000000" w:themeColor="text1"/>
          <w:sz w:val="22"/>
          <w:szCs w:val="22"/>
        </w:rPr>
        <w:br/>
        <w:t>ussr_5113.htm.</w:t>
      </w:r>
    </w:p>
  </w:footnote>
  <w:footnote w:id="12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порядок призначення і виплати державних пенсій: Постанова Ради Міністрів СРСР №1044 від 4 серпня 1956 року. URL: http://www.libussr.ru/doc_ussr/</w:t>
      </w:r>
      <w:r w:rsidRPr="00BB06E1">
        <w:rPr>
          <w:rFonts w:ascii="Times New Roman" w:hAnsi="Times New Roman"/>
          <w:color w:val="000000" w:themeColor="text1"/>
          <w:sz w:val="22"/>
          <w:szCs w:val="22"/>
        </w:rPr>
        <w:br/>
        <w:t>ussr_5113.htm.</w:t>
      </w:r>
    </w:p>
  </w:footnote>
  <w:footnote w:id="12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Право социального обеспечения России / М.О. Буянова, К.Н. Гусов и др.; под ред. К.Н. Гусова. </w:t>
      </w:r>
      <w:r w:rsidRPr="00BB06E1">
        <w:rPr>
          <w:rFonts w:ascii="Times New Roman" w:hAnsi="Times New Roman"/>
          <w:color w:val="000000" w:themeColor="text1"/>
          <w:sz w:val="22"/>
          <w:szCs w:val="22"/>
        </w:rPr>
        <w:br/>
        <w:t>3-е изд. М.: ТК Велби, Проспект, 2004. С. 153.</w:t>
      </w:r>
    </w:p>
  </w:footnote>
  <w:footnote w:id="12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Кудрявцев Г.С. О государственных пенсиях. Л.: Лениздат, 1958. С. 3–4.</w:t>
      </w:r>
    </w:p>
  </w:footnote>
  <w:footnote w:id="12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державні пенсії: Закон СРСР від 14 липня 1956 року. URL: http://zakon.rada.gov.ua/laws/show/n0001400-56.</w:t>
      </w:r>
    </w:p>
  </w:footnote>
  <w:footnote w:id="127">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Меркулова В.И., Сахарова И.М. Пенсии по старости рабочим и служащим в СССР. М.: Госюриздат, 1957. С. 3.</w:t>
      </w:r>
    </w:p>
  </w:footnote>
  <w:footnote w:id="12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Об уставе сельскохозяйственной артели и дальнейшем развитии инициативы колхозников в организации колхозного производства и управлении делами артели: постановление ЦК КПСС и Совета Министров СССР от 06.03.1956 г. № 312 / Вологодская областная универсальная научная библиотека. URL: http://goo.gl/vVbf1A.</w:t>
      </w:r>
    </w:p>
  </w:footnote>
  <w:footnote w:id="12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пенсії і допомогу членам колгоспів: Закон СРСР від 15.07.1964 р. № 2688-VI</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Відомості Верховної Ради СРСР. 1964. № 29.</w:t>
      </w:r>
    </w:p>
  </w:footnote>
  <w:footnote w:id="13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громадян в СРСР: Закон СРСР від 15.05.1990 р. № 1480-I. </w:t>
      </w:r>
      <w:r w:rsidRPr="00BB06E1">
        <w:rPr>
          <w:rFonts w:ascii="Times New Roman" w:hAnsi="Times New Roman"/>
          <w:color w:val="000000" w:themeColor="text1"/>
          <w:sz w:val="22"/>
          <w:szCs w:val="22"/>
        </w:rPr>
        <w:br/>
      </w:r>
      <w:r w:rsidRPr="00BB06E1">
        <w:rPr>
          <w:rFonts w:ascii="Times New Roman" w:eastAsia="Times New Roman" w:hAnsi="Times New Roman"/>
          <w:bCs/>
          <w:color w:val="000000" w:themeColor="text1"/>
          <w:sz w:val="22"/>
          <w:szCs w:val="22"/>
          <w:lang w:eastAsia="uk-UA"/>
        </w:rPr>
        <w:t>URL:</w:t>
      </w:r>
      <w:r w:rsidRPr="00BB06E1">
        <w:rPr>
          <w:rFonts w:ascii="Times New Roman" w:eastAsia="Times New Roman" w:hAnsi="Times New Roman"/>
          <w:color w:val="000000" w:themeColor="text1"/>
          <w:sz w:val="22"/>
          <w:szCs w:val="22"/>
          <w:lang w:eastAsia="uk-UA"/>
        </w:rPr>
        <w:t xml:space="preserve"> http://zakon.rada.gov.ua/laws/card/v1480400-90.</w:t>
      </w:r>
    </w:p>
  </w:footnote>
  <w:footnote w:id="13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 мероприятиях по дальнейшему повышению благосостояния советского народа: постановление ЦК КПСС и Совета Министров СССР от 26.09.1967 г. № 888 / </w:t>
      </w:r>
      <w:r w:rsidRPr="00BB06E1">
        <w:rPr>
          <w:rFonts w:ascii="Times New Roman" w:hAnsi="Times New Roman"/>
          <w:i/>
          <w:color w:val="000000" w:themeColor="text1"/>
          <w:sz w:val="22"/>
          <w:szCs w:val="22"/>
        </w:rPr>
        <w:t>Законодательство СССР</w:t>
      </w:r>
      <w:r w:rsidRPr="00BB06E1">
        <w:rPr>
          <w:rFonts w:ascii="Times New Roman" w:hAnsi="Times New Roman"/>
          <w:color w:val="000000" w:themeColor="text1"/>
          <w:sz w:val="22"/>
          <w:szCs w:val="22"/>
        </w:rPr>
        <w:t>. Библиотека нормативно</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правовых актов Союза Советских Социалистических Республик. </w:t>
      </w:r>
      <w:r w:rsidRPr="00BB06E1">
        <w:rPr>
          <w:rFonts w:ascii="Times New Roman" w:hAnsi="Times New Roman"/>
          <w:color w:val="000000" w:themeColor="text1"/>
          <w:sz w:val="22"/>
          <w:szCs w:val="22"/>
        </w:rPr>
        <w:br/>
        <w:t>URL: http://goo.gl/2CHswi.</w:t>
      </w:r>
    </w:p>
  </w:footnote>
  <w:footnote w:id="13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Бєлоусов В.М. Державне регулювання системи пенсійного забезпечення в контексті історії</w:t>
      </w:r>
      <w:r w:rsidRPr="00BB06E1">
        <w:rPr>
          <w:rFonts w:ascii="Times New Roman" w:hAnsi="Times New Roman"/>
          <w:color w:val="000000" w:themeColor="text1"/>
          <w:sz w:val="22"/>
          <w:szCs w:val="22"/>
          <w:lang w:val="ru-RU"/>
        </w:rPr>
        <w:t xml:space="preserve">. </w:t>
      </w:r>
      <w:r w:rsidRPr="00BB06E1">
        <w:rPr>
          <w:rFonts w:ascii="Times New Roman" w:hAnsi="Times New Roman"/>
          <w:i/>
          <w:color w:val="000000" w:themeColor="text1"/>
          <w:sz w:val="22"/>
          <w:szCs w:val="22"/>
        </w:rPr>
        <w:t>Науковий вісник Академії муніципального управління</w:t>
      </w:r>
      <w:r w:rsidRPr="00BB06E1">
        <w:rPr>
          <w:rFonts w:ascii="Times New Roman" w:hAnsi="Times New Roman"/>
          <w:color w:val="000000" w:themeColor="text1"/>
          <w:sz w:val="22"/>
          <w:szCs w:val="22"/>
        </w:rPr>
        <w:t>. Серія: Управління. 2012. Вип. 1. С. 200.</w:t>
      </w:r>
    </w:p>
  </w:footnote>
  <w:footnote w:id="13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громадян в СРСР: Закон СРСР від 15.05.1990 р. № 1480-I. </w:t>
      </w:r>
      <w:r w:rsidRPr="00BB06E1">
        <w:rPr>
          <w:rFonts w:ascii="Times New Roman" w:hAnsi="Times New Roman"/>
          <w:color w:val="000000" w:themeColor="text1"/>
          <w:sz w:val="22"/>
          <w:szCs w:val="22"/>
        </w:rPr>
        <w:br/>
      </w:r>
      <w:r w:rsidRPr="00BB06E1">
        <w:rPr>
          <w:rFonts w:ascii="Times New Roman" w:eastAsia="Times New Roman" w:hAnsi="Times New Roman"/>
          <w:bCs/>
          <w:color w:val="000000" w:themeColor="text1"/>
          <w:sz w:val="22"/>
          <w:szCs w:val="22"/>
          <w:lang w:eastAsia="uk-UA"/>
        </w:rPr>
        <w:t>URL:</w:t>
      </w:r>
      <w:r w:rsidRPr="00BB06E1">
        <w:rPr>
          <w:rFonts w:ascii="Times New Roman" w:eastAsia="Times New Roman" w:hAnsi="Times New Roman"/>
          <w:color w:val="000000" w:themeColor="text1"/>
          <w:sz w:val="22"/>
          <w:szCs w:val="22"/>
          <w:lang w:eastAsia="uk-UA"/>
        </w:rPr>
        <w:t xml:space="preserve"> http://zakon.rada.gov.ua/laws/card/v1480400-90.</w:t>
      </w:r>
    </w:p>
  </w:footnote>
  <w:footnote w:id="13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громадян в СРСР: Закон СРСР від 15.05.1990 р. № 1480-I. </w:t>
      </w:r>
      <w:r w:rsidRPr="00BB06E1">
        <w:rPr>
          <w:rFonts w:ascii="Times New Roman" w:hAnsi="Times New Roman"/>
          <w:color w:val="000000" w:themeColor="text1"/>
          <w:sz w:val="22"/>
          <w:szCs w:val="22"/>
        </w:rPr>
        <w:br/>
      </w:r>
      <w:r w:rsidRPr="00BB06E1">
        <w:rPr>
          <w:rFonts w:ascii="Times New Roman" w:eastAsia="Times New Roman" w:hAnsi="Times New Roman"/>
          <w:bCs/>
          <w:color w:val="000000" w:themeColor="text1"/>
          <w:sz w:val="22"/>
          <w:szCs w:val="22"/>
          <w:lang w:eastAsia="uk-UA"/>
        </w:rPr>
        <w:t>URL:</w:t>
      </w:r>
      <w:r w:rsidRPr="00BB06E1">
        <w:rPr>
          <w:rFonts w:ascii="Times New Roman" w:eastAsia="Times New Roman" w:hAnsi="Times New Roman"/>
          <w:color w:val="000000" w:themeColor="text1"/>
          <w:sz w:val="22"/>
          <w:szCs w:val="22"/>
          <w:lang w:eastAsia="uk-UA"/>
        </w:rPr>
        <w:t xml:space="preserve"> http://zakon.rada.gov.ua/laws/card/v1480400-90.</w:t>
      </w:r>
    </w:p>
  </w:footnote>
  <w:footnote w:id="13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Пенсійний Фонд СРСР: Постанова Ради Міністрів СРСР і ВЦРПС від 15 серпня 1990 р. № 818. </w:t>
      </w:r>
      <w:r w:rsidRPr="00BB06E1">
        <w:rPr>
          <w:rFonts w:ascii="Times New Roman" w:hAnsi="Times New Roman"/>
          <w:bCs/>
          <w:color w:val="000000" w:themeColor="text1"/>
          <w:sz w:val="22"/>
          <w:szCs w:val="22"/>
        </w:rPr>
        <w:t xml:space="preserve">URL: </w:t>
      </w:r>
      <w:hyperlink r:id="rId16" w:history="1">
        <w:r w:rsidRPr="00BB06E1">
          <w:rPr>
            <w:rStyle w:val="a9"/>
            <w:rFonts w:ascii="Times New Roman" w:hAnsi="Times New Roman"/>
            <w:color w:val="000000" w:themeColor="text1"/>
            <w:sz w:val="22"/>
            <w:szCs w:val="22"/>
            <w:u w:val="none"/>
          </w:rPr>
          <w:t>http://www</w:t>
        </w:r>
      </w:hyperlink>
      <w:r w:rsidRPr="00BB06E1">
        <w:rPr>
          <w:rFonts w:ascii="Times New Roman" w:hAnsi="Times New Roman"/>
          <w:color w:val="000000" w:themeColor="text1"/>
          <w:sz w:val="22"/>
          <w:szCs w:val="22"/>
        </w:rPr>
        <w:t>.businesspravo.ru/Docum/DocumShow_</w:t>
      </w:r>
      <w:r w:rsidRPr="00BB06E1">
        <w:rPr>
          <w:rFonts w:ascii="Times New Roman" w:hAnsi="Times New Roman"/>
          <w:color w:val="000000" w:themeColor="text1"/>
          <w:sz w:val="22"/>
          <w:szCs w:val="22"/>
        </w:rPr>
        <w:br/>
        <w:t>DocumID_39059.html.</w:t>
      </w:r>
    </w:p>
  </w:footnote>
  <w:footnote w:id="13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Об утверждении Инструкции о порядке взимания и учета страховых взносов в Пенсионный фонд СССР и расходования средств Пенсионного Фонда СССР: Постановление Пенсионного фонда СССР, Государственного комитета СССР по труду и социальным вопросам, Министерства финансов СССР и Всеобщей конфедерации профессиональных союзов СССР от 19 декабря 1990 г. № 52-ПФ. </w:t>
      </w:r>
      <w:r w:rsidRPr="00BB06E1">
        <w:rPr>
          <w:rFonts w:ascii="Times New Roman" w:hAnsi="Times New Roman"/>
          <w:bCs/>
          <w:color w:val="000000" w:themeColor="text1"/>
          <w:sz w:val="22"/>
          <w:szCs w:val="22"/>
        </w:rPr>
        <w:t>URL:</w:t>
      </w:r>
      <w:hyperlink r:id="rId17" w:history="1">
        <w:r w:rsidRPr="00BB06E1">
          <w:rPr>
            <w:rStyle w:val="a9"/>
            <w:rFonts w:ascii="Times New Roman" w:hAnsi="Times New Roman"/>
            <w:color w:val="000000" w:themeColor="text1"/>
            <w:sz w:val="22"/>
            <w:szCs w:val="22"/>
            <w:u w:val="none"/>
          </w:rPr>
          <w:t>http://www.libussr.ru/doc_ussr/</w:t>
        </w:r>
      </w:hyperlink>
      <w:r w:rsidRPr="00BB06E1">
        <w:rPr>
          <w:rFonts w:ascii="Times New Roman" w:hAnsi="Times New Roman"/>
          <w:color w:val="000000" w:themeColor="text1"/>
          <w:sz w:val="22"/>
          <w:szCs w:val="22"/>
        </w:rPr>
        <w:t xml:space="preserve"> usr_17824.htm.</w:t>
      </w:r>
    </w:p>
  </w:footnote>
  <w:footnote w:id="13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утворення Українського республіканського відділення Пенсійного фонду СРСР: Постанова Ради Міністрів Української РСР і Ради Федерації Незалежних Профспілок України від 21 грудня 1990 р. № 380. </w:t>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https://zakon.rada.gov.ua/laws/show/380-90.</w:t>
      </w:r>
    </w:p>
  </w:footnote>
  <w:footnote w:id="13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Історія формування організаційної структури Пенсійного фонду: офіційний веб-сайт Пенсійного фонду України. </w:t>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xml:space="preserve"> https://www.pfu.gov.ua/od/292-istoriya-formuvannya-organizatsijnoyi-struktury-pensijnogo-fondu/.</w:t>
      </w:r>
    </w:p>
  </w:footnote>
  <w:footnote w:id="13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1788-XII. URL: http://zakon.rada.</w:t>
      </w:r>
      <w:r w:rsidRPr="00BB06E1">
        <w:rPr>
          <w:rFonts w:ascii="Times New Roman" w:hAnsi="Times New Roman"/>
          <w:color w:val="000000" w:themeColor="text1"/>
          <w:sz w:val="22"/>
          <w:szCs w:val="22"/>
        </w:rPr>
        <w:br/>
        <w:t>ov.ua/laws/show/1788-12.</w:t>
      </w:r>
    </w:p>
  </w:footnote>
  <w:footnote w:id="14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порядок введення в дію Закону України «Про пенсійне забезпечення»: Постанова Верховної Ради України від 06.12.1991 р. №1931-XII. URL: http://zakon.rada.gov.ua/laws/show/1931-12.</w:t>
      </w:r>
    </w:p>
  </w:footnote>
  <w:footnote w:id="141">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Нагорна Г.О. Використання соціального проектування у процесі підготовки та реалізації державних реформ</w:t>
      </w:r>
      <w:r w:rsidRPr="00BB06E1">
        <w:rPr>
          <w:rFonts w:ascii="Times New Roman" w:hAnsi="Times New Roman"/>
          <w:color w:val="000000" w:themeColor="text1"/>
          <w:sz w:val="22"/>
          <w:szCs w:val="22"/>
          <w:lang w:val="ru-RU"/>
        </w:rPr>
        <w:t>.</w:t>
      </w:r>
      <w:r w:rsidRPr="00BB06E1">
        <w:rPr>
          <w:rFonts w:ascii="Times New Roman" w:hAnsi="Times New Roman"/>
          <w:i/>
          <w:color w:val="000000" w:themeColor="text1"/>
          <w:sz w:val="22"/>
          <w:szCs w:val="22"/>
        </w:rPr>
        <w:t>Ефективність державного управління</w:t>
      </w:r>
      <w:r w:rsidRPr="00BB06E1">
        <w:rPr>
          <w:rFonts w:ascii="Times New Roman" w:hAnsi="Times New Roman"/>
          <w:color w:val="000000" w:themeColor="text1"/>
          <w:sz w:val="22"/>
          <w:szCs w:val="22"/>
        </w:rPr>
        <w:t>: зб. наук. пр. Львівського регіонального інституту державного управління Національної академії державного управління при Президентові України. / за заг. ред. чл.-кор. НАН України В.С. Загорського, доц. А.В. Ліпенцева. Львів: ЛРІДУ НАДУ, 2015. Вип. 42. С. 94</w:t>
      </w:r>
      <w:r w:rsidRPr="00BB06E1">
        <w:rPr>
          <w:rFonts w:ascii="Times New Roman" w:hAnsi="Times New Roman"/>
          <w:color w:val="000000" w:themeColor="text1"/>
          <w:sz w:val="22"/>
          <w:szCs w:val="22"/>
          <w:lang w:val="ru-RU"/>
        </w:rPr>
        <w:t>.</w:t>
      </w:r>
    </w:p>
  </w:footnote>
  <w:footnote w:id="14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 1788-XII. URL: http://zakon.rada.</w:t>
      </w:r>
      <w:r w:rsidRPr="00BB06E1">
        <w:rPr>
          <w:rFonts w:ascii="Times New Roman" w:hAnsi="Times New Roman"/>
          <w:color w:val="000000" w:themeColor="text1"/>
          <w:sz w:val="22"/>
          <w:szCs w:val="22"/>
        </w:rPr>
        <w:br/>
        <w:t>gov.ua/laws/show/1788-12</w:t>
      </w:r>
      <w:r w:rsidRPr="00BB06E1">
        <w:rPr>
          <w:rFonts w:ascii="Times New Roman" w:hAnsi="Times New Roman"/>
          <w:color w:val="000000" w:themeColor="text1"/>
          <w:sz w:val="22"/>
          <w:szCs w:val="22"/>
          <w:lang w:val="ru-RU"/>
        </w:rPr>
        <w:t>.</w:t>
      </w:r>
    </w:p>
  </w:footnote>
  <w:footnote w:id="14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w:t>
      </w:r>
    </w:p>
  </w:footnote>
  <w:footnote w:id="144">
    <w:p w:rsidR="00777771" w:rsidRPr="00BB06E1" w:rsidRDefault="00777771" w:rsidP="00BB06E1">
      <w:pPr>
        <w:pStyle w:val="a6"/>
        <w:jc w:val="both"/>
        <w:rPr>
          <w:rFonts w:ascii="Times New Roman" w:hAnsi="Times New Roman"/>
          <w:bCs/>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bCs/>
          <w:color w:val="000000" w:themeColor="text1"/>
          <w:sz w:val="22"/>
          <w:szCs w:val="22"/>
        </w:rPr>
        <w:t xml:space="preserve">Про створення Пенсійного фонду України: Постанова Кабінету Міністрів України від </w:t>
      </w:r>
      <w:r w:rsidRPr="00BB06E1">
        <w:rPr>
          <w:rFonts w:ascii="Times New Roman" w:hAnsi="Times New Roman"/>
          <w:bCs/>
          <w:color w:val="000000" w:themeColor="text1"/>
          <w:sz w:val="22"/>
          <w:szCs w:val="22"/>
        </w:rPr>
        <w:br/>
        <w:t xml:space="preserve">28 січня 1992 р. № 39. URL: </w:t>
      </w:r>
      <w:hyperlink r:id="rId18" w:history="1">
        <w:r w:rsidRPr="00BB06E1">
          <w:rPr>
            <w:rStyle w:val="a9"/>
            <w:rFonts w:ascii="Times New Roman" w:hAnsi="Times New Roman"/>
            <w:bCs/>
            <w:color w:val="000000" w:themeColor="text1"/>
            <w:sz w:val="22"/>
            <w:szCs w:val="22"/>
            <w:u w:val="none"/>
          </w:rPr>
          <w:t>http://zakon.rada.gov.ua/laws/ show/39-92</w:t>
        </w:r>
      </w:hyperlink>
      <w:r w:rsidRPr="00BB06E1">
        <w:rPr>
          <w:rFonts w:ascii="Times New Roman" w:hAnsi="Times New Roman"/>
          <w:bCs/>
          <w:color w:val="000000" w:themeColor="text1"/>
          <w:sz w:val="22"/>
          <w:szCs w:val="22"/>
        </w:rPr>
        <w:t>.</w:t>
      </w:r>
    </w:p>
  </w:footnote>
  <w:footnote w:id="14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Питання Пенсійного фонду України: Постанова Кабінету Міністрів України від 16 вересня </w:t>
      </w:r>
      <w:r w:rsidRPr="00BB06E1">
        <w:rPr>
          <w:rFonts w:ascii="Times New Roman" w:hAnsi="Times New Roman"/>
          <w:color w:val="000000" w:themeColor="text1"/>
          <w:sz w:val="22"/>
          <w:szCs w:val="22"/>
        </w:rPr>
        <w:br/>
        <w:t>1992 року № 534</w:t>
      </w:r>
      <w:r w:rsidRPr="004A3AA5">
        <w:rPr>
          <w:rFonts w:ascii="Times New Roman" w:hAnsi="Times New Roman"/>
          <w:color w:val="000000" w:themeColor="text1"/>
          <w:sz w:val="22"/>
          <w:szCs w:val="22"/>
        </w:rPr>
        <w:t>.</w:t>
      </w:r>
      <w:r w:rsidRPr="00BB06E1">
        <w:rPr>
          <w:rFonts w:ascii="Times New Roman" w:hAnsi="Times New Roman"/>
          <w:bCs/>
          <w:color w:val="000000" w:themeColor="text1"/>
          <w:sz w:val="22"/>
          <w:szCs w:val="22"/>
        </w:rPr>
        <w:t>URL: http://search.ligazakon.ua/l_doc2.nsf/link1/KMP92534.html.</w:t>
      </w:r>
    </w:p>
  </w:footnote>
  <w:footnote w:id="14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 1788-XII. </w:t>
      </w:r>
      <w:r w:rsidRPr="00BB06E1">
        <w:rPr>
          <w:rFonts w:ascii="Times New Roman" w:hAnsi="Times New Roman"/>
          <w:color w:val="000000" w:themeColor="text1"/>
          <w:sz w:val="22"/>
          <w:szCs w:val="22"/>
        </w:rPr>
        <w:br/>
        <w:t>URL: https://zakon.rada.gov.ua/laws/show/1788-12.</w:t>
      </w:r>
    </w:p>
  </w:footnote>
  <w:footnote w:id="14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16.12.1993 р. № 3723-XII. </w:t>
      </w:r>
      <w:r w:rsidRPr="00BB06E1">
        <w:rPr>
          <w:rFonts w:ascii="Times New Roman" w:hAnsi="Times New Roman"/>
          <w:color w:val="000000" w:themeColor="text1"/>
          <w:sz w:val="22"/>
          <w:szCs w:val="22"/>
        </w:rPr>
        <w:br/>
        <w:t>URL: https://zakon.rada.gov.ua/laws/show/3723-12.</w:t>
      </w:r>
    </w:p>
  </w:footnote>
  <w:footnote w:id="14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прокуратуру: Закон України від 05.11.1991 р. № 1789-XII. </w:t>
      </w:r>
      <w:r w:rsidRPr="00BB06E1">
        <w:rPr>
          <w:rFonts w:ascii="Times New Roman" w:hAnsi="Times New Roman"/>
          <w:color w:val="000000" w:themeColor="text1"/>
          <w:sz w:val="22"/>
          <w:szCs w:val="22"/>
        </w:rPr>
        <w:br/>
        <w:t>URL: http://zakon.rada.gov.ua/laws/show/1789-12.</w:t>
      </w:r>
    </w:p>
  </w:footnote>
  <w:footnote w:id="14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і соціальний захист громадян, які постраждали внаслідок Чорнобильської катастрофи: Закон України від 28.02.1991 р. № 796-ХІІ. URL: http://zakon.rada.gov.ua/laws/show/796-12.</w:t>
      </w:r>
    </w:p>
  </w:footnote>
  <w:footnote w:id="15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суддів: Закон України від 15.12.1992 р. № 2862-XII. URL: https://zakon.rada.</w:t>
      </w:r>
      <w:r w:rsidRPr="00BB06E1">
        <w:rPr>
          <w:rFonts w:ascii="Times New Roman" w:hAnsi="Times New Roman"/>
          <w:color w:val="000000" w:themeColor="text1"/>
          <w:sz w:val="22"/>
          <w:szCs w:val="22"/>
        </w:rPr>
        <w:br/>
        <w:t>gov.ua/laws/show/2862-12.</w:t>
      </w:r>
    </w:p>
  </w:footnote>
  <w:footnote w:id="15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наукову і науково-технічну діяльність: Закон України від 13.12.1991 р. № 1977-XII. </w:t>
      </w:r>
      <w:r w:rsidRPr="00BB06E1">
        <w:rPr>
          <w:rFonts w:ascii="Times New Roman" w:hAnsi="Times New Roman"/>
          <w:color w:val="000000" w:themeColor="text1"/>
          <w:sz w:val="22"/>
          <w:szCs w:val="22"/>
        </w:rPr>
        <w:br/>
        <w:t>URL: http://zakon.rada.gov.ua/laws/show/1977-12.</w:t>
      </w:r>
    </w:p>
  </w:footnote>
  <w:footnote w:id="15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народного депутата України: Закон України № 2790-XII від 17.11.1992 р.</w:t>
      </w:r>
      <w:r w:rsidRPr="00BB06E1">
        <w:rPr>
          <w:rFonts w:ascii="Times New Roman" w:hAnsi="Times New Roman"/>
          <w:color w:val="000000" w:themeColor="text1"/>
          <w:sz w:val="22"/>
          <w:szCs w:val="22"/>
        </w:rPr>
        <w:br/>
        <w:t xml:space="preserve"> URL: http://zakon.rada.gov.ua/laws/show/2790-12.</w:t>
      </w:r>
    </w:p>
  </w:footnote>
  <w:footnote w:id="15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Основи законодавства України про загальнообов'язкове державне соціальне страхування: Закон України від 14.01.1998 р. № </w:t>
      </w:r>
      <w:r w:rsidRPr="00BB06E1">
        <w:rPr>
          <w:rFonts w:ascii="Times New Roman" w:hAnsi="Times New Roman"/>
          <w:bCs/>
          <w:color w:val="000000" w:themeColor="text1"/>
          <w:sz w:val="22"/>
          <w:szCs w:val="22"/>
        </w:rPr>
        <w:t xml:space="preserve">16/98-ВР. URL: </w:t>
      </w:r>
      <w:r w:rsidRPr="00BB06E1">
        <w:rPr>
          <w:rFonts w:ascii="Times New Roman" w:hAnsi="Times New Roman"/>
          <w:color w:val="000000" w:themeColor="text1"/>
          <w:sz w:val="22"/>
          <w:szCs w:val="22"/>
        </w:rPr>
        <w:t>http://zakon.rada.gov.ua/laws/show/16/98.</w:t>
      </w:r>
    </w:p>
  </w:footnote>
  <w:footnote w:id="15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Основні напрями реформування пенсійного забезпечення в Україні: Указ Президента України від 13.04.1998 р. URL: http://zakon.rada.gov.ua/laws/show/291/98.</w:t>
      </w:r>
    </w:p>
  </w:footnote>
  <w:footnote w:id="15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указів Президента України: Указ Президента України від 10.09.1998 р. № 997/98. </w:t>
      </w:r>
      <w:r w:rsidRPr="00BB06E1">
        <w:rPr>
          <w:rFonts w:ascii="Times New Roman" w:hAnsi="Times New Roman"/>
          <w:bCs/>
          <w:color w:val="000000" w:themeColor="text1"/>
          <w:sz w:val="22"/>
          <w:szCs w:val="22"/>
        </w:rPr>
        <w:t>URL: http://zakon.rada.gov.ua/laws/show/997/98.</w:t>
      </w:r>
    </w:p>
  </w:footnote>
  <w:footnote w:id="156">
    <w:p w:rsidR="00777771" w:rsidRPr="00BB06E1" w:rsidRDefault="00777771" w:rsidP="00BB06E1">
      <w:pPr>
        <w:pStyle w:val="a6"/>
        <w:jc w:val="both"/>
        <w:rPr>
          <w:rFonts w:ascii="Times New Roman" w:hAnsi="Times New Roman"/>
          <w:bCs/>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bCs/>
          <w:color w:val="000000" w:themeColor="text1"/>
          <w:sz w:val="22"/>
          <w:szCs w:val="22"/>
        </w:rPr>
        <w:t xml:space="preserve">Про основні напрями реформування системи пенсійного забезпечення населення України: Послання Президента України до Верховної Ради України та Кабінету Міністрів України від 10.10.2001 р. URL: </w:t>
      </w:r>
      <w:r w:rsidRPr="00BB06E1">
        <w:rPr>
          <w:rFonts w:ascii="Times New Roman" w:hAnsi="Times New Roman"/>
          <w:color w:val="000000" w:themeColor="text1"/>
          <w:sz w:val="22"/>
          <w:szCs w:val="22"/>
        </w:rPr>
        <w:t>http://zakon.rada.gov.ua/laws/show/n1_14100-01.</w:t>
      </w:r>
    </w:p>
  </w:footnote>
  <w:footnote w:id="15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заходи щодо впровадження персоніфікованого обліку відомостей у системі обов'язкового державного пенсійного страхування: Указ Президента України від 04.05.1998 р. № 401/98. </w:t>
      </w:r>
      <w:r w:rsidRPr="00BB06E1">
        <w:rPr>
          <w:rFonts w:ascii="Times New Roman" w:hAnsi="Times New Roman"/>
          <w:color w:val="000000" w:themeColor="text1"/>
          <w:sz w:val="22"/>
          <w:szCs w:val="22"/>
        </w:rPr>
        <w:br/>
        <w:t>URL: http://zakon.rada.gov.ua/laws/show/401/98.</w:t>
      </w:r>
    </w:p>
  </w:footnote>
  <w:footnote w:id="15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організацію персоніфікованого обліку відомостей у системі загальнообов'язкового державного пенсійного страхування: Постанова КМУ від 4 червня 1998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794. URL: http://zakon.rada.gov.ua/laws/show/794-98-п.</w:t>
      </w:r>
    </w:p>
  </w:footnote>
  <w:footnote w:id="15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заходи щодо поетапного впровадження у Пенсійному фонді автоматизованого персоніфікованого обліку відомостей у системі загальнообов'язкового державного пенсійного страхування: Постанова КМУ від 8 червня 1998 р. № 832. URL: https://zakon.rada.</w:t>
      </w:r>
      <w:r w:rsidRPr="00BB06E1">
        <w:rPr>
          <w:rFonts w:ascii="Times New Roman" w:hAnsi="Times New Roman"/>
          <w:color w:val="000000" w:themeColor="text1"/>
          <w:sz w:val="22"/>
          <w:szCs w:val="22"/>
        </w:rPr>
        <w:br/>
        <w:t>gov.ua/laws/show/832-98-п.</w:t>
      </w:r>
    </w:p>
  </w:footnote>
  <w:footnote w:id="16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1058-IV. URL: https://zakon.rada.gov.ua/laws/show/1058-15.</w:t>
      </w:r>
    </w:p>
  </w:footnote>
  <w:footnote w:id="161">
    <w:p w:rsidR="00777771" w:rsidRPr="004A3AA5"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Эшби Р.У. Введение в кибернетику: пер. с англ. / подред. В.А. Успенского. Предисл.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А.Н. Колмогорова. Изд. 2-е,стереотипное. М.: КомКнига, 2005. С. 294.</w:t>
      </w:r>
    </w:p>
  </w:footnote>
  <w:footnote w:id="16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Фінансова стабілізація пенсійної системи, створення передумов для проведення пенсійної реформи 1996-2003: офіційний веб-сайт Пенсійного фонду України. </w:t>
      </w:r>
      <w:r w:rsidRPr="00BB06E1">
        <w:rPr>
          <w:rFonts w:ascii="Times New Roman" w:hAnsi="Times New Roman"/>
          <w:bCs/>
          <w:color w:val="000000" w:themeColor="text1"/>
          <w:sz w:val="22"/>
          <w:szCs w:val="22"/>
        </w:rPr>
        <w:t>URL: http://www.pfu.gov.ua/3775-finansova-stabilizatsiya-pensijnoyi-si/.</w:t>
      </w:r>
    </w:p>
  </w:footnote>
  <w:footnote w:id="16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Богданов А.А. Тектология: Всеобщая организационная наука. Редколлегия В.В. Попков (отв. ред.) и др. Сост., предисловие и комментарии Г.Д. Гловели. Послесловие В.В. Попкова. М.: Финансы, 2003. С. 273.</w:t>
      </w:r>
    </w:p>
  </w:footnote>
  <w:footnote w:id="16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1058-IV. URL: http://zakon.rada.gov.ua/laws/show/1058-15.</w:t>
      </w:r>
    </w:p>
  </w:footnote>
  <w:footnote w:id="165">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5 листопада 1991 року № 1788. </w:t>
      </w:r>
      <w:r w:rsidRPr="00BB06E1">
        <w:rPr>
          <w:rFonts w:ascii="Times New Roman" w:hAnsi="Times New Roman"/>
          <w:color w:val="000000" w:themeColor="text1"/>
          <w:sz w:val="22"/>
          <w:szCs w:val="22"/>
        </w:rPr>
        <w:br/>
        <w:t>URL: http://zakon.rada.gov.ua/laws/show/1788-12</w:t>
      </w:r>
      <w:r w:rsidRPr="00BB06E1">
        <w:rPr>
          <w:rFonts w:ascii="Times New Roman" w:hAnsi="Times New Roman"/>
          <w:color w:val="000000" w:themeColor="text1"/>
          <w:sz w:val="22"/>
          <w:szCs w:val="22"/>
          <w:lang w:val="ru-RU"/>
        </w:rPr>
        <w:t>.</w:t>
      </w:r>
    </w:p>
  </w:footnote>
  <w:footnote w:id="166">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збір на обов'язкове державне пенсійне страхування: Закон України від 26 червня 1997 року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400. URL: http://zakon.rada.gov.ua/laws/show/400/97-вр</w:t>
      </w:r>
      <w:r w:rsidRPr="00BB06E1">
        <w:rPr>
          <w:rFonts w:ascii="Times New Roman" w:hAnsi="Times New Roman"/>
          <w:color w:val="000000" w:themeColor="text1"/>
          <w:sz w:val="22"/>
          <w:szCs w:val="22"/>
          <w:lang w:val="ru-RU"/>
        </w:rPr>
        <w:t>.</w:t>
      </w:r>
    </w:p>
  </w:footnote>
  <w:footnote w:id="167">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9 липня 2003 року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1058. URL: http://zakon.rada.gov.ua/laws/show/1058-15</w:t>
      </w:r>
      <w:r w:rsidRPr="00BB06E1">
        <w:rPr>
          <w:rFonts w:ascii="Times New Roman" w:hAnsi="Times New Roman"/>
          <w:color w:val="000000" w:themeColor="text1"/>
          <w:sz w:val="22"/>
          <w:szCs w:val="22"/>
          <w:lang w:val="ru-RU"/>
        </w:rPr>
        <w:t>.</w:t>
      </w:r>
    </w:p>
  </w:footnote>
  <w:footnote w:id="16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1058-IV. URL: http://zakon.rada.gov.ua/laws/show/1058-15.</w:t>
      </w:r>
    </w:p>
  </w:footnote>
  <w:footnote w:id="16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недержавне пенсійне забезпечення: Закон України від 09.07.2003 р. № 1057-IV. </w:t>
      </w:r>
      <w:r w:rsidRPr="00BB06E1">
        <w:rPr>
          <w:rFonts w:ascii="Times New Roman" w:hAnsi="Times New Roman"/>
          <w:color w:val="000000" w:themeColor="text1"/>
          <w:sz w:val="22"/>
          <w:szCs w:val="22"/>
        </w:rPr>
        <w:br/>
        <w:t>URL: http://zakon.rada.gov.ua/laws/show/1057-15.</w:t>
      </w:r>
    </w:p>
  </w:footnote>
  <w:footnote w:id="170">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Рекомендації парламентських слухань на тему: «Стан проведення пенсійної реформи та шляхи її</w:t>
      </w:r>
      <w:r w:rsidRPr="00BB06E1">
        <w:rPr>
          <w:rFonts w:ascii="Times New Roman" w:hAnsi="Times New Roman"/>
          <w:color w:val="000000" w:themeColor="text1"/>
          <w:sz w:val="22"/>
          <w:szCs w:val="22"/>
          <w:lang w:val="ru-RU"/>
        </w:rPr>
        <w:t xml:space="preserve"> вдосконалення»</w:t>
      </w:r>
      <w:r w:rsidRPr="00BB06E1">
        <w:rPr>
          <w:rFonts w:ascii="Times New Roman" w:hAnsi="Times New Roman"/>
          <w:color w:val="000000" w:themeColor="text1"/>
          <w:sz w:val="22"/>
          <w:szCs w:val="22"/>
        </w:rPr>
        <w:t xml:space="preserve">: Постанова Верховної Ради України від 5 квітня 2011 року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3188. URL: http://zakon1.rada.gov.ua/laws/show/3188-vi</w:t>
      </w:r>
      <w:r w:rsidRPr="00BB06E1">
        <w:rPr>
          <w:rFonts w:ascii="Times New Roman" w:hAnsi="Times New Roman"/>
          <w:color w:val="000000" w:themeColor="text1"/>
          <w:sz w:val="22"/>
          <w:szCs w:val="22"/>
          <w:lang w:val="ru-RU"/>
        </w:rPr>
        <w:t>.</w:t>
      </w:r>
    </w:p>
  </w:footnote>
  <w:footnote w:id="171">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заходи щодо законодавчого забезпечення реформування пенсійної системи: Закон України від 8 липня 2011 року № </w:t>
      </w:r>
      <w:r w:rsidRPr="00BB06E1">
        <w:rPr>
          <w:rFonts w:ascii="Times New Roman" w:hAnsi="Times New Roman"/>
          <w:color w:val="000000" w:themeColor="text1"/>
          <w:sz w:val="22"/>
          <w:szCs w:val="22"/>
          <w:lang w:val="ru-RU"/>
        </w:rPr>
        <w:t>368</w:t>
      </w:r>
      <w:r w:rsidRPr="00BB06E1">
        <w:rPr>
          <w:rFonts w:ascii="Times New Roman" w:hAnsi="Times New Roman"/>
          <w:color w:val="000000" w:themeColor="text1"/>
          <w:sz w:val="22"/>
          <w:szCs w:val="22"/>
        </w:rPr>
        <w:t>8. URL: http://zakon4.rada.gov.ua/laws/show/3668-17</w:t>
      </w:r>
      <w:r w:rsidRPr="00BB06E1">
        <w:rPr>
          <w:rFonts w:ascii="Times New Roman" w:hAnsi="Times New Roman"/>
          <w:color w:val="000000" w:themeColor="text1"/>
          <w:sz w:val="22"/>
          <w:szCs w:val="22"/>
          <w:lang w:val="ru-RU"/>
        </w:rPr>
        <w:t>.</w:t>
      </w:r>
    </w:p>
  </w:footnote>
  <w:footnote w:id="17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запобігання фінансової катастрофи та створення передумов для економічного зростання в Україні: Закон України від 27 березня 2014 року № </w:t>
      </w:r>
      <w:r w:rsidRPr="00BB06E1">
        <w:rPr>
          <w:rFonts w:ascii="Times New Roman" w:hAnsi="Times New Roman"/>
          <w:color w:val="000000" w:themeColor="text1"/>
          <w:sz w:val="22"/>
          <w:szCs w:val="22"/>
          <w:lang w:val="ru-RU"/>
        </w:rPr>
        <w:t>1166.</w:t>
      </w:r>
      <w:r w:rsidRPr="00BB06E1">
        <w:rPr>
          <w:rFonts w:ascii="Times New Roman" w:hAnsi="Times New Roman"/>
          <w:color w:val="000000" w:themeColor="text1"/>
          <w:sz w:val="22"/>
          <w:szCs w:val="22"/>
        </w:rPr>
        <w:t xml:space="preserve"> URL: http://zakon.rada.</w:t>
      </w:r>
      <w:r w:rsidRPr="00BB06E1">
        <w:rPr>
          <w:rFonts w:ascii="Times New Roman" w:hAnsi="Times New Roman"/>
          <w:color w:val="000000" w:themeColor="text1"/>
          <w:sz w:val="22"/>
          <w:szCs w:val="22"/>
        </w:rPr>
        <w:br/>
        <w:t>gov.ua/laws/show/1166-18.</w:t>
      </w:r>
    </w:p>
  </w:footnote>
  <w:footnote w:id="17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забезпечення проведення мобілізації: Закон України від 27 березня 2014 року № 1169. </w:t>
      </w:r>
      <w:r w:rsidRPr="00BB06E1">
        <w:rPr>
          <w:rFonts w:ascii="Times New Roman" w:hAnsi="Times New Roman"/>
          <w:bCs/>
          <w:color w:val="000000" w:themeColor="text1"/>
          <w:sz w:val="22"/>
          <w:szCs w:val="22"/>
        </w:rPr>
        <w:t>URL</w:t>
      </w:r>
      <w:r w:rsidRPr="00BB06E1">
        <w:rPr>
          <w:rFonts w:ascii="Times New Roman" w:hAnsi="Times New Roman"/>
          <w:color w:val="000000" w:themeColor="text1"/>
          <w:sz w:val="22"/>
          <w:szCs w:val="22"/>
        </w:rPr>
        <w:t>: http://zakon.rada.</w:t>
      </w:r>
      <w:r w:rsidRPr="00BB06E1">
        <w:rPr>
          <w:rFonts w:ascii="Times New Roman" w:hAnsi="Times New Roman"/>
          <w:color w:val="000000" w:themeColor="text1"/>
          <w:sz w:val="22"/>
          <w:szCs w:val="22"/>
        </w:rPr>
        <w:br/>
        <w:t>gov.ua/laws/show/1169-18.</w:t>
      </w:r>
    </w:p>
  </w:footnote>
  <w:footnote w:id="174">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Державний бюджет України на 2015 рік: Закон України від 28 грудня 2014 року </w:t>
      </w:r>
      <w:r w:rsidRPr="00BB06E1">
        <w:rPr>
          <w:rFonts w:ascii="Times New Roman" w:hAnsi="Times New Roman"/>
          <w:color w:val="000000" w:themeColor="text1"/>
          <w:sz w:val="22"/>
          <w:szCs w:val="22"/>
        </w:rPr>
        <w:br/>
        <w:t xml:space="preserve">№ </w:t>
      </w:r>
      <w:r w:rsidRPr="00BB06E1">
        <w:rPr>
          <w:rFonts w:ascii="Times New Roman" w:hAnsi="Times New Roman"/>
          <w:color w:val="000000" w:themeColor="text1"/>
          <w:sz w:val="22"/>
          <w:szCs w:val="22"/>
          <w:lang w:val="ru-RU"/>
        </w:rPr>
        <w:t>80.</w:t>
      </w:r>
      <w:r w:rsidRPr="00BB06E1">
        <w:rPr>
          <w:rFonts w:ascii="Times New Roman" w:hAnsi="Times New Roman"/>
          <w:color w:val="000000" w:themeColor="text1"/>
          <w:sz w:val="22"/>
          <w:szCs w:val="22"/>
        </w:rPr>
        <w:t xml:space="preserve"> URL: http://zakon.rada.gov.ua/laws/show/80-19</w:t>
      </w:r>
      <w:r w:rsidRPr="00BB06E1">
        <w:rPr>
          <w:rFonts w:ascii="Times New Roman" w:hAnsi="Times New Roman"/>
          <w:color w:val="000000" w:themeColor="text1"/>
          <w:sz w:val="22"/>
          <w:szCs w:val="22"/>
          <w:lang w:val="ru-RU"/>
        </w:rPr>
        <w:t>.</w:t>
      </w:r>
    </w:p>
  </w:footnote>
  <w:footnote w:id="175">
    <w:p w:rsidR="00777771" w:rsidRPr="004A3AA5"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Податковий кодекс України: Закон України від 2 грудня 2010 року № </w:t>
      </w:r>
      <w:r w:rsidRPr="00BB06E1">
        <w:rPr>
          <w:rFonts w:ascii="Times New Roman" w:hAnsi="Times New Roman"/>
          <w:color w:val="000000" w:themeColor="text1"/>
          <w:sz w:val="22"/>
          <w:szCs w:val="22"/>
          <w:lang w:val="ru-RU"/>
        </w:rPr>
        <w:t>2755.</w:t>
      </w:r>
      <w:r w:rsidRPr="00BB06E1">
        <w:rPr>
          <w:rFonts w:ascii="Times New Roman" w:hAnsi="Times New Roman"/>
          <w:color w:val="000000" w:themeColor="text1"/>
          <w:sz w:val="22"/>
          <w:szCs w:val="22"/>
        </w:rPr>
        <w:t xml:space="preserve"> URL: http://zakon.rada.gov.ua/laws/show/2755-17</w:t>
      </w:r>
      <w:r w:rsidRPr="004A3AA5">
        <w:rPr>
          <w:rFonts w:ascii="Times New Roman" w:hAnsi="Times New Roman"/>
          <w:color w:val="000000" w:themeColor="text1"/>
          <w:sz w:val="22"/>
          <w:szCs w:val="22"/>
        </w:rPr>
        <w:t>.</w:t>
      </w:r>
    </w:p>
  </w:footnote>
  <w:footnote w:id="17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підвищення пенсій: Закон України від 03 жовтня 2017 року № 2148-VIII. URL: http://zakon.rada.gov.ua/laws/show/ 2148-19.</w:t>
      </w:r>
    </w:p>
  </w:footnote>
  <w:footnote w:id="17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Пояснювальна записка до проекту Закону України «Про внесення змін до деяких законодавчих актів України щодо підвищення пенсій». URL: http://w1.c1.rada.gov.ua/pls/zweb2/webproc4_1?pf3511 =62088.</w:t>
      </w:r>
    </w:p>
  </w:footnote>
  <w:footnote w:id="17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в Україні та Білорусі: історія становлення і перспективи розвитку: монографія / за ред. Михайла Шумила, Ірини Комоцької. Київ: НікаЦентр, 2018. С. 105.</w:t>
      </w:r>
    </w:p>
  </w:footnote>
  <w:footnote w:id="17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 </w:t>
      </w:r>
      <w:r w:rsidRPr="00BB06E1">
        <w:rPr>
          <w:rFonts w:ascii="Times New Roman" w:hAnsi="Times New Roman"/>
          <w:color w:val="000000" w:themeColor="text1"/>
          <w:sz w:val="22"/>
          <w:szCs w:val="22"/>
        </w:rPr>
        <w:br/>
        <w:t>№ 1058-IV. URL: http://zakon.rada.gov.ua/laws/show/1058-15.</w:t>
      </w:r>
    </w:p>
  </w:footnote>
  <w:footnote w:id="180">
    <w:p w:rsidR="00777771" w:rsidRPr="00BB06E1" w:rsidRDefault="00777771" w:rsidP="00BB06E1">
      <w:pPr>
        <w:pStyle w:val="a6"/>
        <w:jc w:val="both"/>
        <w:rPr>
          <w:rFonts w:ascii="Times New Roman" w:hAnsi="Times New Roman"/>
          <w:color w:val="000000" w:themeColor="text1"/>
          <w:sz w:val="22"/>
          <w:szCs w:val="22"/>
          <w:lang w:val="pl-PL"/>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Коваль О.П. Пенсійний̆ вік: іноземний досвід та вітчизняні реалії. Аналіт. доп. К.: НІСД. 2013. </w:t>
      </w:r>
      <w:r w:rsidRPr="00BB06E1">
        <w:rPr>
          <w:rFonts w:ascii="Times New Roman" w:hAnsi="Times New Roman"/>
          <w:color w:val="000000" w:themeColor="text1"/>
          <w:sz w:val="22"/>
          <w:szCs w:val="22"/>
        </w:rPr>
        <w:br/>
        <w:t>37 с. URL: http://www.niss.gov.ua/content/articles/files/pens_vozrast-e0371.pdf</w:t>
      </w:r>
      <w:r w:rsidRPr="00BB06E1">
        <w:rPr>
          <w:rFonts w:ascii="Times New Roman" w:hAnsi="Times New Roman"/>
          <w:color w:val="000000" w:themeColor="text1"/>
          <w:sz w:val="22"/>
          <w:szCs w:val="22"/>
          <w:lang w:val="pl-PL"/>
        </w:rPr>
        <w:t>.</w:t>
      </w:r>
    </w:p>
  </w:footnote>
  <w:footnote w:id="181">
    <w:p w:rsidR="00777771" w:rsidRPr="004A3AA5"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Офіційний сайт ПФУ. URL:http://www.pfu.gov.ua/382153-stanom-na-01-01-2019-roku/</w:t>
      </w:r>
      <w:r w:rsidRPr="004A3AA5">
        <w:rPr>
          <w:rFonts w:ascii="Times New Roman" w:hAnsi="Times New Roman"/>
          <w:color w:val="000000" w:themeColor="text1"/>
          <w:sz w:val="22"/>
          <w:szCs w:val="22"/>
          <w:lang w:val="ru-RU"/>
        </w:rPr>
        <w:t>.</w:t>
      </w:r>
    </w:p>
  </w:footnote>
  <w:footnote w:id="18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заходи щодо законодавчого забезпечення реформування пенсійної системи: Закон України від 08.07.2011 р. № 3668-VI. URL: https://zakon.rada.gov.ua/laws/show/3668-17.</w:t>
      </w:r>
    </w:p>
  </w:footnote>
  <w:footnote w:id="18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 1 октября вступает в силу пенсионная реформа: Інтернет-видання РБК-Україна. URL: https://daily.rbc.ua/rus/show/s-1-oktyabrya-vstupaet-v-silu-pensionnaya-reforma-01102011100000.</w:t>
      </w:r>
    </w:p>
  </w:footnote>
  <w:footnote w:id="18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підвищення пенсій: Закон України від 03.10.2017 р. № 2148-VIII.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http://zakon.rada.gov.ua/laws/show/2148-19.</w:t>
      </w:r>
    </w:p>
  </w:footnote>
  <w:footnote w:id="18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в Україні та Білорусі: історія становлення і перспективи розвитку: монографія / за ред. Михайла Шумила, Ірини Комоцької. Київ: НікаЦентр, 2018. С. 105.</w:t>
      </w:r>
    </w:p>
  </w:footnote>
  <w:footnote w:id="18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підвищення пенсій: Закон України від 03.10.2017 р. № 2148-VIII. URL: http://zakon.rada.gov.ua/laws/show/2148-19.</w:t>
      </w:r>
    </w:p>
  </w:footnote>
  <w:footnote w:id="187">
    <w:p w:rsidR="00777771" w:rsidRPr="004A3AA5"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 </w:t>
      </w:r>
      <w:r w:rsidRPr="00BB06E1">
        <w:rPr>
          <w:rFonts w:ascii="Times New Roman" w:hAnsi="Times New Roman"/>
          <w:color w:val="000000" w:themeColor="text1"/>
          <w:sz w:val="22"/>
          <w:szCs w:val="22"/>
        </w:rPr>
        <w:br/>
        <w:t>№1058-IV. URL: http://zakon.rada.gov.ua/laws/show/1058-15.</w:t>
      </w:r>
    </w:p>
  </w:footnote>
  <w:footnote w:id="18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w:t>
      </w:r>
      <w:r w:rsidRPr="00BB06E1">
        <w:rPr>
          <w:rFonts w:ascii="Times New Roman" w:hAnsi="Times New Roman"/>
          <w:color w:val="000000" w:themeColor="text1"/>
          <w:sz w:val="22"/>
          <w:szCs w:val="22"/>
        </w:rPr>
        <w:br/>
        <w:t xml:space="preserve"> №1058-IV. URL: http://zakon.rada.gov.ua/laws/show/1058-15.</w:t>
      </w:r>
    </w:p>
  </w:footnote>
  <w:footnote w:id="18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Стратегічна доповідь щодо пенсійної реформи в Україні Європейського центру політики та досліджень в галузі соціального забезпечення. URL: http://mlsp.kmu.gov.ua/document/ 141003/sd.doc.</w:t>
      </w:r>
    </w:p>
  </w:footnote>
  <w:footnote w:id="19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Шевченко Н.П. Новації пенсійного законодавства: огляд основних змін. </w:t>
      </w:r>
      <w:r w:rsidRPr="00BB06E1">
        <w:rPr>
          <w:rFonts w:ascii="Times New Roman" w:hAnsi="Times New Roman"/>
          <w:color w:val="000000" w:themeColor="text1"/>
          <w:sz w:val="22"/>
          <w:szCs w:val="22"/>
          <w:lang w:val="ru-RU"/>
        </w:rPr>
        <w:br/>
      </w:r>
      <w:r w:rsidRPr="00BB06E1">
        <w:rPr>
          <w:rFonts w:ascii="Times New Roman" w:hAnsi="Times New Roman"/>
          <w:i/>
          <w:color w:val="000000" w:themeColor="text1"/>
          <w:sz w:val="22"/>
          <w:szCs w:val="22"/>
        </w:rPr>
        <w:t>Науково-виробничий журнал «Держава та регіони. Серія: Державне управління</w:t>
      </w:r>
      <w:r w:rsidRPr="00BB06E1">
        <w:rPr>
          <w:rFonts w:ascii="Times New Roman" w:hAnsi="Times New Roman"/>
          <w:color w:val="000000" w:themeColor="text1"/>
          <w:sz w:val="22"/>
          <w:szCs w:val="22"/>
        </w:rPr>
        <w:t>»</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2017. </w:t>
      </w:r>
      <w:r w:rsidRPr="00BB06E1">
        <w:rPr>
          <w:rFonts w:ascii="Times New Roman" w:hAnsi="Times New Roman"/>
          <w:color w:val="000000" w:themeColor="text1"/>
          <w:sz w:val="22"/>
          <w:szCs w:val="22"/>
        </w:rPr>
        <w:br/>
        <w:t>№ 3.С. 124–129.</w:t>
      </w:r>
    </w:p>
  </w:footnote>
  <w:footnote w:id="19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підвищення пенсій: Закон України від 03.10.2017 р. № 2148-VIII. URL: http://zakon.rada.gov.ua/laws/show/2148-19.</w:t>
      </w:r>
    </w:p>
  </w:footnote>
  <w:footnote w:id="19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5 листопада 1991 року № 1788. </w:t>
      </w:r>
      <w:r w:rsidRPr="00BB06E1">
        <w:rPr>
          <w:rFonts w:ascii="Times New Roman" w:hAnsi="Times New Roman"/>
          <w:color w:val="000000" w:themeColor="text1"/>
          <w:sz w:val="22"/>
          <w:szCs w:val="22"/>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http://zakon.rada.gov.ua/laws/show/1788-12</w:t>
      </w:r>
      <w:r w:rsidRPr="00BB06E1">
        <w:rPr>
          <w:rFonts w:ascii="Times New Roman" w:hAnsi="Times New Roman"/>
          <w:color w:val="000000" w:themeColor="text1"/>
          <w:sz w:val="22"/>
          <w:szCs w:val="22"/>
          <w:lang w:val="ru-RU"/>
        </w:rPr>
        <w:t>.</w:t>
      </w:r>
    </w:p>
  </w:footnote>
  <w:footnote w:id="19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Порядку підтвердження наявного трудового стажу для призначення пенсій за відсутності трудової книжки або відповідних записів у ній: </w:t>
      </w:r>
      <w:r w:rsidRPr="00BB06E1">
        <w:rPr>
          <w:rFonts w:ascii="Times New Roman" w:hAnsi="Times New Roman"/>
          <w:color w:val="000000" w:themeColor="text1"/>
          <w:sz w:val="22"/>
          <w:szCs w:val="22"/>
          <w:lang w:val="ru-RU"/>
        </w:rPr>
        <w:t>п</w:t>
      </w:r>
      <w:r w:rsidRPr="00BB06E1">
        <w:rPr>
          <w:rFonts w:ascii="Times New Roman" w:hAnsi="Times New Roman"/>
          <w:color w:val="000000" w:themeColor="text1"/>
          <w:sz w:val="22"/>
          <w:szCs w:val="22"/>
        </w:rPr>
        <w:t xml:space="preserve">останова КМУ від 12.08. 1993 р. №637. </w:t>
      </w:r>
      <w:r w:rsidRPr="00BB06E1">
        <w:rPr>
          <w:rFonts w:ascii="Times New Roman" w:hAnsi="Times New Roman"/>
          <w:color w:val="000000" w:themeColor="text1"/>
          <w:sz w:val="22"/>
          <w:szCs w:val="22"/>
          <w:lang w:val="pl-PL"/>
        </w:rPr>
        <w:t>URL:</w:t>
      </w:r>
      <w:r w:rsidRPr="00BB06E1">
        <w:rPr>
          <w:rFonts w:ascii="Times New Roman" w:hAnsi="Times New Roman"/>
          <w:color w:val="000000" w:themeColor="text1"/>
          <w:sz w:val="22"/>
          <w:szCs w:val="22"/>
        </w:rPr>
        <w:t xml:space="preserve"> http://zakon.rada.gov.ua/laws/show/637-93-п.</w:t>
      </w:r>
    </w:p>
  </w:footnote>
  <w:footnote w:id="19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Шевченко Н.П. Окремі питання щодо ролі страхового стажу при призначенні пенсії. </w:t>
      </w:r>
      <w:r w:rsidRPr="00BB06E1">
        <w:rPr>
          <w:rFonts w:ascii="Times New Roman" w:hAnsi="Times New Roman"/>
          <w:i/>
          <w:color w:val="000000" w:themeColor="text1"/>
          <w:sz w:val="22"/>
          <w:szCs w:val="22"/>
        </w:rPr>
        <w:t>Збірник наукових праць «Право та державне управління».</w:t>
      </w:r>
      <w:r w:rsidRPr="00BB06E1">
        <w:rPr>
          <w:rFonts w:ascii="Times New Roman" w:hAnsi="Times New Roman"/>
          <w:color w:val="000000" w:themeColor="text1"/>
          <w:sz w:val="22"/>
          <w:szCs w:val="22"/>
        </w:rPr>
        <w:t xml:space="preserve"> 2017. № 3. С. 265–270.</w:t>
      </w:r>
    </w:p>
  </w:footnote>
  <w:footnote w:id="19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Порядок проведення атестації робочих місць за умовами праці: Постанова Кабінету Міністрів України від 01 серпня 1992 року № 442.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http://zakon.rada.gov.ua/laws/show/442-92-п.</w:t>
      </w:r>
    </w:p>
  </w:footnote>
  <w:footnote w:id="19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охорону праці: Закон України від 14 жовтня 1992 року № 2694-XII.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w:t>
      </w:r>
      <w:r w:rsidRPr="00BB06E1">
        <w:rPr>
          <w:rFonts w:ascii="Times New Roman" w:hAnsi="Times New Roman"/>
          <w:color w:val="000000" w:themeColor="text1"/>
          <w:sz w:val="22"/>
          <w:szCs w:val="22"/>
        </w:rPr>
        <w:br/>
        <w:t>gov.ua/laws/show/2694-12.</w:t>
      </w:r>
    </w:p>
  </w:footnote>
  <w:footnote w:id="19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Порядок проведення атестації робочих місць за умовами праці: постанова Кабінету Міністрів України від 01 серпня 1992 року № 442.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http://zakon.rada.gov.ua/laws/show/442-92-п.</w:t>
      </w:r>
    </w:p>
  </w:footnote>
  <w:footnote w:id="19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Методичні рекомендації для проведення атестації робочих місць за умовами праці: постанова Мінпраці № 41 від 01.09.1992 р. URL: http://zakon.rada.gov.ua/rada/show/v0041205-92.</w:t>
      </w:r>
    </w:p>
  </w:footnote>
  <w:footnote w:id="19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Порядку застосування Списків № 1 і № 2 виробництв, робіт, професій, посад і показників при обчисленні стажу роботи, що дає право на пенсію за віком на пільгових умовах: наказ Міністерства праці та соціальної політики України від 18 листопада 2005 року № 383. </w:t>
      </w:r>
      <w:r w:rsidRPr="00BB06E1">
        <w:rPr>
          <w:rFonts w:ascii="Times New Roman" w:hAnsi="Times New Roman"/>
          <w:color w:val="000000" w:themeColor="text1"/>
          <w:sz w:val="22"/>
          <w:szCs w:val="22"/>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http://zakon.rada.gov.ua/laws/show/z1451-05.</w:t>
      </w:r>
    </w:p>
  </w:footnote>
  <w:footnote w:id="20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p>
  </w:footnote>
  <w:footnote w:id="20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Єдиний державний реєстр судових рішень.</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http://reyestr.court.gov.ua.</w:t>
      </w:r>
    </w:p>
  </w:footnote>
  <w:footnote w:id="20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p>
  </w:footnote>
  <w:footnote w:id="20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Шевченко Н.П. Особливості підтвердження пільгового стажу роботи для призначення пенсії згідно раніше діючого законодавства</w:t>
      </w:r>
      <w:r w:rsidRPr="004A3AA5">
        <w:rPr>
          <w:rFonts w:ascii="Times New Roman" w:hAnsi="Times New Roman"/>
          <w:color w:val="000000" w:themeColor="text1"/>
          <w:sz w:val="22"/>
          <w:szCs w:val="22"/>
        </w:rPr>
        <w:t>.</w:t>
      </w:r>
      <w:r w:rsidRPr="00BB06E1">
        <w:rPr>
          <w:rFonts w:ascii="Times New Roman" w:hAnsi="Times New Roman"/>
          <w:i/>
          <w:color w:val="000000" w:themeColor="text1"/>
          <w:sz w:val="22"/>
          <w:szCs w:val="22"/>
        </w:rPr>
        <w:t>Становлення публічного адміністрування в Україні:</w:t>
      </w:r>
      <w:r w:rsidRPr="00BB06E1">
        <w:rPr>
          <w:rFonts w:ascii="Times New Roman" w:hAnsi="Times New Roman"/>
          <w:color w:val="000000" w:themeColor="text1"/>
          <w:sz w:val="22"/>
          <w:szCs w:val="22"/>
        </w:rPr>
        <w:t xml:space="preserve"> матеріали ІХ Всеукраїнської міжвузівської конференції студентів та молодих вчених / за заг. ред. О.Б. Кірєєвої. Д.: ДРІДУ НАДУ, 2018. С. 202–204.</w:t>
      </w:r>
    </w:p>
  </w:footnote>
  <w:footnote w:id="20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порядок призначення і виплати державних пенсій: постанова Ради Міністрів СРСР від 3 серпня 1972 року № 590.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http://zakon.rada.gov.ua/laws/show/v0590400-72.</w:t>
      </w:r>
    </w:p>
  </w:footnote>
  <w:footnote w:id="20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роз'яснення «Про порядок застосування затверджених Постановою Ради Міністрів СРСР від 22 серпня 1956 р № 1173 Списків виробництв, цехів, професій і посад, робота в яких дає право на державну пенсію на пільгових умовах і в пільгових розмірах»: постанова Секретаріату Всесоюзної Центральної Ради Професійних Спілок від 2 квітня 1976 р № 81/8 </w:t>
      </w:r>
      <w:r w:rsidRPr="00BB06E1">
        <w:rPr>
          <w:rFonts w:ascii="Times New Roman" w:hAnsi="Times New Roman"/>
          <w:bCs/>
          <w:color w:val="000000" w:themeColor="text1"/>
          <w:sz w:val="22"/>
          <w:szCs w:val="22"/>
          <w:lang w:val="en-US"/>
        </w:rPr>
        <w:t>URL</w:t>
      </w:r>
      <w:r w:rsidRPr="00BB06E1">
        <w:rPr>
          <w:rFonts w:ascii="Times New Roman" w:hAnsi="Times New Roman"/>
          <w:color w:val="000000" w:themeColor="text1"/>
          <w:sz w:val="22"/>
          <w:szCs w:val="22"/>
        </w:rPr>
        <w:t>: http://www.economics.kiev.ua/download/ZakonySSSR/data03/ tex14311.htm.</w:t>
      </w:r>
    </w:p>
  </w:footnote>
  <w:footnote w:id="206">
    <w:p w:rsidR="00777771" w:rsidRPr="004A3AA5"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Порядку підтвердження наявного трудового стажу для призначення пенсій за відсутності трудової книжки або відповідних записів у ній: постанова Кабінету Міністрів України </w:t>
      </w:r>
      <w:r w:rsidRPr="00BB06E1">
        <w:rPr>
          <w:rFonts w:ascii="Times New Roman" w:hAnsi="Times New Roman"/>
          <w:color w:val="000000" w:themeColor="text1"/>
          <w:sz w:val="22"/>
          <w:szCs w:val="22"/>
        </w:rPr>
        <w:br/>
        <w:t>№ 637 від 12.08.1993 року</w:t>
      </w:r>
      <w:r w:rsidRPr="004A3AA5">
        <w:rPr>
          <w:rFonts w:ascii="Times New Roman" w:hAnsi="Times New Roman"/>
          <w:color w:val="000000" w:themeColor="text1"/>
          <w:sz w:val="22"/>
          <w:szCs w:val="22"/>
        </w:rPr>
        <w:t>.</w:t>
      </w:r>
      <w:r w:rsidRPr="00BB06E1">
        <w:rPr>
          <w:rFonts w:ascii="Times New Roman" w:hAnsi="Times New Roman"/>
          <w:bCs/>
          <w:color w:val="000000" w:themeColor="text1"/>
          <w:sz w:val="22"/>
          <w:szCs w:val="22"/>
          <w:lang w:val="en-US"/>
        </w:rPr>
        <w:t>URL</w:t>
      </w:r>
      <w:r w:rsidRPr="00BB06E1">
        <w:rPr>
          <w:rFonts w:ascii="Times New Roman" w:hAnsi="Times New Roman"/>
          <w:color w:val="000000" w:themeColor="text1"/>
          <w:sz w:val="22"/>
          <w:szCs w:val="22"/>
        </w:rPr>
        <w:t>: http://zakon.rada.gov.ua/laws/show/637-93.</w:t>
      </w:r>
    </w:p>
  </w:footnote>
  <w:footnote w:id="207">
    <w:p w:rsidR="00777771" w:rsidRPr="004A3AA5"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Кодекс адміністративного судочинства України: Закон України від 06.07.2005 р. </w:t>
      </w:r>
      <w:r w:rsidRPr="00BB06E1">
        <w:rPr>
          <w:rFonts w:ascii="Times New Roman" w:hAnsi="Times New Roman"/>
          <w:color w:val="000000" w:themeColor="text1"/>
          <w:sz w:val="22"/>
          <w:szCs w:val="22"/>
        </w:rPr>
        <w:br/>
        <w:t xml:space="preserve">№ </w:t>
      </w:r>
      <w:r w:rsidRPr="00BB06E1">
        <w:rPr>
          <w:rFonts w:ascii="Times New Roman" w:hAnsi="Times New Roman"/>
          <w:bCs/>
          <w:color w:val="000000" w:themeColor="text1"/>
          <w:sz w:val="22"/>
          <w:szCs w:val="22"/>
        </w:rPr>
        <w:t xml:space="preserve">2747-IV. </w:t>
      </w:r>
      <w:r w:rsidRPr="00BB06E1">
        <w:rPr>
          <w:rFonts w:ascii="Times New Roman" w:hAnsi="Times New Roman"/>
          <w:bCs/>
          <w:color w:val="000000" w:themeColor="text1"/>
          <w:sz w:val="22"/>
          <w:szCs w:val="22"/>
          <w:lang w:val="en-US"/>
        </w:rPr>
        <w:t>URL</w:t>
      </w:r>
      <w:r w:rsidRPr="004A3AA5">
        <w:rPr>
          <w:rFonts w:ascii="Times New Roman" w:hAnsi="Times New Roman"/>
          <w:bCs/>
          <w:color w:val="000000" w:themeColor="text1"/>
          <w:sz w:val="22"/>
          <w:szCs w:val="22"/>
        </w:rPr>
        <w:t xml:space="preserve">: </w:t>
      </w:r>
      <w:r w:rsidRPr="00BB06E1">
        <w:rPr>
          <w:rFonts w:ascii="Times New Roman" w:hAnsi="Times New Roman"/>
          <w:bCs/>
          <w:color w:val="000000" w:themeColor="text1"/>
          <w:sz w:val="22"/>
          <w:szCs w:val="22"/>
          <w:lang w:val="en-US"/>
        </w:rPr>
        <w:t>http</w:t>
      </w:r>
      <w:r w:rsidRPr="004A3AA5">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en-US"/>
        </w:rPr>
        <w:t>zakon</w:t>
      </w:r>
      <w:r w:rsidRPr="004A3AA5">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en-US"/>
        </w:rPr>
        <w:t>rada</w:t>
      </w:r>
      <w:r w:rsidRPr="004A3AA5">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en-US"/>
        </w:rPr>
        <w:t>gov</w:t>
      </w:r>
      <w:r w:rsidRPr="004A3AA5">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en-US"/>
        </w:rPr>
        <w:t>ua</w:t>
      </w:r>
      <w:r w:rsidRPr="004A3AA5">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en-US"/>
        </w:rPr>
        <w:t>laws</w:t>
      </w:r>
      <w:r w:rsidRPr="004A3AA5">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en-US"/>
        </w:rPr>
        <w:t>show</w:t>
      </w:r>
      <w:r w:rsidRPr="004A3AA5">
        <w:rPr>
          <w:rFonts w:ascii="Times New Roman" w:hAnsi="Times New Roman"/>
          <w:bCs/>
          <w:color w:val="000000" w:themeColor="text1"/>
          <w:sz w:val="22"/>
          <w:szCs w:val="22"/>
        </w:rPr>
        <w:t>/2747-15.</w:t>
      </w:r>
    </w:p>
  </w:footnote>
  <w:footnote w:id="20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підвищення пенсій: Закон України від 03.10.2017 р. № 2148-VIII.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http://zakon.rada.gov.ua/laws/show/2148-19.</w:t>
      </w:r>
    </w:p>
  </w:footnote>
  <w:footnote w:id="20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Запровадження накопичувальної пенсійної системи перенесли на рік. </w:t>
      </w:r>
      <w:r w:rsidRPr="00BB06E1">
        <w:rPr>
          <w:rFonts w:ascii="Times New Roman" w:hAnsi="Times New Roman"/>
          <w:color w:val="000000" w:themeColor="text1"/>
          <w:sz w:val="22"/>
          <w:szCs w:val="22"/>
        </w:rPr>
        <w:br/>
        <w:t>URL: https://www.epravda.com.ua/news/2018/11/15/642675/.</w:t>
      </w:r>
    </w:p>
  </w:footnote>
  <w:footnote w:id="21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Законопроект «Про внесення змін до деяких законодавчих актів України щодо справедливого механізму нарахування єдиного внеску на загальнообов'язкове державне соціальне страхування». </w:t>
      </w:r>
      <w:r w:rsidRPr="00BB06E1">
        <w:rPr>
          <w:rFonts w:ascii="Times New Roman" w:hAnsi="Times New Roman"/>
          <w:color w:val="000000" w:themeColor="text1"/>
          <w:sz w:val="22"/>
          <w:szCs w:val="22"/>
          <w:lang w:val="pl-PL"/>
        </w:rPr>
        <w:t>URL</w:t>
      </w:r>
      <w:r w:rsidRPr="00BB06E1">
        <w:rPr>
          <w:rFonts w:ascii="Times New Roman" w:hAnsi="Times New Roman"/>
          <w:color w:val="000000" w:themeColor="text1"/>
          <w:sz w:val="22"/>
          <w:szCs w:val="22"/>
        </w:rPr>
        <w:t>: http://spo.fpsu.org.ua/images/2018/3432%20сайт_1.</w:t>
      </w:r>
      <w:r w:rsidRPr="00BB06E1">
        <w:rPr>
          <w:rFonts w:ascii="Times New Roman" w:hAnsi="Times New Roman"/>
          <w:color w:val="000000" w:themeColor="text1"/>
          <w:sz w:val="22"/>
          <w:szCs w:val="22"/>
          <w:lang w:val="en-US"/>
        </w:rPr>
        <w:t>pdf</w:t>
      </w:r>
      <w:r w:rsidRPr="004A3AA5">
        <w:rPr>
          <w:rFonts w:ascii="Times New Roman" w:hAnsi="Times New Roman"/>
          <w:color w:val="000000" w:themeColor="text1"/>
          <w:sz w:val="22"/>
          <w:szCs w:val="22"/>
          <w:lang w:val="ru-RU"/>
        </w:rPr>
        <w:t>.</w:t>
      </w:r>
    </w:p>
  </w:footnote>
  <w:footnote w:id="21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Запровадження накопичувальної пенсійної системи перенесли на рік. </w:t>
      </w:r>
      <w:r w:rsidRPr="00BB06E1">
        <w:rPr>
          <w:rFonts w:ascii="Times New Roman" w:hAnsi="Times New Roman"/>
          <w:color w:val="000000" w:themeColor="text1"/>
          <w:sz w:val="22"/>
          <w:szCs w:val="22"/>
        </w:rPr>
        <w:br/>
        <w:t>URL: https://www.epravda.com.ua/news/2018/11/15/642675/.</w:t>
      </w:r>
    </w:p>
  </w:footnote>
  <w:footnote w:id="21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Підсумки розвитку системи недержавного пенсійного забезпеченнястаном на 30.06.2018. </w:t>
      </w:r>
      <w:r w:rsidRPr="00BB06E1">
        <w:rPr>
          <w:rFonts w:ascii="Times New Roman" w:hAnsi="Times New Roman"/>
          <w:color w:val="000000" w:themeColor="text1"/>
          <w:sz w:val="22"/>
          <w:szCs w:val="22"/>
        </w:rPr>
        <w:br/>
      </w:r>
      <w:r w:rsidRPr="00BB06E1">
        <w:rPr>
          <w:rFonts w:ascii="Times New Roman" w:hAnsi="Times New Roman"/>
          <w:color w:val="000000" w:themeColor="text1"/>
          <w:sz w:val="22"/>
          <w:szCs w:val="22"/>
          <w:lang w:val="en-US"/>
        </w:rPr>
        <w:t xml:space="preserve">URL: </w:t>
      </w:r>
      <w:r w:rsidRPr="00BB06E1">
        <w:rPr>
          <w:rFonts w:ascii="Times New Roman" w:hAnsi="Times New Roman"/>
          <w:color w:val="000000" w:themeColor="text1"/>
          <w:sz w:val="22"/>
          <w:szCs w:val="22"/>
        </w:rPr>
        <w:t>https://www.nfp.gov.ua/files/OgliadRinkiv/NPF/OsnPokazn/NPF_II_kv_ 2018.pdf</w:t>
      </w:r>
      <w:r w:rsidRPr="00BB06E1">
        <w:rPr>
          <w:rFonts w:ascii="Times New Roman" w:hAnsi="Times New Roman"/>
          <w:color w:val="000000" w:themeColor="text1"/>
          <w:sz w:val="22"/>
          <w:szCs w:val="22"/>
          <w:lang w:val="en-US"/>
        </w:rPr>
        <w:t>.</w:t>
      </w:r>
    </w:p>
  </w:footnote>
  <w:footnote w:id="21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 № 1058-IV. URL: https://zakon.rada.gov.ua/laws/show/1058-15/ed20190101.</w:t>
      </w:r>
    </w:p>
  </w:footnote>
  <w:footnote w:id="21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Офіційний сайт ПФУ. URL: https://www.pfu.gov.ua/382153-stanom-na-01-01-2019-roku/.</w:t>
      </w:r>
    </w:p>
  </w:footnote>
  <w:footnote w:id="21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Криза розподільчої пенсійної системи в Україні та напрями диверсифікації «пенсійного портфеля»: аналіт. доп. / О.М. Пищуліна, О.П. Коваль, А.М. Авчухова / за ред. Я.А. Жаліла. К.: НІСД, 2010. С. 22.</w:t>
      </w:r>
    </w:p>
  </w:footnote>
  <w:footnote w:id="21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 1788-XII.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http://zakon.rada.gov.ua/laws/show/1788-12.</w:t>
      </w:r>
    </w:p>
  </w:footnote>
  <w:footnote w:id="21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№1058-IV. URL: http://zakon.rada.gov.ua/laws/show/1058-15.</w:t>
      </w:r>
    </w:p>
  </w:footnote>
  <w:footnote w:id="218">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Орлов-Карба П.А. Всё о пенсионной реформе в России: моногр. М.: Гардарики, 2005. </w:t>
      </w:r>
      <w:r w:rsidRPr="00BB06E1">
        <w:rPr>
          <w:rFonts w:ascii="Times New Roman" w:hAnsi="Times New Roman"/>
          <w:color w:val="000000" w:themeColor="text1"/>
          <w:sz w:val="22"/>
          <w:szCs w:val="22"/>
        </w:rPr>
        <w:br/>
      </w:r>
      <w:r w:rsidRPr="00BB06E1">
        <w:rPr>
          <w:rFonts w:ascii="Times New Roman" w:hAnsi="Times New Roman"/>
          <w:color w:val="000000" w:themeColor="text1"/>
          <w:sz w:val="22"/>
          <w:szCs w:val="22"/>
          <w:lang w:val="ru-RU"/>
        </w:rPr>
        <w:t>С. 119.</w:t>
      </w:r>
    </w:p>
  </w:footnote>
  <w:footnote w:id="21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Ткаченко Л.Г. Напрями розвитку системи соціального страхування в Україні. </w:t>
      </w:r>
      <w:r w:rsidRPr="00BB06E1">
        <w:rPr>
          <w:rFonts w:ascii="Times New Roman" w:hAnsi="Times New Roman"/>
          <w:i/>
          <w:color w:val="000000" w:themeColor="text1"/>
          <w:sz w:val="22"/>
          <w:szCs w:val="22"/>
        </w:rPr>
        <w:t>Демографія та соціальна економіка.</w:t>
      </w:r>
      <w:r w:rsidRPr="00BB06E1">
        <w:rPr>
          <w:rFonts w:ascii="Times New Roman" w:hAnsi="Times New Roman"/>
          <w:color w:val="000000" w:themeColor="text1"/>
          <w:sz w:val="22"/>
          <w:szCs w:val="22"/>
        </w:rPr>
        <w:t xml:space="preserve"> 2008. № 1. С. 45.</w:t>
      </w:r>
    </w:p>
  </w:footnote>
  <w:footnote w:id="22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пенсійне забезпечення: Закон України від 05.11.1991 р. № 1788-XII. </w:t>
      </w:r>
      <w:r w:rsidRPr="004A3AA5">
        <w:rPr>
          <w:rFonts w:ascii="Times New Roman" w:hAnsi="Times New Roman"/>
          <w:color w:val="000000" w:themeColor="text1"/>
          <w:sz w:val="22"/>
          <w:szCs w:val="22"/>
        </w:rPr>
        <w:br/>
      </w:r>
      <w:r w:rsidRPr="00BB06E1">
        <w:rPr>
          <w:rFonts w:ascii="Times New Roman" w:hAnsi="Times New Roman"/>
          <w:color w:val="000000" w:themeColor="text1"/>
          <w:sz w:val="22"/>
          <w:szCs w:val="22"/>
        </w:rPr>
        <w:t>URL: http://zakon.rada.gov.ua/laws/show/1788-12.</w:t>
      </w:r>
    </w:p>
  </w:footnote>
  <w:footnote w:id="221">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і соціальний захист громадян, які постраждали внаслідок Чорнобильської катастрофи: Закон України від 28.02.1991 р. № 796-ХІІ. URL: http://zakon.rada.gov.ua/laws/show/796-12.</w:t>
      </w:r>
    </w:p>
  </w:footnote>
  <w:footnote w:id="22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r w:rsidRPr="00BB06E1">
        <w:rPr>
          <w:rFonts w:ascii="Times New Roman" w:hAnsi="Times New Roman"/>
          <w:color w:val="000000" w:themeColor="text1"/>
          <w:sz w:val="22"/>
          <w:szCs w:val="22"/>
          <w:lang w:val="ru-RU"/>
        </w:rPr>
        <w:t>.</w:t>
      </w:r>
    </w:p>
  </w:footnote>
  <w:footnote w:id="22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w:t>
      </w:r>
    </w:p>
  </w:footnote>
  <w:footnote w:id="22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w:t>
      </w:r>
    </w:p>
  </w:footnote>
  <w:footnote w:id="225">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lang w:val="ru-RU"/>
        </w:rPr>
        <w:t>Там само.</w:t>
      </w:r>
    </w:p>
  </w:footnote>
  <w:footnote w:id="226">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color w:val="000000" w:themeColor="text1"/>
        </w:rPr>
        <w:footnoteRef/>
      </w:r>
      <w:r w:rsidRPr="00BB06E1">
        <w:rPr>
          <w:rFonts w:ascii="Times New Roman" w:hAnsi="Times New Roman"/>
          <w:color w:val="000000" w:themeColor="text1"/>
          <w:sz w:val="22"/>
          <w:szCs w:val="22"/>
        </w:rPr>
        <w:t xml:space="preserve">Про державну службу: Закон України від 16.12.1993р. № 3723-XII.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http://zakon.rada.gov.ua/laws/show/3723-12.</w:t>
      </w:r>
    </w:p>
  </w:footnote>
  <w:footnote w:id="22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10.12.2015 р. № 889-VIII.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http://zakon.rada.gov.ua/laws/show/889-19.</w:t>
      </w:r>
    </w:p>
  </w:footnote>
  <w:footnote w:id="228">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16.12.1993р. № 3723-XII.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http://zakon.rada.gov.ua/laws/show/3723-12</w:t>
      </w:r>
      <w:r w:rsidRPr="00BB06E1">
        <w:rPr>
          <w:rFonts w:ascii="Times New Roman" w:hAnsi="Times New Roman"/>
          <w:color w:val="000000" w:themeColor="text1"/>
          <w:sz w:val="22"/>
          <w:szCs w:val="22"/>
          <w:lang w:val="ru-RU"/>
        </w:rPr>
        <w:t>.</w:t>
      </w:r>
    </w:p>
  </w:footnote>
  <w:footnote w:id="22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16.12.1993 р. № 3723-XII.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http://zakon.rada.gov.ua/laws/show/3723-12.</w:t>
      </w:r>
    </w:p>
  </w:footnote>
  <w:footnote w:id="23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 липня 2003 року </w:t>
      </w:r>
      <w:r w:rsidRPr="00BB06E1">
        <w:rPr>
          <w:rFonts w:ascii="Times New Roman" w:hAnsi="Times New Roman"/>
          <w:color w:val="000000" w:themeColor="text1"/>
          <w:sz w:val="22"/>
          <w:szCs w:val="22"/>
        </w:rPr>
        <w:br/>
        <w:t>№ 1058-IV. URL: http://zakon.rada.gov.ua/laws/show/1058-15.</w:t>
      </w:r>
    </w:p>
  </w:footnote>
  <w:footnote w:id="231">
    <w:p w:rsidR="00777771" w:rsidRPr="00BB06E1" w:rsidRDefault="00777771" w:rsidP="00BB06E1">
      <w:pPr>
        <w:pStyle w:val="a6"/>
        <w:jc w:val="both"/>
        <w:rPr>
          <w:rFonts w:ascii="Times New Roman" w:hAnsi="Times New Roman"/>
          <w:bCs/>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наукову і науково-технічну діяльність</w:t>
      </w:r>
      <w:r w:rsidRPr="00BB06E1">
        <w:rPr>
          <w:rFonts w:ascii="Times New Roman" w:hAnsi="Times New Roman"/>
          <w:bCs/>
          <w:color w:val="000000" w:themeColor="text1"/>
          <w:sz w:val="22"/>
          <w:szCs w:val="22"/>
        </w:rPr>
        <w:t>: Закон України від 13.12.1991 р. № 1977-</w:t>
      </w:r>
      <w:r w:rsidRPr="00BB06E1">
        <w:rPr>
          <w:rFonts w:ascii="Times New Roman" w:hAnsi="Times New Roman"/>
          <w:bCs/>
          <w:color w:val="000000" w:themeColor="text1"/>
          <w:sz w:val="22"/>
          <w:szCs w:val="22"/>
          <w:lang w:val="ru-RU"/>
        </w:rPr>
        <w:t>XII</w:t>
      </w:r>
      <w:r w:rsidRPr="00BB06E1">
        <w:rPr>
          <w:rFonts w:ascii="Times New Roman" w:hAnsi="Times New Roman"/>
          <w:bCs/>
          <w:color w:val="000000" w:themeColor="text1"/>
          <w:sz w:val="22"/>
          <w:szCs w:val="22"/>
        </w:rPr>
        <w:t>.</w:t>
      </w:r>
      <w:r w:rsidRPr="00BB06E1">
        <w:rPr>
          <w:rFonts w:ascii="Times New Roman" w:hAnsi="Times New Roman"/>
          <w:bCs/>
          <w:color w:val="000000" w:themeColor="text1"/>
          <w:sz w:val="22"/>
          <w:szCs w:val="22"/>
          <w:lang w:val="ru-RU"/>
        </w:rPr>
        <w:br/>
      </w:r>
      <w:r w:rsidRPr="00BB06E1">
        <w:rPr>
          <w:rFonts w:ascii="Times New Roman" w:hAnsi="Times New Roman"/>
          <w:bCs/>
          <w:color w:val="000000" w:themeColor="text1"/>
          <w:sz w:val="22"/>
          <w:szCs w:val="22"/>
          <w:lang w:val="en-US"/>
        </w:rPr>
        <w:t>URL</w:t>
      </w:r>
      <w:r w:rsidRPr="00BB06E1">
        <w:rPr>
          <w:rFonts w:ascii="Times New Roman" w:hAnsi="Times New Roman"/>
          <w:bCs/>
          <w:color w:val="000000" w:themeColor="text1"/>
          <w:sz w:val="22"/>
          <w:szCs w:val="22"/>
        </w:rPr>
        <w:t>: http://zakon.rada.gov.ua/laws/show/1977-12.</w:t>
      </w:r>
    </w:p>
  </w:footnote>
  <w:footnote w:id="232">
    <w:p w:rsidR="00777771" w:rsidRPr="00BB06E1" w:rsidRDefault="00777771" w:rsidP="00BB06E1">
      <w:pPr>
        <w:pStyle w:val="a6"/>
        <w:jc w:val="both"/>
        <w:rPr>
          <w:rFonts w:ascii="Times New Roman" w:hAnsi="Times New Roman"/>
          <w:bCs/>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bCs/>
          <w:color w:val="000000" w:themeColor="text1"/>
          <w:sz w:val="22"/>
          <w:szCs w:val="22"/>
        </w:rPr>
        <w:t xml:space="preserve">Про наукову і науково-технічну діяльність: Закон України від 26.11.2015 р. № 848-VIII. </w:t>
      </w:r>
      <w:r w:rsidRPr="00BB06E1">
        <w:rPr>
          <w:rFonts w:ascii="Times New Roman" w:hAnsi="Times New Roman"/>
          <w:bCs/>
          <w:color w:val="000000" w:themeColor="text1"/>
          <w:sz w:val="22"/>
          <w:szCs w:val="22"/>
          <w:lang w:val="ru-RU"/>
        </w:rPr>
        <w:br/>
      </w:r>
      <w:r w:rsidRPr="00BB06E1">
        <w:rPr>
          <w:rFonts w:ascii="Times New Roman" w:hAnsi="Times New Roman"/>
          <w:bCs/>
          <w:color w:val="000000" w:themeColor="text1"/>
          <w:sz w:val="22"/>
          <w:szCs w:val="22"/>
          <w:lang w:val="en-US"/>
        </w:rPr>
        <w:t>URL</w:t>
      </w:r>
      <w:r w:rsidRPr="00BB06E1">
        <w:rPr>
          <w:rFonts w:ascii="Times New Roman" w:hAnsi="Times New Roman"/>
          <w:bCs/>
          <w:color w:val="000000" w:themeColor="text1"/>
          <w:sz w:val="22"/>
          <w:szCs w:val="22"/>
        </w:rPr>
        <w:t xml:space="preserve">: </w:t>
      </w:r>
      <w:r w:rsidRPr="00BB06E1">
        <w:rPr>
          <w:rFonts w:ascii="Times New Roman" w:hAnsi="Times New Roman"/>
          <w:color w:val="000000" w:themeColor="text1"/>
          <w:sz w:val="22"/>
          <w:szCs w:val="22"/>
        </w:rPr>
        <w:t>http://zakon.rada.gov.ua/laws/show/848-19.</w:t>
      </w:r>
    </w:p>
  </w:footnote>
  <w:footnote w:id="23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підвищення престижності шахтарської праці: Закон України від 02.09.2008 р. </w:t>
      </w:r>
      <w:r w:rsidRPr="00BB06E1">
        <w:rPr>
          <w:rFonts w:ascii="Times New Roman" w:hAnsi="Times New Roman"/>
          <w:color w:val="000000" w:themeColor="text1"/>
          <w:sz w:val="22"/>
          <w:szCs w:val="22"/>
        </w:rPr>
        <w:br/>
        <w:t xml:space="preserve">№ </w:t>
      </w:r>
      <w:r w:rsidRPr="00BB06E1">
        <w:rPr>
          <w:rFonts w:ascii="Times New Roman" w:hAnsi="Times New Roman"/>
          <w:bCs/>
          <w:color w:val="000000" w:themeColor="text1"/>
          <w:sz w:val="22"/>
          <w:szCs w:val="22"/>
        </w:rPr>
        <w:t xml:space="preserve">345-VI. </w:t>
      </w:r>
      <w:r w:rsidRPr="00BB06E1">
        <w:rPr>
          <w:rFonts w:ascii="Times New Roman" w:hAnsi="Times New Roman"/>
          <w:bCs/>
          <w:color w:val="000000" w:themeColor="text1"/>
          <w:sz w:val="22"/>
          <w:szCs w:val="22"/>
          <w:lang w:val="pl-PL"/>
        </w:rPr>
        <w:t>URL</w:t>
      </w:r>
      <w:r w:rsidRPr="00BB06E1">
        <w:rPr>
          <w:rFonts w:ascii="Times New Roman" w:hAnsi="Times New Roman"/>
          <w:bCs/>
          <w:color w:val="000000" w:themeColor="text1"/>
          <w:sz w:val="22"/>
          <w:szCs w:val="22"/>
        </w:rPr>
        <w:t xml:space="preserve">: </w:t>
      </w:r>
      <w:r w:rsidRPr="00BB06E1">
        <w:rPr>
          <w:rFonts w:ascii="Times New Roman" w:hAnsi="Times New Roman"/>
          <w:color w:val="000000" w:themeColor="text1"/>
          <w:sz w:val="22"/>
          <w:szCs w:val="22"/>
        </w:rPr>
        <w:t>http://zakon.rada.gov.ua/laws/show/345-17#n37.</w:t>
      </w:r>
    </w:p>
  </w:footnote>
  <w:footnote w:id="23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w:t>
      </w:r>
    </w:p>
  </w:footnote>
  <w:footnote w:id="23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Кабінет Міністрів України: Закон України від 27.02.2014 р. №794-VII. </w:t>
      </w:r>
      <w:r w:rsidRPr="00BB06E1">
        <w:rPr>
          <w:rFonts w:ascii="Times New Roman" w:hAnsi="Times New Roman"/>
          <w:color w:val="000000" w:themeColor="text1"/>
          <w:sz w:val="22"/>
          <w:szCs w:val="22"/>
        </w:rPr>
        <w:br/>
      </w:r>
      <w:r w:rsidRPr="00BB06E1">
        <w:rPr>
          <w:rFonts w:ascii="Times New Roman" w:hAnsi="Times New Roman"/>
          <w:bCs/>
          <w:color w:val="000000" w:themeColor="text1"/>
          <w:sz w:val="22"/>
          <w:szCs w:val="22"/>
          <w:lang w:val="pl-PL"/>
        </w:rPr>
        <w:t>URL</w:t>
      </w:r>
      <w:r w:rsidRPr="00BB06E1">
        <w:rPr>
          <w:rFonts w:ascii="Times New Roman" w:hAnsi="Times New Roman"/>
          <w:bCs/>
          <w:color w:val="000000" w:themeColor="text1"/>
          <w:sz w:val="22"/>
          <w:szCs w:val="22"/>
        </w:rPr>
        <w:t xml:space="preserve">: </w:t>
      </w:r>
      <w:r w:rsidRPr="00BB06E1">
        <w:rPr>
          <w:rFonts w:ascii="Times New Roman" w:hAnsi="Times New Roman"/>
          <w:color w:val="000000" w:themeColor="text1"/>
          <w:sz w:val="22"/>
          <w:szCs w:val="22"/>
        </w:rPr>
        <w:t>http://zakon.rada.gov.ua/laws/show/794-18.</w:t>
      </w:r>
    </w:p>
  </w:footnote>
  <w:footnote w:id="23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10.12.2015 р. № 889-VIII.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http://zakon.rada.gov.ua/laws/show/889-19.</w:t>
      </w:r>
    </w:p>
  </w:footnote>
  <w:footnote w:id="23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Національний банк України: Закон України від 20.05.1999 р. № 679-XIV.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http://zakon.rada.gov.ua/laws/show/679-14.</w:t>
      </w:r>
    </w:p>
  </w:footnote>
  <w:footnote w:id="23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дипломатичну службу: Закон України № 2449-VIII від 07.06.2018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http://zakon.rada.gov.ua/laws/show/2449-19.</w:t>
      </w:r>
    </w:p>
  </w:footnote>
  <w:footnote w:id="23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службу в органах місцевого самоврядування: Закон України № 2493-III від 07.06.2001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http://zakon.rada.gov.ua/laws/show/2493-14.</w:t>
      </w:r>
    </w:p>
  </w:footnote>
  <w:footnote w:id="24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прокуратуру: Закон України від 14.10.2014 р. № 1697-VII.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http://zakon.rada.gov.ua/laws/show/1697-18.</w:t>
      </w:r>
    </w:p>
  </w:footnote>
  <w:footnote w:id="24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статус народного депутата України: Закон України № 2790-XII від 17.11.1992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http://zakon.rada.gov.ua/laws/show/2790-12.</w:t>
      </w:r>
    </w:p>
  </w:footnote>
  <w:footnote w:id="24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судоустрій та статус суддів: Закон України  № 1402-VIII  від 02.06.2016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http://zakon.rada.gov.ua/laws/show/1402-19.</w:t>
      </w:r>
    </w:p>
  </w:footnote>
  <w:footnote w:id="24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судову експертизу: Закон України від 25.02.1994 р. № 4038-XII. </w:t>
      </w:r>
      <w:r w:rsidRPr="00BB06E1">
        <w:rPr>
          <w:rFonts w:ascii="Times New Roman" w:hAnsi="Times New Roman"/>
          <w:color w:val="000000" w:themeColor="text1"/>
          <w:sz w:val="22"/>
          <w:szCs w:val="22"/>
        </w:rPr>
        <w:br/>
        <w:t>URL: http://zakon.rada.gov.ua/laws/show/4038-12.</w:t>
      </w:r>
    </w:p>
  </w:footnote>
  <w:footnote w:id="24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наукову і науково-технічну діяльність: Закон України від 26.11.2015 р. № 848-VIII. </w:t>
      </w:r>
      <w:r w:rsidRPr="004A3AA5">
        <w:rPr>
          <w:rFonts w:ascii="Times New Roman" w:hAnsi="Times New Roman"/>
          <w:color w:val="000000" w:themeColor="text1"/>
          <w:sz w:val="22"/>
          <w:szCs w:val="22"/>
        </w:rPr>
        <w:br/>
      </w:r>
      <w:r w:rsidRPr="00BB06E1">
        <w:rPr>
          <w:rFonts w:ascii="Times New Roman" w:hAnsi="Times New Roman"/>
          <w:color w:val="000000" w:themeColor="text1"/>
          <w:sz w:val="22"/>
          <w:szCs w:val="22"/>
        </w:rPr>
        <w:t>URL: http://zakon.rada.gov.ua/laws/show/848-19.</w:t>
      </w:r>
    </w:p>
  </w:footnote>
  <w:footnote w:id="24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підтримку засобів масової інформації та соціальний захист журналістів: Закон України від 23.09.1997 р. № 540/97-ВР. URL: http://zakon.rada.gov.ua/laws/show/540/97-вр.</w:t>
      </w:r>
    </w:p>
  </w:footnote>
  <w:footnote w:id="24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Митний кодекс України: Закон України № 4495-VI від 13.03.2012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URL:http://zakon.rada.gov.ua/laws/show/4495-17.</w:t>
      </w:r>
    </w:p>
  </w:footnote>
  <w:footnote w:id="24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Податковий кодекс України : Закон України від 02.12.2010 р. №2755-VI. </w:t>
      </w:r>
      <w:r w:rsidRPr="00BB06E1">
        <w:rPr>
          <w:rFonts w:ascii="Times New Roman" w:hAnsi="Times New Roman"/>
          <w:color w:val="000000" w:themeColor="text1"/>
          <w:sz w:val="22"/>
          <w:szCs w:val="22"/>
        </w:rPr>
        <w:br/>
        <w:t>URL: http://zakon.rada.gov.ua/laws/show/2755-17.</w:t>
      </w:r>
    </w:p>
  </w:footnote>
  <w:footnote w:id="24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затвердження Положення про помічника-консультанта народного депутата України: Постанова ВРУ від 13.10.1995 р. №379/95-ВР. URL: http://zakon.rada.gov.ua/laws/show/379/95-вр.</w:t>
      </w:r>
    </w:p>
  </w:footnote>
  <w:footnote w:id="24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державну службу: Закон України від 10.12.2015 р. № 889-VIII.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http://zakon.rada.gov.ua/laws/show/889-19.</w:t>
      </w:r>
    </w:p>
  </w:footnote>
  <w:footnote w:id="25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внесення змін до деяких законодавчих актів України щодо підвищення пенсій: Закон України від 03 жовтня 2017 року № 2148-VIII. URL: http://zakon.rada.gov.ua/laws/show/2148-19.</w:t>
      </w:r>
    </w:p>
  </w:footnote>
  <w:footnote w:id="25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 1058-IV. URL: http://zakon.rada.gov.ua/laws/show/1058-15.</w:t>
      </w:r>
    </w:p>
  </w:footnote>
  <w:footnote w:id="25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p>
  </w:footnote>
  <w:footnote w:id="25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w:t>
      </w:r>
    </w:p>
  </w:footnote>
  <w:footnote w:id="25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p>
  </w:footnote>
  <w:footnote w:id="25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w:t>
      </w:r>
    </w:p>
  </w:footnote>
  <w:footnote w:id="256">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індексацію грошових доходів населення: Закон України від 08.07.2010 р. № 2462-VI.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URL: http://zakon.rada.gov.ua/laws/show/1282-12</w:t>
      </w:r>
      <w:r w:rsidRPr="00BB06E1">
        <w:rPr>
          <w:rFonts w:ascii="Times New Roman" w:hAnsi="Times New Roman"/>
          <w:color w:val="000000" w:themeColor="text1"/>
          <w:sz w:val="22"/>
          <w:szCs w:val="22"/>
          <w:lang w:val="ru-RU"/>
        </w:rPr>
        <w:t>.</w:t>
      </w:r>
    </w:p>
  </w:footnote>
  <w:footnote w:id="25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Пенсійне забезпечення в Україні та Білорусі: історія становлення і перспективи розвитку: монографія / за ред. Михайла Шумила, Ірини Комоцької. Київ: Ніка-Центр, 2018. С. 126.</w:t>
      </w:r>
    </w:p>
  </w:footnote>
  <w:footnote w:id="25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загальнообов'язкове державне пенсійне страхування: Закон України від 09.07.2003 р. </w:t>
      </w:r>
      <w:r w:rsidRPr="004A3AA5">
        <w:rPr>
          <w:rFonts w:ascii="Times New Roman" w:hAnsi="Times New Roman"/>
          <w:color w:val="000000" w:themeColor="text1"/>
          <w:sz w:val="22"/>
          <w:szCs w:val="22"/>
        </w:rPr>
        <w:br/>
      </w:r>
      <w:r w:rsidRPr="00BB06E1">
        <w:rPr>
          <w:rFonts w:ascii="Times New Roman" w:hAnsi="Times New Roman"/>
          <w:color w:val="000000" w:themeColor="text1"/>
          <w:sz w:val="22"/>
          <w:szCs w:val="22"/>
        </w:rPr>
        <w:t>№ 1058-IV. URL: http://zakon.rada.gov.ua/laws/show/1058-15/ed20190101.</w:t>
      </w:r>
    </w:p>
  </w:footnote>
  <w:footnote w:id="259">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lang w:val="ru-RU"/>
        </w:rPr>
        <w:t>Там само.</w:t>
      </w:r>
    </w:p>
  </w:footnote>
  <w:footnote w:id="26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Антропов В.В. Социальная защита в странах Европейского союза. История, организация, финансирование, проблемы. М.: ЗАО Издательство «Экономика». 2006. С.68.</w:t>
      </w:r>
    </w:p>
  </w:footnote>
  <w:footnote w:id="26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Водолажченко Д.C. Тіньова економіка сьогодні: причини та наслідки.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lang w:val="pl-PL"/>
        </w:rPr>
        <w:t>URL</w:t>
      </w:r>
      <w:r w:rsidRPr="00BB06E1">
        <w:rPr>
          <w:rFonts w:ascii="Times New Roman" w:hAnsi="Times New Roman"/>
          <w:color w:val="000000" w:themeColor="text1"/>
          <w:sz w:val="22"/>
          <w:szCs w:val="22"/>
        </w:rPr>
        <w:t>: http://www.kbuapa.kharkov.ua/e-book/conf/2010-1/doc/09.pdf.</w:t>
      </w:r>
    </w:p>
  </w:footnote>
  <w:footnote w:id="26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Райзер М. Чому Україні потрібно негайно реформувати пенсійну систему? </w:t>
      </w:r>
      <w:r w:rsidRPr="00BB06E1">
        <w:rPr>
          <w:rFonts w:ascii="Times New Roman" w:hAnsi="Times New Roman"/>
          <w:i/>
          <w:color w:val="000000" w:themeColor="text1"/>
          <w:sz w:val="22"/>
          <w:szCs w:val="22"/>
        </w:rPr>
        <w:t>Урядовий кур’єр.</w:t>
      </w:r>
      <w:r w:rsidRPr="00BB06E1">
        <w:rPr>
          <w:rFonts w:ascii="Times New Roman" w:hAnsi="Times New Roman"/>
          <w:i/>
          <w:color w:val="000000" w:themeColor="text1"/>
          <w:sz w:val="22"/>
          <w:szCs w:val="22"/>
          <w:lang w:val="ru-RU"/>
        </w:rPr>
        <w:br/>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http://www.kmu.gov.ua/control/publish/article?art_id=244057350.</w:t>
      </w:r>
    </w:p>
  </w:footnote>
  <w:footnote w:id="26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Кульков Ю.А.</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Тян Р.Б. Формування збалансованої системи пенсійного забезпечення</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V Міжнародна науково-практична конференція аспірантів, молодих учених та науковців «</w:t>
      </w:r>
      <w:r w:rsidRPr="00BB06E1">
        <w:rPr>
          <w:rFonts w:ascii="Times New Roman" w:hAnsi="Times New Roman"/>
          <w:i/>
          <w:color w:val="000000" w:themeColor="text1"/>
          <w:sz w:val="22"/>
          <w:szCs w:val="22"/>
        </w:rPr>
        <w:t>Проблеми та перспективи розвитку регіональної ринкової економіки</w:t>
      </w:r>
      <w:r w:rsidRPr="00BB06E1">
        <w:rPr>
          <w:rFonts w:ascii="Times New Roman" w:hAnsi="Times New Roman"/>
          <w:color w:val="000000" w:themeColor="text1"/>
          <w:sz w:val="22"/>
          <w:szCs w:val="22"/>
        </w:rPr>
        <w:t xml:space="preserve">». КІДУЕП. К., 2010. </w:t>
      </w:r>
      <w:r w:rsidRPr="004A3AA5">
        <w:rPr>
          <w:rFonts w:ascii="Times New Roman" w:hAnsi="Times New Roman"/>
          <w:color w:val="000000" w:themeColor="text1"/>
          <w:sz w:val="22"/>
          <w:szCs w:val="22"/>
        </w:rPr>
        <w:br/>
      </w:r>
      <w:r w:rsidRPr="00BB06E1">
        <w:rPr>
          <w:rFonts w:ascii="Times New Roman" w:hAnsi="Times New Roman"/>
          <w:color w:val="000000" w:themeColor="text1"/>
          <w:sz w:val="22"/>
          <w:szCs w:val="22"/>
        </w:rPr>
        <w:t>С. 22–24.</w:t>
      </w:r>
    </w:p>
  </w:footnote>
  <w:footnote w:id="264">
    <w:p w:rsidR="00777771" w:rsidRPr="00BB06E1" w:rsidRDefault="00777771" w:rsidP="00BB06E1">
      <w:pPr>
        <w:pStyle w:val="a6"/>
        <w:tabs>
          <w:tab w:val="left" w:pos="6379"/>
        </w:tabs>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Чернявська О.В., Горбунова О.А. Класифікація національних моделей пенсійного забезпечення: зарубіжний досвід та вітчизняна практика. </w:t>
      </w:r>
      <w:r w:rsidRPr="00BB06E1">
        <w:rPr>
          <w:rFonts w:ascii="Times New Roman" w:hAnsi="Times New Roman"/>
          <w:i/>
          <w:color w:val="000000" w:themeColor="text1"/>
          <w:sz w:val="22"/>
          <w:szCs w:val="22"/>
        </w:rPr>
        <w:t>Економiка та держава: наук. фах. видання.</w:t>
      </w:r>
      <w:r w:rsidRPr="00BB06E1">
        <w:rPr>
          <w:rFonts w:ascii="Times New Roman" w:hAnsi="Times New Roman"/>
          <w:color w:val="000000" w:themeColor="text1"/>
          <w:sz w:val="22"/>
          <w:szCs w:val="22"/>
        </w:rPr>
        <w:t xml:space="preserve"> К., 2013. № 2. С. 38.</w:t>
      </w:r>
    </w:p>
  </w:footnote>
  <w:footnote w:id="265">
    <w:p w:rsidR="00777771" w:rsidRPr="004A3AA5"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Руденок О.Ю. Пенсійна система України: конспект лекцій з дисципліни для студентів економічних спеціальностей. Донецьк, 2009. С. 20</w:t>
      </w:r>
      <w:r w:rsidRPr="004A3AA5">
        <w:rPr>
          <w:rFonts w:ascii="Times New Roman" w:hAnsi="Times New Roman"/>
          <w:color w:val="000000" w:themeColor="text1"/>
          <w:sz w:val="22"/>
          <w:szCs w:val="22"/>
        </w:rPr>
        <w:t>.</w:t>
      </w:r>
    </w:p>
  </w:footnote>
  <w:footnote w:id="26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Офіційний веб-сайт Пенсійного фонду України</w:t>
      </w:r>
      <w:r w:rsidRPr="004A3AA5">
        <w:rPr>
          <w:rFonts w:ascii="Times New Roman" w:hAnsi="Times New Roman"/>
          <w:color w:val="000000" w:themeColor="text1"/>
          <w:sz w:val="22"/>
          <w:szCs w:val="22"/>
        </w:rPr>
        <w:t xml:space="preserve">. </w:t>
      </w:r>
      <w:r w:rsidRPr="00BB06E1">
        <w:rPr>
          <w:rFonts w:ascii="Times New Roman" w:hAnsi="Times New Roman"/>
          <w:color w:val="000000" w:themeColor="text1"/>
          <w:sz w:val="22"/>
          <w:szCs w:val="22"/>
          <w:lang w:val="pl-PL"/>
        </w:rPr>
        <w:t>URL</w:t>
      </w:r>
      <w:r w:rsidRPr="00BB06E1">
        <w:rPr>
          <w:rFonts w:ascii="Times New Roman" w:hAnsi="Times New Roman"/>
          <w:color w:val="000000" w:themeColor="text1"/>
          <w:sz w:val="22"/>
          <w:szCs w:val="22"/>
        </w:rPr>
        <w:t>: http</w:t>
      </w:r>
      <w:r w:rsidRPr="00BB06E1">
        <w:rPr>
          <w:rFonts w:ascii="Times New Roman" w:hAnsi="Times New Roman"/>
          <w:color w:val="000000" w:themeColor="text1"/>
          <w:sz w:val="22"/>
          <w:szCs w:val="22"/>
          <w:lang w:val="en-US"/>
        </w:rPr>
        <w:t>s</w:t>
      </w:r>
      <w:r w:rsidRPr="00BB06E1">
        <w:rPr>
          <w:rFonts w:ascii="Times New Roman" w:hAnsi="Times New Roman"/>
          <w:color w:val="000000" w:themeColor="text1"/>
          <w:sz w:val="22"/>
          <w:szCs w:val="22"/>
        </w:rPr>
        <w:t>://www.pfu.gov.ua/.</w:t>
      </w:r>
    </w:p>
  </w:footnote>
  <w:footnote w:id="26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Scheubel B. Pensions and fertility back to the roots: The introduction of Bismarck’s pension scheme and the European fertility decline. European Central Bank. Working paper series. 2014. № 1734. </w:t>
      </w:r>
      <w:r w:rsidRPr="00BB06E1">
        <w:rPr>
          <w:rFonts w:ascii="Times New Roman" w:hAnsi="Times New Roman"/>
          <w:color w:val="000000" w:themeColor="text1"/>
          <w:sz w:val="22"/>
          <w:szCs w:val="22"/>
        </w:rPr>
        <w:br/>
        <w:t>Р. 6.</w:t>
      </w:r>
    </w:p>
  </w:footnote>
  <w:footnote w:id="26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Міндова О.І. Трансформація системи пенсійного забезпечення в умовах євроінтеграції України: дис. канд. економ. наук. К., 2016. С. 34-35.</w:t>
      </w:r>
    </w:p>
  </w:footnote>
  <w:footnote w:id="26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державні пенсії: Закон СРСР від 14 липня 1956 року. URL: https://zakon.rada.</w:t>
      </w:r>
      <w:r w:rsidRPr="00BB06E1">
        <w:rPr>
          <w:rFonts w:ascii="Times New Roman" w:hAnsi="Times New Roman"/>
          <w:color w:val="000000" w:themeColor="text1"/>
          <w:sz w:val="22"/>
          <w:szCs w:val="22"/>
        </w:rPr>
        <w:br/>
        <w:t>gov.ua/laws/show/n0001400-56.</w:t>
      </w:r>
    </w:p>
  </w:footnote>
  <w:footnote w:id="27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Руденок О.Ю. Пенсійна система України: конспект лекцій з дисципліни для студентів економічних спеціальностей. Донецьк, 2009. С. 23.</w:t>
      </w:r>
    </w:p>
  </w:footnote>
  <w:footnote w:id="271">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Мисник Т.Г. Особливості функціонування пенсійних систем в економічно розвинутих країнах.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lang w:val="ru-RU"/>
        </w:rPr>
        <w:t xml:space="preserve">: </w:t>
      </w:r>
      <w:r w:rsidRPr="00BB06E1">
        <w:rPr>
          <w:rFonts w:ascii="Times New Roman" w:hAnsi="Times New Roman"/>
          <w:color w:val="000000" w:themeColor="text1"/>
          <w:sz w:val="22"/>
          <w:szCs w:val="22"/>
          <w:lang w:val="en-US"/>
        </w:rPr>
        <w:t>http</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lang w:val="en-US"/>
        </w:rPr>
        <w:t>www</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lang w:val="en-US"/>
        </w:rPr>
        <w:t>rusnauka</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lang w:val="en-US"/>
        </w:rPr>
        <w:t>com</w:t>
      </w:r>
      <w:r w:rsidRPr="00BB06E1">
        <w:rPr>
          <w:rFonts w:ascii="Times New Roman" w:hAnsi="Times New Roman"/>
          <w:color w:val="000000" w:themeColor="text1"/>
          <w:sz w:val="22"/>
          <w:szCs w:val="22"/>
          <w:lang w:val="ru-RU"/>
        </w:rPr>
        <w:t>/11_</w:t>
      </w:r>
      <w:r w:rsidRPr="00BB06E1">
        <w:rPr>
          <w:rFonts w:ascii="Times New Roman" w:hAnsi="Times New Roman"/>
          <w:color w:val="000000" w:themeColor="text1"/>
          <w:sz w:val="22"/>
          <w:szCs w:val="22"/>
          <w:lang w:val="en-US"/>
        </w:rPr>
        <w:t>EISN</w:t>
      </w:r>
      <w:r w:rsidRPr="00BB06E1">
        <w:rPr>
          <w:rFonts w:ascii="Times New Roman" w:hAnsi="Times New Roman"/>
          <w:color w:val="000000" w:themeColor="text1"/>
          <w:sz w:val="22"/>
          <w:szCs w:val="22"/>
          <w:lang w:val="ru-RU"/>
        </w:rPr>
        <w:t>_2011/</w:t>
      </w:r>
      <w:r w:rsidRPr="00BB06E1">
        <w:rPr>
          <w:rFonts w:ascii="Times New Roman" w:hAnsi="Times New Roman"/>
          <w:color w:val="000000" w:themeColor="text1"/>
          <w:sz w:val="22"/>
          <w:szCs w:val="22"/>
          <w:lang w:val="en-US"/>
        </w:rPr>
        <w:t>Economics</w:t>
      </w:r>
      <w:r w:rsidRPr="00BB06E1">
        <w:rPr>
          <w:rFonts w:ascii="Times New Roman" w:hAnsi="Times New Roman"/>
          <w:color w:val="000000" w:themeColor="text1"/>
          <w:sz w:val="22"/>
          <w:szCs w:val="22"/>
          <w:lang w:val="ru-RU"/>
        </w:rPr>
        <w:t>/3_84663.</w:t>
      </w:r>
      <w:r w:rsidRPr="00BB06E1">
        <w:rPr>
          <w:rFonts w:ascii="Times New Roman" w:hAnsi="Times New Roman"/>
          <w:color w:val="000000" w:themeColor="text1"/>
          <w:sz w:val="22"/>
          <w:szCs w:val="22"/>
          <w:lang w:val="en-US"/>
        </w:rPr>
        <w:t>doc</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lang w:val="en-US"/>
        </w:rPr>
        <w:t>htm</w:t>
      </w:r>
      <w:r w:rsidRPr="00BB06E1">
        <w:rPr>
          <w:rFonts w:ascii="Times New Roman" w:hAnsi="Times New Roman"/>
          <w:color w:val="000000" w:themeColor="text1"/>
          <w:sz w:val="22"/>
          <w:szCs w:val="22"/>
          <w:lang w:val="ru-RU"/>
        </w:rPr>
        <w:t>.</w:t>
      </w:r>
    </w:p>
  </w:footnote>
  <w:footnote w:id="27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Заболотский Е.Д. Опыт реформирования пенсионных систем стран Европейского Союза и возможности его использования в России. </w:t>
      </w:r>
      <w:r w:rsidRPr="00BB06E1">
        <w:rPr>
          <w:rFonts w:ascii="Times New Roman" w:hAnsi="Times New Roman"/>
          <w:i/>
          <w:color w:val="000000" w:themeColor="text1"/>
          <w:sz w:val="22"/>
          <w:szCs w:val="22"/>
        </w:rPr>
        <w:t xml:space="preserve">Вестник СПбГУ. </w:t>
      </w:r>
      <w:r w:rsidRPr="00BB06E1">
        <w:rPr>
          <w:rFonts w:ascii="Times New Roman" w:hAnsi="Times New Roman"/>
          <w:color w:val="000000" w:themeColor="text1"/>
          <w:sz w:val="22"/>
          <w:szCs w:val="22"/>
        </w:rPr>
        <w:t>Экономика. 2017. Т. 33. Вып. 3. С. 478.</w:t>
      </w:r>
    </w:p>
  </w:footnote>
  <w:footnote w:id="27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Кривощекова Е., Окунева Е., Окунев В. Обязательное пенсионное страхование: теория и практика российской пенсионной реформы. Вопросы экономики. 2006. № 6. С. 120.</w:t>
      </w:r>
    </w:p>
  </w:footnote>
  <w:footnote w:id="27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Заболотский Е.Д. Опыт реформирования пенсионных систем стран Европейского Союза и возможности его использования в России. Вестник СПбГУ. Экономика. 2017. Т. 33. Вып. 3. С. 478.</w:t>
      </w:r>
    </w:p>
  </w:footnote>
  <w:footnote w:id="27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 с. 478-479.</w:t>
      </w:r>
    </w:p>
  </w:footnote>
  <w:footnote w:id="27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Роик В.Д. Эволюция пенсионных систем: мировые тенденции и опыт. </w:t>
      </w:r>
      <w:r w:rsidRPr="00BB06E1">
        <w:rPr>
          <w:rFonts w:ascii="Times New Roman" w:hAnsi="Times New Roman"/>
          <w:i/>
          <w:color w:val="000000" w:themeColor="text1"/>
          <w:sz w:val="22"/>
          <w:szCs w:val="22"/>
        </w:rPr>
        <w:t>Человек и труд.</w:t>
      </w:r>
      <w:r w:rsidRPr="00BB06E1">
        <w:rPr>
          <w:rFonts w:ascii="Times New Roman" w:hAnsi="Times New Roman"/>
          <w:color w:val="000000" w:themeColor="text1"/>
          <w:sz w:val="22"/>
          <w:szCs w:val="22"/>
        </w:rPr>
        <w:t xml:space="preserve"> 2008. № 8 URL: https: //www.chelt.ru/2008/8$08/roik808.html.</w:t>
      </w:r>
    </w:p>
  </w:footnote>
  <w:footnote w:id="27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Глущенко В.В., Левченко І. А. Формування та використання недержавних пенсійних фондів: монографія. Харків, 2012. С. 42.</w:t>
      </w:r>
    </w:p>
  </w:footnote>
  <w:footnote w:id="27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Дегтярь Л.С. Пенсионные реформы в развитых странах: новейшие тенденции и выводы для России. </w:t>
      </w:r>
      <w:r w:rsidRPr="00BB06E1">
        <w:rPr>
          <w:rFonts w:ascii="Times New Roman" w:hAnsi="Times New Roman"/>
          <w:i/>
          <w:color w:val="000000" w:themeColor="text1"/>
          <w:sz w:val="22"/>
          <w:szCs w:val="22"/>
        </w:rPr>
        <w:t>Проблемы прогнозирования</w:t>
      </w:r>
      <w:r w:rsidRPr="00BB06E1">
        <w:rPr>
          <w:rFonts w:ascii="Times New Roman" w:hAnsi="Times New Roman"/>
          <w:color w:val="000000" w:themeColor="text1"/>
          <w:sz w:val="22"/>
          <w:szCs w:val="22"/>
        </w:rPr>
        <w:t>. 2012. № 2. С. 101.</w:t>
      </w:r>
    </w:p>
  </w:footnote>
  <w:footnote w:id="27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Мосейко В. В. Генезис пенсионных систем как проявление социальной функции государства. URL: www.rusrand.ru/Doklad5/Moseiko.pdf.</w:t>
      </w:r>
    </w:p>
  </w:footnote>
  <w:footnote w:id="28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Гутник В., Зимаков А.Пенсионная реформа в Германии. </w:t>
      </w:r>
      <w:r w:rsidRPr="00BB06E1">
        <w:rPr>
          <w:rFonts w:ascii="Times New Roman" w:hAnsi="Times New Roman"/>
          <w:i/>
          <w:color w:val="000000" w:themeColor="text1"/>
          <w:sz w:val="22"/>
          <w:szCs w:val="22"/>
        </w:rPr>
        <w:t>Современная Европа</w:t>
      </w:r>
      <w:r w:rsidRPr="00BB06E1">
        <w:rPr>
          <w:rFonts w:ascii="Times New Roman" w:hAnsi="Times New Roman"/>
          <w:color w:val="000000" w:themeColor="text1"/>
          <w:sz w:val="22"/>
          <w:szCs w:val="22"/>
        </w:rPr>
        <w:t xml:space="preserve">. 2001. № 2.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lang w:val="ru-RU"/>
        </w:rPr>
        <w:t xml:space="preserve">: </w:t>
      </w:r>
      <w:r w:rsidRPr="00BB06E1">
        <w:rPr>
          <w:rFonts w:ascii="Times New Roman" w:hAnsi="Times New Roman"/>
          <w:color w:val="000000" w:themeColor="text1"/>
          <w:sz w:val="22"/>
          <w:szCs w:val="22"/>
        </w:rPr>
        <w:t>http://pensionreform.ru/55761.</w:t>
      </w:r>
    </w:p>
  </w:footnote>
  <w:footnote w:id="28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Ермаков Д.Н. Частное (приватное) пенсионное страхование в современной Германии. </w:t>
      </w:r>
      <w:r w:rsidRPr="00BB06E1">
        <w:rPr>
          <w:rFonts w:ascii="Times New Roman" w:hAnsi="Times New Roman"/>
          <w:i/>
          <w:color w:val="000000" w:themeColor="text1"/>
          <w:sz w:val="22"/>
          <w:szCs w:val="22"/>
        </w:rPr>
        <w:t>Вестник МГОУ. Серия «Экономика</w:t>
      </w:r>
      <w:r w:rsidRPr="00BB06E1">
        <w:rPr>
          <w:rFonts w:ascii="Times New Roman" w:hAnsi="Times New Roman"/>
          <w:color w:val="000000" w:themeColor="text1"/>
          <w:sz w:val="22"/>
          <w:szCs w:val="22"/>
        </w:rPr>
        <w:t>». № 4 / 2011. С. 10.</w:t>
      </w:r>
    </w:p>
  </w:footnote>
  <w:footnote w:id="28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Ермаков Д.Н. Современная пенсионная система Германии. </w:t>
      </w:r>
      <w:r w:rsidRPr="00BB06E1">
        <w:rPr>
          <w:rFonts w:ascii="Times New Roman" w:hAnsi="Times New Roman"/>
          <w:i/>
          <w:color w:val="000000" w:themeColor="text1"/>
          <w:sz w:val="22"/>
          <w:szCs w:val="22"/>
        </w:rPr>
        <w:t>Вестник МГОУ. Серия «Экономика»</w:t>
      </w:r>
      <w:r w:rsidRPr="00BB06E1">
        <w:rPr>
          <w:rFonts w:ascii="Times New Roman" w:hAnsi="Times New Roman"/>
          <w:color w:val="000000" w:themeColor="text1"/>
          <w:sz w:val="22"/>
          <w:szCs w:val="22"/>
        </w:rPr>
        <w:t>. № 3 / 2011. С.25.</w:t>
      </w:r>
    </w:p>
  </w:footnote>
  <w:footnote w:id="28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 с. 25.</w:t>
      </w:r>
    </w:p>
  </w:footnote>
  <w:footnote w:id="284">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Pensions at a Glance 2011: Retirement-income Systems in OECD and G20 Countries, OECD Publishing, 2011. </w:t>
      </w:r>
      <w:r w:rsidRPr="00BB06E1">
        <w:rPr>
          <w:rFonts w:ascii="Times New Roman" w:hAnsi="Times New Roman"/>
          <w:color w:val="000000" w:themeColor="text1"/>
          <w:sz w:val="22"/>
          <w:szCs w:val="22"/>
          <w:lang w:val="en-US"/>
        </w:rPr>
        <w:t>P</w:t>
      </w:r>
      <w:r w:rsidRPr="00BB06E1">
        <w:rPr>
          <w:rFonts w:ascii="Times New Roman" w:hAnsi="Times New Roman"/>
          <w:color w:val="000000" w:themeColor="text1"/>
          <w:sz w:val="22"/>
          <w:szCs w:val="22"/>
          <w:lang w:val="ru-RU"/>
        </w:rPr>
        <w:t>. 234.</w:t>
      </w:r>
      <w:r w:rsidRPr="00BB06E1">
        <w:rPr>
          <w:rFonts w:ascii="Times New Roman" w:hAnsi="Times New Roman"/>
          <w:color w:val="000000" w:themeColor="text1"/>
          <w:sz w:val="22"/>
          <w:szCs w:val="22"/>
        </w:rPr>
        <w:t xml:space="preserve"> URL : https://dx.doi.org/10.1787/pension_glance-2011-en.</w:t>
      </w:r>
    </w:p>
  </w:footnote>
  <w:footnote w:id="28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Байдин В.Е. Немецкий опыт пенсионной реформы Ристера. </w:t>
      </w:r>
      <w:r w:rsidRPr="00BB06E1">
        <w:rPr>
          <w:rFonts w:ascii="Times New Roman" w:hAnsi="Times New Roman"/>
          <w:i/>
          <w:color w:val="000000" w:themeColor="text1"/>
          <w:sz w:val="22"/>
          <w:szCs w:val="22"/>
        </w:rPr>
        <w:t>Внешнеэкономический бюлетень</w:t>
      </w:r>
      <w:r w:rsidRPr="00BB06E1">
        <w:rPr>
          <w:rFonts w:ascii="Times New Roman" w:hAnsi="Times New Roman"/>
          <w:color w:val="000000" w:themeColor="text1"/>
          <w:sz w:val="22"/>
          <w:szCs w:val="22"/>
        </w:rPr>
        <w:t>. 2005. №8. С. 39.</w:t>
      </w:r>
    </w:p>
  </w:footnote>
  <w:footnote w:id="28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Рафикова Р.Р. Зарубежный опыт негосударственного пенсионного страхования. </w:t>
      </w:r>
      <w:r w:rsidRPr="00BB06E1">
        <w:rPr>
          <w:rFonts w:ascii="Times New Roman" w:hAnsi="Times New Roman"/>
          <w:i/>
          <w:color w:val="000000" w:themeColor="text1"/>
          <w:sz w:val="22"/>
          <w:szCs w:val="22"/>
        </w:rPr>
        <w:t>Вестник Волжского университета им. В.Н. Татищева</w:t>
      </w:r>
      <w:r w:rsidRPr="00BB06E1">
        <w:rPr>
          <w:rFonts w:ascii="Times New Roman" w:hAnsi="Times New Roman"/>
          <w:color w:val="000000" w:themeColor="text1"/>
          <w:sz w:val="22"/>
          <w:szCs w:val="22"/>
        </w:rPr>
        <w:t xml:space="preserve">. 2011. № 75. С. 8. URL:  </w:t>
      </w:r>
      <w:hyperlink r:id="rId19" w:history="1">
        <w:r w:rsidRPr="00BB06E1">
          <w:rPr>
            <w:rStyle w:val="a9"/>
            <w:rFonts w:ascii="Times New Roman" w:hAnsi="Times New Roman"/>
            <w:color w:val="000000" w:themeColor="text1"/>
            <w:sz w:val="22"/>
            <w:szCs w:val="22"/>
            <w:u w:val="none"/>
          </w:rPr>
          <w:t>https://cyberleninka.ru/article</w:t>
        </w:r>
        <w:r w:rsidRPr="00BB06E1">
          <w:rPr>
            <w:rStyle w:val="a9"/>
            <w:rFonts w:ascii="Times New Roman" w:hAnsi="Times New Roman"/>
            <w:color w:val="000000" w:themeColor="text1"/>
            <w:sz w:val="22"/>
            <w:szCs w:val="22"/>
            <w:u w:val="none"/>
          </w:rPr>
          <w:br/>
          <w:t>/v/zarubezhnyy-opyt-negosudarstvennogo-pensionnogo-strahovaniya</w:t>
        </w:r>
      </w:hyperlink>
      <w:r w:rsidRPr="00BB06E1">
        <w:rPr>
          <w:rFonts w:ascii="Times New Roman" w:hAnsi="Times New Roman"/>
          <w:color w:val="000000" w:themeColor="text1"/>
          <w:sz w:val="22"/>
          <w:szCs w:val="22"/>
        </w:rPr>
        <w:t>.</w:t>
      </w:r>
    </w:p>
  </w:footnote>
  <w:footnote w:id="28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Фінансові, соціальні та правові аспекти пенсійної реформи в Україні. Світовий досвід та українські реалії / Центр Разумкова, 2017</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Видавництво «Заповіт», 2017. С.115.</w:t>
      </w:r>
    </w:p>
  </w:footnote>
  <w:footnote w:id="28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McKinsey. Social Responsibility Report 2018. URL: https://www.mckinsey.com/about-us/social-responsibility/2018-report.</w:t>
      </w:r>
    </w:p>
  </w:footnote>
  <w:footnote w:id="289">
    <w:p w:rsidR="00777771" w:rsidRPr="00BB06E1" w:rsidRDefault="00777771" w:rsidP="00BB06E1">
      <w:pPr>
        <w:pStyle w:val="a6"/>
        <w:jc w:val="both"/>
        <w:rPr>
          <w:rFonts w:ascii="Times New Roman" w:hAnsi="Times New Roman"/>
          <w:color w:val="000000" w:themeColor="text1"/>
          <w:sz w:val="22"/>
          <w:szCs w:val="22"/>
          <w:lang w:val="en-US"/>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Beveridge W. Full Employment in a Free Society. London, 1944.</w:t>
      </w:r>
      <w:r w:rsidRPr="00BB06E1">
        <w:rPr>
          <w:rFonts w:ascii="Times New Roman" w:hAnsi="Times New Roman"/>
          <w:color w:val="000000" w:themeColor="text1"/>
          <w:sz w:val="22"/>
          <w:szCs w:val="22"/>
          <w:lang w:val="en-US"/>
        </w:rPr>
        <w:t xml:space="preserve">URL: </w:t>
      </w:r>
      <w:hyperlink r:id="rId20" w:history="1">
        <w:r w:rsidRPr="00BB06E1">
          <w:rPr>
            <w:rStyle w:val="a9"/>
            <w:rFonts w:ascii="Times New Roman" w:hAnsi="Times New Roman"/>
            <w:color w:val="000000" w:themeColor="text1"/>
            <w:sz w:val="22"/>
            <w:szCs w:val="22"/>
            <w:u w:val="none"/>
          </w:rPr>
          <w:t>https://archive.org/details/</w:t>
        </w:r>
        <w:r w:rsidRPr="00BB06E1">
          <w:rPr>
            <w:rStyle w:val="a9"/>
            <w:rFonts w:ascii="Times New Roman" w:hAnsi="Times New Roman"/>
            <w:color w:val="000000" w:themeColor="text1"/>
            <w:sz w:val="22"/>
            <w:szCs w:val="22"/>
            <w:u w:val="none"/>
          </w:rPr>
          <w:br/>
          <w:t>in.ernet.dli.2015.228995</w:t>
        </w:r>
      </w:hyperlink>
      <w:r w:rsidRPr="00BB06E1">
        <w:rPr>
          <w:rFonts w:ascii="Times New Roman" w:hAnsi="Times New Roman"/>
          <w:color w:val="000000" w:themeColor="text1"/>
          <w:sz w:val="22"/>
          <w:szCs w:val="22"/>
          <w:lang w:val="en-US"/>
        </w:rPr>
        <w:t>.</w:t>
      </w:r>
    </w:p>
  </w:footnote>
  <w:footnote w:id="29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Антропов В.В. Экономические модели социальной защиты населения в государствах ЕС: автореф. диc. докт. экон. наук. М.: МГУ им. Н.В Ломоносова. 2007. С. 19-20.</w:t>
      </w:r>
    </w:p>
  </w:footnote>
  <w:footnote w:id="29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Заболотский Е.Д. Опыт реформирования пенсионных систем стран Европейского Союза и возможности его использованияв России. </w:t>
      </w:r>
      <w:r w:rsidRPr="00BB06E1">
        <w:rPr>
          <w:rFonts w:ascii="Times New Roman" w:hAnsi="Times New Roman"/>
          <w:i/>
          <w:color w:val="000000" w:themeColor="text1"/>
          <w:sz w:val="22"/>
          <w:szCs w:val="22"/>
        </w:rPr>
        <w:t>Вестник СПбГУ. Экономика.</w:t>
      </w:r>
      <w:r w:rsidRPr="00BB06E1">
        <w:rPr>
          <w:rFonts w:ascii="Times New Roman" w:hAnsi="Times New Roman"/>
          <w:color w:val="000000" w:themeColor="text1"/>
          <w:sz w:val="22"/>
          <w:szCs w:val="22"/>
        </w:rPr>
        <w:t xml:space="preserve"> 2017. Т. 33. Вып. 3. С. 477.</w:t>
      </w:r>
    </w:p>
  </w:footnote>
  <w:footnote w:id="29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Малютина Н.Н. Развитие системы пенсионного обеспечения в зарубежных странах. </w:t>
      </w:r>
      <w:r w:rsidRPr="00BB06E1">
        <w:rPr>
          <w:rFonts w:ascii="Times New Roman" w:hAnsi="Times New Roman"/>
          <w:i/>
          <w:color w:val="000000" w:themeColor="text1"/>
          <w:sz w:val="22"/>
          <w:szCs w:val="22"/>
        </w:rPr>
        <w:t>Труд за рубежом:</w:t>
      </w:r>
      <w:r w:rsidRPr="00BB06E1">
        <w:rPr>
          <w:rFonts w:ascii="Times New Roman" w:hAnsi="Times New Roman"/>
          <w:color w:val="000000" w:themeColor="text1"/>
          <w:sz w:val="22"/>
          <w:szCs w:val="22"/>
        </w:rPr>
        <w:t xml:space="preserve"> науч.-аналит. журнал. М.</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2005. № 3. C. 104–106.</w:t>
      </w:r>
    </w:p>
  </w:footnote>
  <w:footnote w:id="29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Лазаревский А.А. Велика Британия пенсионной системой. </w:t>
      </w:r>
      <w:r w:rsidRPr="00BB06E1">
        <w:rPr>
          <w:rFonts w:ascii="Times New Roman" w:hAnsi="Times New Roman"/>
          <w:i/>
          <w:color w:val="000000" w:themeColor="text1"/>
          <w:sz w:val="22"/>
          <w:szCs w:val="22"/>
        </w:rPr>
        <w:t>Финансы и кредит</w:t>
      </w:r>
      <w:r w:rsidRPr="00BB06E1">
        <w:rPr>
          <w:rFonts w:ascii="Times New Roman" w:hAnsi="Times New Roman"/>
          <w:color w:val="000000" w:themeColor="text1"/>
          <w:sz w:val="22"/>
          <w:szCs w:val="22"/>
        </w:rPr>
        <w:t>. 2002. № 3. С. 18.</w:t>
      </w:r>
    </w:p>
  </w:footnote>
  <w:footnote w:id="29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Сандлер Д. Пенсійне реформування в сучасному світі</w:t>
      </w:r>
      <w:r w:rsidRPr="00BB06E1">
        <w:rPr>
          <w:rFonts w:ascii="Times New Roman" w:hAnsi="Times New Roman"/>
          <w:color w:val="000000" w:themeColor="text1"/>
          <w:sz w:val="22"/>
          <w:szCs w:val="22"/>
          <w:lang w:val="ru-RU"/>
        </w:rPr>
        <w:t xml:space="preserve">. </w:t>
      </w:r>
      <w:r w:rsidRPr="00BB06E1">
        <w:rPr>
          <w:rFonts w:ascii="Times New Roman" w:hAnsi="Times New Roman"/>
          <w:i/>
          <w:color w:val="000000" w:themeColor="text1"/>
          <w:sz w:val="22"/>
          <w:szCs w:val="22"/>
        </w:rPr>
        <w:t>Соціальний захист</w:t>
      </w:r>
      <w:r w:rsidRPr="00BB06E1">
        <w:rPr>
          <w:rFonts w:ascii="Times New Roman" w:hAnsi="Times New Roman"/>
          <w:color w:val="000000" w:themeColor="text1"/>
          <w:sz w:val="22"/>
          <w:szCs w:val="22"/>
        </w:rPr>
        <w:t xml:space="preserve">. 2005. № 8. </w:t>
      </w:r>
      <w:r w:rsidRPr="00BB06E1">
        <w:rPr>
          <w:rFonts w:ascii="Times New Roman" w:hAnsi="Times New Roman"/>
          <w:color w:val="000000" w:themeColor="text1"/>
          <w:sz w:val="22"/>
          <w:szCs w:val="22"/>
          <w:lang w:val="ru-RU"/>
        </w:rPr>
        <w:br/>
      </w:r>
      <w:r w:rsidRPr="00BB06E1">
        <w:rPr>
          <w:rFonts w:ascii="Times New Roman" w:hAnsi="Times New Roman"/>
          <w:color w:val="000000" w:themeColor="text1"/>
          <w:sz w:val="22"/>
          <w:szCs w:val="22"/>
        </w:rPr>
        <w:t>С. 16–20.</w:t>
      </w:r>
    </w:p>
  </w:footnote>
  <w:footnote w:id="29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Лазаревский А.А. Велика Британия пенсионной системой. </w:t>
      </w:r>
      <w:r w:rsidRPr="00BB06E1">
        <w:rPr>
          <w:rFonts w:ascii="Times New Roman" w:hAnsi="Times New Roman"/>
          <w:i/>
          <w:color w:val="000000" w:themeColor="text1"/>
          <w:sz w:val="22"/>
          <w:szCs w:val="22"/>
        </w:rPr>
        <w:t>Финансы и кредит</w:t>
      </w:r>
      <w:r w:rsidRPr="00BB06E1">
        <w:rPr>
          <w:rFonts w:ascii="Times New Roman" w:hAnsi="Times New Roman"/>
          <w:color w:val="000000" w:themeColor="text1"/>
          <w:sz w:val="22"/>
          <w:szCs w:val="22"/>
        </w:rPr>
        <w:t>. 2002. № 3. С. 18–20.</w:t>
      </w:r>
    </w:p>
  </w:footnote>
  <w:footnote w:id="29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Про недержавне пенсійне забезпечення: Закон України від 09.07.2003 р. № 1057-IV. URL: https://zakon.rada.gov.ua/laws/show/1057-15.</w:t>
      </w:r>
    </w:p>
  </w:footnote>
  <w:footnote w:id="29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Лазаревский А.А. Велика Британия пенсионной системой. </w:t>
      </w:r>
      <w:r w:rsidRPr="00BB06E1">
        <w:rPr>
          <w:rFonts w:ascii="Times New Roman" w:hAnsi="Times New Roman"/>
          <w:i/>
          <w:color w:val="000000" w:themeColor="text1"/>
          <w:sz w:val="22"/>
          <w:szCs w:val="22"/>
        </w:rPr>
        <w:t>Финансы и кредит</w:t>
      </w:r>
      <w:r w:rsidRPr="00BB06E1">
        <w:rPr>
          <w:rFonts w:ascii="Times New Roman" w:hAnsi="Times New Roman"/>
          <w:color w:val="000000" w:themeColor="text1"/>
          <w:sz w:val="22"/>
          <w:szCs w:val="22"/>
        </w:rPr>
        <w:t>. 2002. № 3. С. 18.</w:t>
      </w:r>
    </w:p>
  </w:footnote>
  <w:footnote w:id="298">
    <w:p w:rsidR="00777771" w:rsidRPr="00BB06E1" w:rsidRDefault="00777771" w:rsidP="00BB06E1">
      <w:pPr>
        <w:pStyle w:val="a6"/>
        <w:jc w:val="both"/>
        <w:rPr>
          <w:rFonts w:ascii="Times New Roman" w:hAnsi="Times New Roman"/>
          <w:color w:val="000000" w:themeColor="text1"/>
          <w:sz w:val="22"/>
          <w:szCs w:val="22"/>
          <w:lang w:val="en-US"/>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Malcolm Jones, Kevin Milne. UK Pension Reform - One Year On. </w:t>
      </w:r>
      <w:r w:rsidRPr="00BB06E1">
        <w:rPr>
          <w:rFonts w:ascii="Times New Roman" w:hAnsi="Times New Roman"/>
          <w:i/>
          <w:color w:val="000000" w:themeColor="text1"/>
          <w:sz w:val="22"/>
          <w:szCs w:val="22"/>
        </w:rPr>
        <w:t>Standard Life Investments</w:t>
      </w:r>
      <w:r w:rsidRPr="00BB06E1">
        <w:rPr>
          <w:rFonts w:ascii="Times New Roman" w:hAnsi="Times New Roman"/>
          <w:color w:val="000000" w:themeColor="text1"/>
          <w:sz w:val="22"/>
          <w:szCs w:val="22"/>
        </w:rPr>
        <w:t xml:space="preserve">. </w:t>
      </w:r>
      <w:r w:rsidRPr="00BB06E1">
        <w:rPr>
          <w:rFonts w:ascii="Times New Roman" w:hAnsi="Times New Roman"/>
          <w:color w:val="000000" w:themeColor="text1"/>
          <w:sz w:val="22"/>
          <w:szCs w:val="22"/>
          <w:lang w:val="en-US"/>
        </w:rPr>
        <w:t>April 2016.</w:t>
      </w:r>
      <w:r w:rsidRPr="00BB06E1">
        <w:rPr>
          <w:rFonts w:ascii="Times New Roman" w:hAnsi="Times New Roman"/>
          <w:color w:val="000000" w:themeColor="text1"/>
          <w:sz w:val="22"/>
          <w:szCs w:val="22"/>
        </w:rPr>
        <w:t xml:space="preserve"> URL: https:/www.standardlifeinvestments.com</w:t>
      </w:r>
      <w:r w:rsidRPr="00BB06E1">
        <w:rPr>
          <w:rFonts w:ascii="Times New Roman" w:hAnsi="Times New Roman"/>
          <w:color w:val="000000" w:themeColor="text1"/>
          <w:sz w:val="22"/>
          <w:szCs w:val="22"/>
          <w:lang w:val="en-US"/>
        </w:rPr>
        <w:t>.</w:t>
      </w:r>
    </w:p>
  </w:footnote>
  <w:footnote w:id="29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w:t>
      </w:r>
    </w:p>
  </w:footnote>
  <w:footnote w:id="30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Рябиченко А.В. Междисциплинарный анализ развития пенсионной системы Швеции. </w:t>
      </w:r>
      <w:r w:rsidRPr="00BB06E1">
        <w:rPr>
          <w:rFonts w:ascii="Times New Roman" w:hAnsi="Times New Roman"/>
          <w:i/>
          <w:color w:val="000000" w:themeColor="text1"/>
          <w:sz w:val="22"/>
          <w:szCs w:val="22"/>
        </w:rPr>
        <w:t>Демоскоп Weekly</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2012. № 511</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512, 21мая – 3 июня. С. 43.</w:t>
      </w:r>
    </w:p>
  </w:footnote>
  <w:footnote w:id="30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Волков A.M. Швеция: социально-экономическая модель.М.: Мысль, 1991. С. 122.</w:t>
      </w:r>
    </w:p>
  </w:footnote>
  <w:footnote w:id="30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Kangas Olli, Lundberg Urban, Ploug Niels. Three Routes to Pension Reform: Politics and Institutions in Reforming Pensions in Denmark, Finland and Sweden. </w:t>
      </w:r>
      <w:r w:rsidRPr="00BB06E1">
        <w:rPr>
          <w:rFonts w:ascii="Times New Roman" w:hAnsi="Times New Roman"/>
          <w:i/>
          <w:color w:val="000000" w:themeColor="text1"/>
          <w:sz w:val="22"/>
          <w:szCs w:val="22"/>
        </w:rPr>
        <w:t>Social Policy &amp;Administration</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Vol. 44</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3</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June 2010. Р. 268.</w:t>
      </w:r>
    </w:p>
  </w:footnote>
  <w:footnote w:id="30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Антропов В.В. Экономические модели социальной защиты населения в государствах ЕС: автореф. диc. докт. экон. наук. М.: МГУ им. Н.В Ломоносова. 2007. С. 20.</w:t>
      </w:r>
    </w:p>
  </w:footnote>
  <w:footnote w:id="30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Антропов В.В. Экономические модели социальной защиты населения в государствах ЕС: автореф. диc. докт. экон. наук. М.: МГУ им. Н.В Ломоносова. 2007. С. 20.</w:t>
      </w:r>
    </w:p>
  </w:footnote>
  <w:footnote w:id="30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Волков A.M. Швеция: социально-экономическая модель.М.: Мысль, 1991. С. 122.</w:t>
      </w:r>
    </w:p>
  </w:footnote>
  <w:footnote w:id="30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Kangas Olli, Lundberg Urban, Ploug Niels. Three Routes to Pension Reform: Politics and Institutions in Reforming Pensions in Denmark, Finland and Sweden. Social Policy &amp;Administration. Vol. 44.№. 3. June 2010. Р. 275.</w:t>
      </w:r>
    </w:p>
  </w:footnote>
  <w:footnote w:id="30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Kangas Olli, Lundberg Urban, Ploug Niels. Three Routes to Pension Reform: Politics and Institutions in Reforming Pensions in Denmark, Finland and Sweden. Social Policy &amp;Administration. Vol. 44.№. 3. June 2010. Р. 276.</w:t>
      </w:r>
    </w:p>
  </w:footnote>
  <w:footnote w:id="30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Рябиченко А.В. Междисциплинарный анализ развития пенсионной системы Швеции. Демоскоп Weekly. 2012. № 511-512, 21мая – 3 июня. С. 43.</w:t>
      </w:r>
    </w:p>
  </w:footnote>
  <w:footnote w:id="30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 с. 43-44.</w:t>
      </w:r>
    </w:p>
  </w:footnote>
  <w:footnote w:id="31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Там само, с.44.</w:t>
      </w:r>
    </w:p>
  </w:footnote>
  <w:footnote w:id="31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Рябиченко А.В. Междисциплинарный анализ развития пенсионной системы Швеции. Демоскоп Weekly. 2012. № 511-512, 21мая – 3 июня. С. 44.</w:t>
      </w:r>
    </w:p>
  </w:footnote>
  <w:footnote w:id="31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Махмудов Х.З., Даценко В. В. Зарубіжний досвід формування пенсійного страхування в Україні. </w:t>
      </w:r>
      <w:r w:rsidRPr="00BB06E1">
        <w:rPr>
          <w:rFonts w:ascii="Times New Roman" w:hAnsi="Times New Roman"/>
          <w:i/>
          <w:color w:val="000000" w:themeColor="text1"/>
          <w:sz w:val="22"/>
          <w:szCs w:val="22"/>
        </w:rPr>
        <w:t xml:space="preserve">Вісник Дніпропетровської державної фінансової академії. </w:t>
      </w:r>
      <w:r w:rsidRPr="00BB06E1">
        <w:rPr>
          <w:rFonts w:ascii="Times New Roman" w:hAnsi="Times New Roman"/>
          <w:color w:val="000000" w:themeColor="text1"/>
          <w:sz w:val="22"/>
          <w:szCs w:val="22"/>
        </w:rPr>
        <w:t>2011. С. 34.</w:t>
      </w:r>
    </w:p>
  </w:footnote>
  <w:footnote w:id="31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Рябиченко А.В. Междисциплинарный анализ развития пенсионной системы Швеции. Демоскоп Weekly. 2012. № 511-512, 21мая – 3 июня. С. 45.</w:t>
      </w:r>
    </w:p>
  </w:footnote>
  <w:footnote w:id="314">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Кравченко М. В. Європейські підходи та механізми пенсійної реформи. </w:t>
      </w:r>
      <w:r w:rsidRPr="00BB06E1">
        <w:rPr>
          <w:rFonts w:ascii="Times New Roman" w:hAnsi="Times New Roman"/>
          <w:i/>
          <w:color w:val="000000" w:themeColor="text1"/>
          <w:sz w:val="22"/>
          <w:szCs w:val="22"/>
        </w:rPr>
        <w:t>Державне управління: удосконалення та розвиток</w:t>
      </w:r>
      <w:r w:rsidRPr="00BB06E1">
        <w:rPr>
          <w:rFonts w:ascii="Times New Roman" w:hAnsi="Times New Roman"/>
          <w:color w:val="000000" w:themeColor="text1"/>
          <w:sz w:val="22"/>
          <w:szCs w:val="22"/>
        </w:rPr>
        <w:t xml:space="preserve">. 2015. № 5.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lang w:val="ru-RU"/>
        </w:rPr>
        <w:t xml:space="preserve"> : http://www.dy.nayka.com.ua/?op=1&amp;z=849.</w:t>
      </w:r>
    </w:p>
  </w:footnote>
  <w:footnote w:id="31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Adverting the Old Age Crisis: Policies to Protect the Old and Promote Growth. World Bank Policy Research Report. Washington, D.C. 1994. URL: http://documents.worldbank.org/curated/en/</w:t>
      </w:r>
      <w:r w:rsidRPr="00BB06E1">
        <w:rPr>
          <w:rFonts w:ascii="Times New Roman" w:hAnsi="Times New Roman"/>
          <w:color w:val="000000" w:themeColor="text1"/>
          <w:sz w:val="22"/>
          <w:szCs w:val="22"/>
        </w:rPr>
        <w:br/>
        <w:t>649951468344639990/pdf/multi-page.pdf.</w:t>
      </w:r>
    </w:p>
  </w:footnote>
  <w:footnote w:id="31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Макаренко О.М. Державне управління пенсійним забезпеченням осіб похилого віку в Україні: автореф. дис. на здобуття наук. ступеня канд. наук з держ. упр. Х.</w:t>
      </w:r>
      <w:r w:rsidRPr="00BB06E1">
        <w:rPr>
          <w:rFonts w:ascii="Times New Roman" w:hAnsi="Times New Roman"/>
          <w:color w:val="000000" w:themeColor="text1"/>
          <w:sz w:val="22"/>
          <w:szCs w:val="22"/>
          <w:lang w:val="en-US"/>
        </w:rPr>
        <w:t>,</w:t>
      </w:r>
      <w:r w:rsidRPr="00BB06E1">
        <w:rPr>
          <w:rFonts w:ascii="Times New Roman" w:hAnsi="Times New Roman"/>
          <w:color w:val="000000" w:themeColor="text1"/>
          <w:sz w:val="22"/>
          <w:szCs w:val="22"/>
        </w:rPr>
        <w:t xml:space="preserve"> 2009. С. 9.</w:t>
      </w:r>
    </w:p>
  </w:footnote>
  <w:footnote w:id="31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Palmer E.</w:t>
      </w:r>
      <w:r w:rsidRPr="00BB06E1">
        <w:rPr>
          <w:rFonts w:ascii="Times New Roman" w:hAnsi="Times New Roman"/>
          <w:color w:val="000000" w:themeColor="text1"/>
          <w:sz w:val="22"/>
          <w:szCs w:val="22"/>
          <w:lang w:val="en-US"/>
        </w:rPr>
        <w:t>,</w:t>
      </w:r>
      <w:r w:rsidRPr="00BB06E1">
        <w:rPr>
          <w:rFonts w:ascii="Times New Roman" w:hAnsi="Times New Roman"/>
          <w:color w:val="000000" w:themeColor="text1"/>
          <w:sz w:val="22"/>
          <w:szCs w:val="22"/>
        </w:rPr>
        <w:t xml:space="preserve"> Holzmann </w:t>
      </w:r>
      <w:r w:rsidRPr="00BB06E1">
        <w:rPr>
          <w:rFonts w:ascii="Times New Roman" w:hAnsi="Times New Roman"/>
          <w:color w:val="000000" w:themeColor="text1"/>
          <w:sz w:val="22"/>
          <w:szCs w:val="22"/>
          <w:lang w:val="en-US"/>
        </w:rPr>
        <w:t xml:space="preserve">R. </w:t>
      </w:r>
      <w:r w:rsidRPr="00BB06E1">
        <w:rPr>
          <w:rFonts w:ascii="Times New Roman" w:hAnsi="Times New Roman"/>
          <w:color w:val="000000" w:themeColor="text1"/>
          <w:sz w:val="22"/>
          <w:szCs w:val="22"/>
        </w:rPr>
        <w:t>Pension Reform: Issues and Prospects for Non-Financial Defined Contribution (NDC) Schemes. The World Bank</w:t>
      </w:r>
      <w:r w:rsidRPr="004A3AA5">
        <w:rPr>
          <w:rFonts w:ascii="Times New Roman" w:hAnsi="Times New Roman"/>
          <w:color w:val="000000" w:themeColor="text1"/>
          <w:sz w:val="22"/>
          <w:szCs w:val="22"/>
        </w:rPr>
        <w:t xml:space="preserve">. </w:t>
      </w:r>
      <w:r w:rsidRPr="00BB06E1">
        <w:rPr>
          <w:rFonts w:ascii="Times New Roman" w:hAnsi="Times New Roman"/>
          <w:color w:val="000000" w:themeColor="text1"/>
          <w:sz w:val="22"/>
          <w:szCs w:val="22"/>
        </w:rPr>
        <w:t>Washington, D.C.</w:t>
      </w:r>
      <w:r w:rsidRPr="004A3AA5">
        <w:rPr>
          <w:rFonts w:ascii="Times New Roman" w:hAnsi="Times New Roman"/>
          <w:color w:val="000000" w:themeColor="text1"/>
          <w:sz w:val="22"/>
          <w:szCs w:val="22"/>
        </w:rPr>
        <w:t xml:space="preserve"> 2006. </w:t>
      </w:r>
      <w:r w:rsidRPr="00BB06E1">
        <w:rPr>
          <w:rFonts w:ascii="Times New Roman" w:hAnsi="Times New Roman"/>
          <w:color w:val="000000" w:themeColor="text1"/>
          <w:sz w:val="22"/>
          <w:szCs w:val="22"/>
        </w:rPr>
        <w:t>PР. 449–466.</w:t>
      </w:r>
    </w:p>
  </w:footnote>
  <w:footnote w:id="31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Мельніков С.А. Пенсійне страхування та напрями його реформування в Україні : автореф. дис. на здобуття наук. ступеня канд. економ. наук. К., 2009. С. 8.</w:t>
      </w:r>
    </w:p>
  </w:footnote>
  <w:footnote w:id="31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The 2015 Pension Adequacy Report: current and future income adequacy in old age in the EU. Volume I. –European Commission, 2015. Р.22. URL:</w:t>
      </w:r>
      <w:hyperlink r:id="rId21" w:history="1">
        <w:r w:rsidRPr="00BB06E1">
          <w:rPr>
            <w:rStyle w:val="a9"/>
            <w:rFonts w:ascii="Times New Roman" w:hAnsi="Times New Roman"/>
            <w:color w:val="000000" w:themeColor="text1"/>
            <w:sz w:val="22"/>
            <w:szCs w:val="22"/>
            <w:u w:val="none"/>
          </w:rPr>
          <w:t>http</w:t>
        </w:r>
        <w:r w:rsidRPr="00BB06E1">
          <w:rPr>
            <w:rStyle w:val="a9"/>
            <w:rFonts w:ascii="Times New Roman" w:hAnsi="Times New Roman"/>
            <w:color w:val="000000" w:themeColor="text1"/>
            <w:sz w:val="22"/>
            <w:szCs w:val="22"/>
            <w:u w:val="none"/>
            <w:lang w:val="en-US"/>
          </w:rPr>
          <w:t>s</w:t>
        </w:r>
        <w:r w:rsidRPr="00BB06E1">
          <w:rPr>
            <w:rStyle w:val="a9"/>
            <w:rFonts w:ascii="Times New Roman" w:hAnsi="Times New Roman"/>
            <w:color w:val="000000" w:themeColor="text1"/>
            <w:sz w:val="22"/>
            <w:szCs w:val="22"/>
            <w:u w:val="none"/>
          </w:rPr>
          <w:t>://ec.europa.eu/social/BlobServlet?docId</w:t>
        </w:r>
      </w:hyperlink>
      <w:r w:rsidRPr="00BB06E1">
        <w:rPr>
          <w:rFonts w:ascii="Times New Roman" w:hAnsi="Times New Roman"/>
          <w:color w:val="000000" w:themeColor="text1"/>
          <w:sz w:val="22"/>
          <w:szCs w:val="22"/>
          <w:lang w:val="en-US"/>
        </w:rPr>
        <w:br/>
      </w:r>
      <w:r w:rsidRPr="00BB06E1">
        <w:rPr>
          <w:rFonts w:ascii="Times New Roman" w:hAnsi="Times New Roman"/>
          <w:color w:val="000000" w:themeColor="text1"/>
          <w:sz w:val="22"/>
          <w:szCs w:val="22"/>
        </w:rPr>
        <w:t>=14529&amp;langId=en</w:t>
      </w:r>
      <w:r w:rsidRPr="00BB06E1">
        <w:rPr>
          <w:rFonts w:ascii="Times New Roman" w:hAnsi="Times New Roman"/>
          <w:color w:val="000000" w:themeColor="text1"/>
          <w:sz w:val="22"/>
          <w:szCs w:val="22"/>
          <w:lang w:val="en-US"/>
        </w:rPr>
        <w:t>.</w:t>
      </w:r>
    </w:p>
  </w:footnote>
  <w:footnote w:id="32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Фінансові, соціальні та правові аспекти пенсійної реформи в Україні. Світовий досвід та українські реалії / Центр Разумкова, 2017. Видавництво «Заповіт», 2017. С. 113.</w:t>
      </w:r>
    </w:p>
  </w:footnote>
  <w:footnote w:id="32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Adverting the Old Age Crisis: Policies to Protect the Old and Promote Growth. World Bank Policy Research Report. Washington, D.C. 1994. </w:t>
      </w:r>
      <w:r w:rsidRPr="00BB06E1">
        <w:rPr>
          <w:rFonts w:ascii="Times New Roman" w:hAnsi="Times New Roman"/>
          <w:color w:val="000000" w:themeColor="text1"/>
          <w:sz w:val="22"/>
          <w:szCs w:val="22"/>
          <w:lang w:val="pl-PL"/>
        </w:rPr>
        <w:t>URL:</w:t>
      </w:r>
      <w:r w:rsidRPr="00BB06E1">
        <w:rPr>
          <w:rFonts w:ascii="Times New Roman" w:hAnsi="Times New Roman"/>
          <w:color w:val="000000" w:themeColor="text1"/>
          <w:sz w:val="22"/>
          <w:szCs w:val="22"/>
        </w:rPr>
        <w:t xml:space="preserve"> http://documents.worldbank.org/curated/en/</w:t>
      </w:r>
      <w:r w:rsidRPr="00BB06E1">
        <w:rPr>
          <w:rFonts w:ascii="Times New Roman" w:hAnsi="Times New Roman"/>
          <w:color w:val="000000" w:themeColor="text1"/>
          <w:sz w:val="22"/>
          <w:szCs w:val="22"/>
        </w:rPr>
        <w:br/>
        <w:t>649951468344639990/pdf/multi-page.pdf.</w:t>
      </w:r>
    </w:p>
  </w:footnote>
  <w:footnote w:id="32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(2015). Pensions at a Glance 2015: OECD and G20 indicators, OECD Publishing, Paris. March 2016. Р. 16. URL : https://dx.doi.org/10.1787/pension_glance-2015-en.</w:t>
      </w:r>
    </w:p>
  </w:footnote>
  <w:footnote w:id="32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Фінансові, соціальні та правові аспекти пенсійної реформи в Україні. Світовий досвід та українські реалії / Центр Разумкова, 2017. Видавництво «Заповіт», 2017. С. 113, 115.</w:t>
      </w:r>
    </w:p>
  </w:footnote>
  <w:footnote w:id="32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Там само, с. 115.</w:t>
      </w:r>
    </w:p>
  </w:footnote>
  <w:footnote w:id="32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Adverting the Old Age Crisis: Policies to Protect the Old and Promote Growth. World Bank Policy Research Report. Washington, D.C. 1994. URL: http://documents.worldbank.org/curated/en/</w:t>
      </w:r>
      <w:r w:rsidRPr="00BB06E1">
        <w:rPr>
          <w:rFonts w:ascii="Times New Roman" w:hAnsi="Times New Roman"/>
          <w:color w:val="000000" w:themeColor="text1"/>
          <w:sz w:val="22"/>
          <w:szCs w:val="22"/>
        </w:rPr>
        <w:br/>
        <w:t>649951468344639990/pdf/multi-page.pdf.</w:t>
      </w:r>
    </w:p>
  </w:footnote>
  <w:footnote w:id="32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Фінансові, соціальні та правові аспекти пенсійної реформи в Україні. Світовий досвід та українські реалії / Центр Разумкова, 2017. Видавництво «Заповіт», 2017. С. 113.</w:t>
      </w:r>
    </w:p>
  </w:footnote>
  <w:footnote w:id="32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Report of the ILO at the 100th Session of the International Labour Conference(Geneva, 1–17 June 2011).  №24. Р. 2-3.</w:t>
      </w:r>
      <w:r w:rsidRPr="00BB06E1">
        <w:rPr>
          <w:rFonts w:ascii="Times New Roman" w:hAnsi="Times New Roman"/>
          <w:color w:val="000000" w:themeColor="text1"/>
          <w:sz w:val="22"/>
          <w:szCs w:val="22"/>
          <w:lang w:val="en-US"/>
        </w:rPr>
        <w:t xml:space="preserve">URL: </w:t>
      </w:r>
      <w:r w:rsidRPr="00BB06E1">
        <w:rPr>
          <w:rFonts w:ascii="Times New Roman" w:hAnsi="Times New Roman"/>
          <w:color w:val="000000" w:themeColor="text1"/>
          <w:sz w:val="22"/>
          <w:szCs w:val="22"/>
        </w:rPr>
        <w:t>http</w:t>
      </w:r>
      <w:r w:rsidRPr="00BB06E1">
        <w:rPr>
          <w:rFonts w:ascii="Times New Roman" w:hAnsi="Times New Roman"/>
          <w:color w:val="000000" w:themeColor="text1"/>
          <w:sz w:val="22"/>
          <w:szCs w:val="22"/>
          <w:lang w:val="en-US"/>
        </w:rPr>
        <w:t>s</w:t>
      </w:r>
      <w:r w:rsidRPr="00BB06E1">
        <w:rPr>
          <w:rFonts w:ascii="Times New Roman" w:hAnsi="Times New Roman"/>
          <w:color w:val="000000" w:themeColor="text1"/>
          <w:sz w:val="22"/>
          <w:szCs w:val="22"/>
        </w:rPr>
        <w:t>://www.ilo.org/ilc/ILCSessions/100thSession/lang--en/index.htm.</w:t>
      </w:r>
    </w:p>
  </w:footnote>
  <w:footnote w:id="32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European Commission. The 2015 pension adequacy Report: current and future income adequacy in old age inthe EU. Vol. 1. Luxembourg. 2015.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xml:space="preserve">: </w:t>
      </w:r>
      <w:hyperlink r:id="rId22" w:history="1">
        <w:r w:rsidRPr="00BB06E1">
          <w:rPr>
            <w:rStyle w:val="a9"/>
            <w:rFonts w:ascii="Times New Roman" w:hAnsi="Times New Roman"/>
            <w:color w:val="000000" w:themeColor="text1"/>
            <w:sz w:val="22"/>
            <w:szCs w:val="22"/>
            <w:u w:val="none"/>
          </w:rPr>
          <w:t>http://ec.europa.eu/social/BlobServlet?docId</w:t>
        </w:r>
      </w:hyperlink>
      <w:r w:rsidRPr="00BB06E1">
        <w:rPr>
          <w:rFonts w:ascii="Times New Roman" w:hAnsi="Times New Roman"/>
          <w:color w:val="000000" w:themeColor="text1"/>
          <w:sz w:val="22"/>
          <w:szCs w:val="22"/>
        </w:rPr>
        <w:br/>
        <w:t>=14529&amp;langId=en.</w:t>
      </w:r>
    </w:p>
  </w:footnote>
  <w:footnote w:id="32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Фінансові, соціальні та правові аспекти пенсійної реформи в Україні. Світовий досвід та українські реалії / Центр Разумкова, 2017. Видавництво «Заповіт», 2017. С. 115.</w:t>
      </w:r>
    </w:p>
  </w:footnote>
  <w:footnote w:id="33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European Commission. WHITE PAPER An Agenda for Adequate, Safe and Sustainable Pensions.Brussels, 16.02.2012, COM (2012) 55 fi nal. URL: http://eur-lex.europa.eu/LexUriServ/LexUriServ.</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do?uri=COM:2012:0055:FIN:EN:PDF.</w:t>
      </w:r>
    </w:p>
  </w:footnote>
  <w:footnote w:id="331">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Мальований М. Історичний розвиток системи пенсійного забезпечення в світі. </w:t>
      </w:r>
      <w:r w:rsidRPr="00BB06E1">
        <w:rPr>
          <w:rFonts w:ascii="Times New Roman" w:hAnsi="Times New Roman"/>
          <w:i/>
          <w:color w:val="000000" w:themeColor="text1"/>
          <w:sz w:val="22"/>
          <w:szCs w:val="22"/>
        </w:rPr>
        <w:t>Економіка АПК: наук.-вироб. журнал</w:t>
      </w:r>
      <w:r w:rsidRPr="00BB06E1">
        <w:rPr>
          <w:rFonts w:ascii="Times New Roman" w:hAnsi="Times New Roman"/>
          <w:color w:val="000000" w:themeColor="text1"/>
          <w:sz w:val="22"/>
          <w:szCs w:val="22"/>
        </w:rPr>
        <w:t>. К.</w:t>
      </w:r>
      <w:r w:rsidRPr="00BB06E1">
        <w:rPr>
          <w:rFonts w:ascii="Times New Roman" w:hAnsi="Times New Roman"/>
          <w:color w:val="000000" w:themeColor="text1"/>
          <w:sz w:val="22"/>
          <w:szCs w:val="22"/>
          <w:lang w:val="ru-RU"/>
        </w:rPr>
        <w:t xml:space="preserve">, </w:t>
      </w:r>
      <w:r w:rsidRPr="00BB06E1">
        <w:rPr>
          <w:rFonts w:ascii="Times New Roman" w:hAnsi="Times New Roman"/>
          <w:color w:val="000000" w:themeColor="text1"/>
          <w:sz w:val="22"/>
          <w:szCs w:val="22"/>
        </w:rPr>
        <w:t>2005. №3. С. 31–36.</w:t>
      </w:r>
    </w:p>
  </w:footnote>
  <w:footnote w:id="332">
    <w:p w:rsidR="00777771" w:rsidRPr="004A3AA5" w:rsidRDefault="00777771" w:rsidP="00BB06E1">
      <w:pPr>
        <w:pStyle w:val="a6"/>
        <w:jc w:val="both"/>
        <w:rPr>
          <w:rFonts w:ascii="Times New Roman" w:hAnsi="Times New Roman"/>
          <w:color w:val="000000" w:themeColor="text1"/>
          <w:sz w:val="22"/>
          <w:szCs w:val="22"/>
          <w:lang w:val="en-US"/>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Мальований М. Історичний розвиток системи пенсійного забезпечення в світі. </w:t>
      </w:r>
      <w:r w:rsidRPr="00BB06E1">
        <w:rPr>
          <w:rFonts w:ascii="Times New Roman" w:hAnsi="Times New Roman"/>
          <w:i/>
          <w:color w:val="000000" w:themeColor="text1"/>
          <w:sz w:val="22"/>
          <w:szCs w:val="22"/>
        </w:rPr>
        <w:t>Економіка АПК: наук.-вироб. журнал</w:t>
      </w:r>
      <w:r w:rsidRPr="00BB06E1">
        <w:rPr>
          <w:rFonts w:ascii="Times New Roman" w:hAnsi="Times New Roman"/>
          <w:color w:val="000000" w:themeColor="text1"/>
          <w:sz w:val="22"/>
          <w:szCs w:val="22"/>
        </w:rPr>
        <w:t>. К.</w:t>
      </w:r>
      <w:r w:rsidRPr="004A3AA5">
        <w:rPr>
          <w:rFonts w:ascii="Times New Roman" w:hAnsi="Times New Roman"/>
          <w:color w:val="000000" w:themeColor="text1"/>
          <w:sz w:val="22"/>
          <w:szCs w:val="22"/>
          <w:lang w:val="en-US"/>
        </w:rPr>
        <w:t xml:space="preserve">, </w:t>
      </w:r>
      <w:r w:rsidRPr="00BB06E1">
        <w:rPr>
          <w:rFonts w:ascii="Times New Roman" w:hAnsi="Times New Roman"/>
          <w:color w:val="000000" w:themeColor="text1"/>
          <w:sz w:val="22"/>
          <w:szCs w:val="22"/>
        </w:rPr>
        <w:t>2005. №3. С. 31–36.</w:t>
      </w:r>
    </w:p>
  </w:footnote>
  <w:footnote w:id="33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(2015). Pensions at a Glance 2015: OECD and G20 indicators, OECD Publishing, Paris. March 2016. URL : https://dx.doi.org/10.1787/pension_glance-2015-en.</w:t>
      </w:r>
    </w:p>
  </w:footnote>
  <w:footnote w:id="33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(2013). Pensions at a Glance 2013: OECD and G20 indicators. OECD Publishing. 2013. P. 127.</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 xml:space="preserve">URL: </w:t>
      </w:r>
      <w:hyperlink r:id="rId23" w:history="1">
        <w:r w:rsidRPr="00BB06E1">
          <w:rPr>
            <w:rStyle w:val="a9"/>
            <w:rFonts w:ascii="Times New Roman" w:hAnsi="Times New Roman"/>
            <w:color w:val="000000" w:themeColor="text1"/>
            <w:sz w:val="22"/>
            <w:szCs w:val="22"/>
            <w:u w:val="none"/>
          </w:rPr>
          <w:t>http://dx.doi.org/10.1787/pension_glance-2013-en</w:t>
        </w:r>
      </w:hyperlink>
      <w:r w:rsidRPr="00BB06E1">
        <w:rPr>
          <w:rFonts w:ascii="Times New Roman" w:hAnsi="Times New Roman"/>
          <w:color w:val="000000" w:themeColor="text1"/>
          <w:sz w:val="22"/>
          <w:szCs w:val="22"/>
        </w:rPr>
        <w:t xml:space="preserve">. </w:t>
      </w:r>
    </w:p>
  </w:footnote>
  <w:footnote w:id="33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(2015). Pensions at a Glance 2015: OECD and G20 indicators, OECD Publishing, Paris. March 2016. URL : </w:t>
      </w:r>
      <w:hyperlink r:id="rId24" w:history="1">
        <w:r w:rsidRPr="00BB06E1">
          <w:rPr>
            <w:rStyle w:val="a9"/>
            <w:rFonts w:ascii="Times New Roman" w:hAnsi="Times New Roman"/>
            <w:color w:val="000000" w:themeColor="text1"/>
            <w:sz w:val="22"/>
            <w:szCs w:val="22"/>
            <w:u w:val="none"/>
          </w:rPr>
          <w:t>https://dx.doi.org/10.1787/pension_glance-2015-en</w:t>
        </w:r>
      </w:hyperlink>
      <w:r w:rsidRPr="00BB06E1">
        <w:rPr>
          <w:rFonts w:ascii="Times New Roman" w:hAnsi="Times New Roman"/>
          <w:color w:val="000000" w:themeColor="text1"/>
          <w:sz w:val="22"/>
          <w:szCs w:val="22"/>
        </w:rPr>
        <w:t>.</w:t>
      </w:r>
    </w:p>
    <w:p w:rsidR="00777771" w:rsidRPr="00BB06E1" w:rsidRDefault="00777771" w:rsidP="00BB06E1">
      <w:pPr>
        <w:pStyle w:val="a6"/>
        <w:jc w:val="both"/>
        <w:rPr>
          <w:rFonts w:ascii="Times New Roman" w:hAnsi="Times New Roman"/>
          <w:color w:val="000000" w:themeColor="text1"/>
          <w:sz w:val="22"/>
          <w:szCs w:val="22"/>
        </w:rPr>
      </w:pPr>
    </w:p>
  </w:footnote>
  <w:footnote w:id="33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European Commission. WHITE PAPER An Agenda for Adequate, Safe and Sustainable Pensions.Brussels, 16.02.2012, COM (2012) 55 fi nal. URL: http://eur-lex.europa.eu/LexUriServ/LexUriServ.do?uri=COM:2012:0055:FIN:EN:PDF</w:t>
      </w:r>
    </w:p>
  </w:footnote>
  <w:footnote w:id="337">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Черняева Д.В. Повышение пенсионного возраста как элемент пенсионной реформы: сравнительно-</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правовой анализ // Трудовое право. 2010. № 6. С. 23–29. URL: http://center-bereg.ru/c397.html</w:t>
      </w:r>
    </w:p>
  </w:footnote>
  <w:footnote w:id="33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(2013 ). Pensions at a Glance 2013: OECD and G20 indicators. OECD Publishing. URL: http://dx.doi.org/10.1787/pension_glance-2013-en.</w:t>
      </w:r>
    </w:p>
  </w:footnote>
  <w:footnote w:id="33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(2015). Pensions at a Glance 2015: OECD and G20 indicators, OECD Publishing, Paris. March 2016. URL : https://dx.doi.org/10.1787/pension_glance-2015-en.</w:t>
      </w:r>
    </w:p>
  </w:footnote>
  <w:footnote w:id="34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European Commission. WHITE PAPER An Agenda for Adequate, Safe and Sustainable Pensions.</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Brussels, 16.02.2012, COM (2012) 55 fi nal. URL: http://eur-lex.europa.eu/LexUriServ/LexUriServ.</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do?uri=COM:2012:0055:FIN:EN:PDF</w:t>
      </w:r>
    </w:p>
  </w:footnote>
  <w:footnote w:id="34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OECD (2013), Pensions at a Glance 2013: OECD and G20 indicators, OECD Publishing. P. 127.</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URL: http://dx.doi.org/10.1787/pension_glance-2013-en.</w:t>
      </w:r>
    </w:p>
  </w:footnote>
  <w:footnote w:id="34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European Commission. WHITE PAPER An Agenda for Adequate, Safe and Sustainable Pensions. Brussels, 16.02.2012, COM (2012) 55 fi nal. URL: http://eur-lex.europa.eu/LexUriServ/LexUriServ.</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rPr>
        <w:t>do?uri=COM:2012:0055:FIN:EN:PDF</w:t>
      </w:r>
    </w:p>
  </w:footnote>
  <w:footnote w:id="343">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European Commission. White Paper «An Agenda for Adequate, Safe and Sustainable Pensions». Brussels, 16.02.2012, COM (2012). 55 (final). URL: </w:t>
      </w:r>
      <w:hyperlink r:id="rId25" w:history="1">
        <w:r w:rsidRPr="00BB06E1">
          <w:rPr>
            <w:rStyle w:val="a9"/>
            <w:rFonts w:ascii="Times New Roman" w:hAnsi="Times New Roman"/>
            <w:color w:val="000000" w:themeColor="text1"/>
            <w:sz w:val="22"/>
            <w:szCs w:val="22"/>
            <w:u w:val="none"/>
          </w:rPr>
          <w:t>http://eur-lex.europa.eu/LexUriServ/LexUriServ.do?uri</w:t>
        </w:r>
      </w:hyperlink>
      <w:r w:rsidRPr="00BB06E1">
        <w:rPr>
          <w:rFonts w:ascii="Times New Roman" w:hAnsi="Times New Roman"/>
          <w:color w:val="000000" w:themeColor="text1"/>
          <w:sz w:val="22"/>
          <w:szCs w:val="22"/>
        </w:rPr>
        <w:br/>
        <w:t>=COM:2012:0055:FIN:EN:PDF.</w:t>
      </w:r>
    </w:p>
  </w:footnote>
  <w:footnote w:id="34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Фінансові, соціальні та правові аспекти пенсійної реформи в Україні. Світовий досвід та українські реалії / Центр Разумкова, 2017. Видавництво «Заповіт», 2017. С. 114.</w:t>
      </w:r>
    </w:p>
  </w:footnote>
  <w:footnote w:id="345">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Фінансові, соціальні та правові аспекти пенсійної реформи в Україні. Світовий досвід та українські реалії / Центр Разумкова, 2017. Видавництво «Заповіт», 2017. С. 114.</w:t>
      </w:r>
    </w:p>
  </w:footnote>
  <w:footnote w:id="34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Cote R. The Countries With The Best Pension Systems In The World. December 5</w:t>
      </w:r>
      <w:r w:rsidRPr="00BB06E1">
        <w:rPr>
          <w:rFonts w:ascii="Times New Roman" w:hAnsi="Times New Roman"/>
          <w:color w:val="000000" w:themeColor="text1"/>
          <w:sz w:val="22"/>
          <w:szCs w:val="22"/>
          <w:lang w:val="en-US"/>
        </w:rPr>
        <w:t>.</w:t>
      </w:r>
      <w:r w:rsidRPr="00BB06E1">
        <w:rPr>
          <w:rFonts w:ascii="Times New Roman" w:hAnsi="Times New Roman"/>
          <w:color w:val="000000" w:themeColor="text1"/>
          <w:sz w:val="22"/>
          <w:szCs w:val="22"/>
        </w:rPr>
        <w:t xml:space="preserve"> 2013.</w:t>
      </w:r>
    </w:p>
    <w:p w:rsidR="00777771" w:rsidRPr="00BB06E1" w:rsidRDefault="00777771" w:rsidP="00BB06E1">
      <w:pPr>
        <w:pStyle w:val="a6"/>
        <w:jc w:val="both"/>
        <w:rPr>
          <w:rFonts w:ascii="Times New Roman" w:hAnsi="Times New Roman"/>
          <w:color w:val="000000" w:themeColor="text1"/>
          <w:sz w:val="22"/>
          <w:szCs w:val="22"/>
        </w:rPr>
      </w:pP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http://www.therichest.com/business/economy/the-countries-with-the-best-pension-systems-in-the-world/3/</w:t>
      </w:r>
    </w:p>
  </w:footnote>
  <w:footnote w:id="347">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Волошина А.Ю. Пенсионные системы в современном мире: основные тенденции и причины реформирования в странах в различным уровнем экономического развития. </w:t>
      </w:r>
      <w:r w:rsidRPr="00BB06E1">
        <w:rPr>
          <w:rFonts w:ascii="Times New Roman" w:hAnsi="Times New Roman"/>
          <w:i/>
          <w:color w:val="000000" w:themeColor="text1"/>
          <w:sz w:val="22"/>
          <w:szCs w:val="22"/>
        </w:rPr>
        <w:t>Научные труды Вольного экономического общества России</w:t>
      </w:r>
      <w:r w:rsidRPr="00BB06E1">
        <w:rPr>
          <w:rFonts w:ascii="Times New Roman" w:hAnsi="Times New Roman"/>
          <w:color w:val="000000" w:themeColor="text1"/>
          <w:sz w:val="22"/>
          <w:szCs w:val="22"/>
        </w:rPr>
        <w:t>. М.</w:t>
      </w:r>
      <w:r w:rsidRPr="00BB06E1">
        <w:rPr>
          <w:rFonts w:ascii="Times New Roman" w:hAnsi="Times New Roman"/>
          <w:color w:val="000000" w:themeColor="text1"/>
          <w:sz w:val="22"/>
          <w:szCs w:val="22"/>
          <w:lang w:val="ru-RU"/>
        </w:rPr>
        <w:t>,</w:t>
      </w:r>
      <w:r w:rsidRPr="00BB06E1">
        <w:rPr>
          <w:rFonts w:ascii="Times New Roman" w:hAnsi="Times New Roman"/>
          <w:color w:val="000000" w:themeColor="text1"/>
          <w:sz w:val="22"/>
          <w:szCs w:val="22"/>
        </w:rPr>
        <w:t xml:space="preserve"> 2006. Т. 72. С. 174–180.</w:t>
      </w:r>
    </w:p>
  </w:footnote>
  <w:footnote w:id="348">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Фінансові, соціальні та правові аспекти пенсійної реформи в Україні. Світовий досвід та українські реалії / Центр Разумкова, 2017. Видавництво «Заповіт», 2017. С. 114.</w:t>
      </w:r>
    </w:p>
  </w:footnote>
  <w:footnote w:id="349">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Економічний словник / За ред. Й.С. Завадського, Т.В. Осовської. К.: Кондор, 2006. С. 32.</w:t>
      </w:r>
    </w:p>
  </w:footnote>
  <w:footnote w:id="350">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Фінансові, соціальні та правові аспекти пенсійної реформи в Україні. Світовий досвід та українські реалії / Центр Разумкова, 2017. Видавництво «Заповіт», 2017. С. 114.</w:t>
      </w:r>
    </w:p>
    <w:p w:rsidR="00777771" w:rsidRPr="00BB06E1" w:rsidRDefault="00777771" w:rsidP="00BB06E1">
      <w:pPr>
        <w:pStyle w:val="a6"/>
        <w:jc w:val="both"/>
        <w:rPr>
          <w:rFonts w:ascii="Times New Roman" w:hAnsi="Times New Roman"/>
          <w:color w:val="000000" w:themeColor="text1"/>
          <w:sz w:val="22"/>
          <w:szCs w:val="22"/>
        </w:rPr>
      </w:pPr>
    </w:p>
  </w:footnote>
  <w:footnote w:id="351">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Антропов В.В. Экономические модели социальной защиты населения в государствах ЕС: автореф. диc. докт. экон. наук. М.: МГУ им. Н.В Ломоносова. 2007. С. 18.</w:t>
      </w:r>
    </w:p>
  </w:footnote>
  <w:footnote w:id="352">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Основные предпосылки и тенденции реформирования пенсионных систем в современных условиях</w:t>
      </w:r>
      <w:r w:rsidRPr="00BB06E1">
        <w:rPr>
          <w:rFonts w:ascii="Times New Roman" w:hAnsi="Times New Roman"/>
          <w:color w:val="000000" w:themeColor="text1"/>
          <w:sz w:val="22"/>
          <w:szCs w:val="22"/>
          <w:lang w:val="ru-RU"/>
        </w:rPr>
        <w:t xml:space="preserve">. </w:t>
      </w:r>
      <w:r w:rsidRPr="00BB06E1">
        <w:rPr>
          <w:rFonts w:ascii="Times New Roman" w:hAnsi="Times New Roman"/>
          <w:i/>
          <w:color w:val="000000" w:themeColor="text1"/>
          <w:sz w:val="22"/>
          <w:szCs w:val="22"/>
        </w:rPr>
        <w:t>Вестник Приднестровского республиканского банка</w:t>
      </w:r>
      <w:r w:rsidRPr="00BB06E1">
        <w:rPr>
          <w:rFonts w:ascii="Times New Roman" w:hAnsi="Times New Roman"/>
          <w:color w:val="000000" w:themeColor="text1"/>
          <w:sz w:val="22"/>
          <w:szCs w:val="22"/>
        </w:rPr>
        <w:t>. 2013. № 9. С. 31.</w:t>
      </w:r>
    </w:p>
  </w:footnote>
  <w:footnote w:id="353">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lang w:val="ru-RU"/>
        </w:rPr>
        <w:t xml:space="preserve">Стрепетова А. Д. Институционализация современной пенсионной системы в Российской Федерации: дисс. канд. социолог. наук. Ростов-на-Дону, 2016. С. 75-76. </w:t>
      </w:r>
    </w:p>
  </w:footnote>
  <w:footnote w:id="354">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Рафикова Р.Р. Зарубежный опыт негосударственного пенсионного страхования</w:t>
      </w:r>
      <w:r w:rsidRPr="00BB06E1">
        <w:rPr>
          <w:rFonts w:ascii="Times New Roman" w:hAnsi="Times New Roman"/>
          <w:color w:val="000000" w:themeColor="text1"/>
          <w:sz w:val="22"/>
          <w:szCs w:val="22"/>
          <w:lang w:val="ru-RU"/>
        </w:rPr>
        <w:t>.</w:t>
      </w:r>
      <w:r w:rsidRPr="00BB06E1">
        <w:rPr>
          <w:rFonts w:ascii="Times New Roman" w:hAnsi="Times New Roman"/>
          <w:i/>
          <w:color w:val="000000" w:themeColor="text1"/>
          <w:sz w:val="22"/>
          <w:szCs w:val="22"/>
        </w:rPr>
        <w:t>Вестник Волжского университета им. В.Н. Татищева</w:t>
      </w:r>
      <w:r w:rsidRPr="00BB06E1">
        <w:rPr>
          <w:rFonts w:ascii="Times New Roman" w:hAnsi="Times New Roman"/>
          <w:color w:val="000000" w:themeColor="text1"/>
          <w:sz w:val="22"/>
          <w:szCs w:val="22"/>
        </w:rPr>
        <w:t>. 2011. №. № 75. С. 8.</w:t>
      </w:r>
    </w:p>
  </w:footnote>
  <w:footnote w:id="355">
    <w:p w:rsidR="00777771" w:rsidRPr="004A3AA5"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Xiaohong Huang. An Analysis of Occupational Pension Provision: From Evaluation to Redesign. The Netherlands, 2010. Р. 16.</w:t>
      </w:r>
    </w:p>
  </w:footnote>
  <w:footnote w:id="356">
    <w:p w:rsidR="00777771" w:rsidRPr="00BB06E1" w:rsidRDefault="00777771" w:rsidP="00BB06E1">
      <w:pPr>
        <w:pStyle w:val="a6"/>
        <w:jc w:val="both"/>
        <w:rPr>
          <w:rFonts w:ascii="Times New Roman" w:hAnsi="Times New Roman"/>
          <w:color w:val="000000" w:themeColor="text1"/>
          <w:sz w:val="22"/>
          <w:szCs w:val="22"/>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Рудик В. Розвиток системи пенсійного забезпечення в західноєвропейських країнах</w:t>
      </w:r>
      <w:r w:rsidRPr="00BB06E1">
        <w:rPr>
          <w:rFonts w:ascii="Times New Roman" w:hAnsi="Times New Roman"/>
          <w:color w:val="000000" w:themeColor="text1"/>
          <w:sz w:val="22"/>
          <w:szCs w:val="22"/>
          <w:lang w:val="ru-RU"/>
        </w:rPr>
        <w:t xml:space="preserve">. </w:t>
      </w:r>
      <w:r w:rsidRPr="00BB06E1">
        <w:rPr>
          <w:rFonts w:ascii="Times New Roman" w:hAnsi="Times New Roman"/>
          <w:i/>
          <w:color w:val="000000" w:themeColor="text1"/>
          <w:sz w:val="22"/>
          <w:szCs w:val="22"/>
        </w:rPr>
        <w:t>Економіка України</w:t>
      </w:r>
      <w:r w:rsidRPr="00BB06E1">
        <w:rPr>
          <w:rFonts w:ascii="Times New Roman" w:hAnsi="Times New Roman"/>
          <w:color w:val="000000" w:themeColor="text1"/>
          <w:sz w:val="22"/>
          <w:szCs w:val="22"/>
        </w:rPr>
        <w:t>. 2012. № 10. С. 73.</w:t>
      </w:r>
    </w:p>
  </w:footnote>
  <w:footnote w:id="357">
    <w:p w:rsidR="00777771" w:rsidRPr="00BB06E1" w:rsidRDefault="00777771" w:rsidP="00BB06E1">
      <w:pPr>
        <w:pStyle w:val="a6"/>
        <w:jc w:val="both"/>
        <w:rPr>
          <w:rFonts w:ascii="Times New Roman" w:hAnsi="Times New Roman"/>
          <w:color w:val="000000" w:themeColor="text1"/>
          <w:sz w:val="22"/>
          <w:szCs w:val="22"/>
          <w:lang w:val="ru-RU"/>
        </w:rPr>
      </w:pPr>
      <w:r w:rsidRPr="00BB06E1">
        <w:rPr>
          <w:rStyle w:val="a8"/>
          <w:rFonts w:ascii="Times New Roman" w:hAnsi="Times New Roman"/>
          <w:color w:val="000000" w:themeColor="text1"/>
          <w:sz w:val="22"/>
          <w:szCs w:val="22"/>
        </w:rPr>
        <w:footnoteRef/>
      </w:r>
      <w:r w:rsidRPr="00BB06E1">
        <w:rPr>
          <w:rFonts w:ascii="Times New Roman" w:hAnsi="Times New Roman"/>
          <w:color w:val="000000" w:themeColor="text1"/>
          <w:sz w:val="22"/>
          <w:szCs w:val="22"/>
        </w:rPr>
        <w:t xml:space="preserve"> Пенсійна реформа в Україні: дослідження суспільної думки. USAID. Проект розвитку ринку капіталів, липень 2010 р. </w:t>
      </w:r>
      <w:r w:rsidRPr="00BB06E1">
        <w:rPr>
          <w:rFonts w:ascii="Times New Roman" w:hAnsi="Times New Roman"/>
          <w:color w:val="000000" w:themeColor="text1"/>
          <w:sz w:val="22"/>
          <w:szCs w:val="22"/>
          <w:lang w:val="en-US"/>
        </w:rPr>
        <w:t>URL</w:t>
      </w:r>
      <w:r w:rsidRPr="00BB06E1">
        <w:rPr>
          <w:rFonts w:ascii="Times New Roman" w:hAnsi="Times New Roman"/>
          <w:color w:val="000000" w:themeColor="text1"/>
          <w:sz w:val="22"/>
          <w:szCs w:val="22"/>
        </w:rPr>
        <w:t>: http://www.uaib.com.ua/files/artcles/1277/86_4pdf</w:t>
      </w:r>
      <w:r w:rsidRPr="00BB06E1">
        <w:rPr>
          <w:rFonts w:ascii="Times New Roman" w:hAnsi="Times New Roman"/>
          <w:color w:val="000000" w:themeColor="text1"/>
          <w:sz w:val="22"/>
          <w:szCs w:val="22"/>
          <w:lang w:val="ru-RU"/>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7771" w:rsidRDefault="00777771">
    <w:pPr>
      <w:pStyle w:val="aa"/>
      <w:jc w:val="right"/>
    </w:pPr>
    <w:fldSimple w:instr="PAGE   \* MERGEFORMAT">
      <w:r w:rsidR="00C51A4F" w:rsidRPr="00C51A4F">
        <w:rPr>
          <w:noProof/>
          <w:lang w:val="ru-RU"/>
        </w:rPr>
        <w:t>2</w:t>
      </w:r>
    </w:fldSimple>
  </w:p>
  <w:p w:rsidR="00777771" w:rsidRDefault="00777771">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475B"/>
    <w:multiLevelType w:val="hybridMultilevel"/>
    <w:tmpl w:val="F4029EA6"/>
    <w:lvl w:ilvl="0" w:tplc="F4E23DDC">
      <w:start w:val="1"/>
      <w:numFmt w:val="decimal"/>
      <w:lvlText w:val="%1."/>
      <w:lvlJc w:val="left"/>
      <w:pPr>
        <w:ind w:left="1353"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8E0B05"/>
    <w:multiLevelType w:val="hybridMultilevel"/>
    <w:tmpl w:val="CB4002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D470F06"/>
    <w:multiLevelType w:val="hybridMultilevel"/>
    <w:tmpl w:val="0E74E48E"/>
    <w:lvl w:ilvl="0" w:tplc="350C843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FE14BE3"/>
    <w:multiLevelType w:val="hybridMultilevel"/>
    <w:tmpl w:val="79B474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2087331"/>
    <w:multiLevelType w:val="hybridMultilevel"/>
    <w:tmpl w:val="12AE006C"/>
    <w:lvl w:ilvl="0" w:tplc="9ABA45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21905C0"/>
    <w:multiLevelType w:val="hybridMultilevel"/>
    <w:tmpl w:val="95847B0E"/>
    <w:lvl w:ilvl="0" w:tplc="6DE8DEE6">
      <w:start w:val="1"/>
      <w:numFmt w:val="bullet"/>
      <w:lvlText w:val="–"/>
      <w:lvlJc w:val="left"/>
      <w:pPr>
        <w:ind w:left="1429" w:hanging="360"/>
      </w:pPr>
      <w:rPr>
        <w:rFonts w:ascii="Times New Roman" w:hAnsi="Times New Roman" w:cs="Times New Roman" w:hint="default"/>
        <w:i w:val="0"/>
      </w:rPr>
    </w:lvl>
    <w:lvl w:ilvl="1" w:tplc="6DE8DEE6">
      <w:start w:val="1"/>
      <w:numFmt w:val="bullet"/>
      <w:lvlText w:val="–"/>
      <w:lvlJc w:val="left"/>
      <w:pPr>
        <w:ind w:left="2659" w:hanging="870"/>
      </w:pPr>
      <w:rPr>
        <w:rFonts w:ascii="Times New Roman" w:hAnsi="Times New Roman" w:cs="Times New Roman" w:hint="default"/>
        <w:i w:val="0"/>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23B25C3"/>
    <w:multiLevelType w:val="hybridMultilevel"/>
    <w:tmpl w:val="076E41D4"/>
    <w:lvl w:ilvl="0" w:tplc="E9D2D6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147913EA"/>
    <w:multiLevelType w:val="hybridMultilevel"/>
    <w:tmpl w:val="48FAFB88"/>
    <w:lvl w:ilvl="0" w:tplc="9D0EA6D6">
      <w:start w:val="1"/>
      <w:numFmt w:val="decimal"/>
      <w:lvlText w:val="%1."/>
      <w:lvlJc w:val="left"/>
      <w:pPr>
        <w:ind w:left="1778" w:hanging="360"/>
      </w:pPr>
      <w:rPr>
        <w:rFonts w:hint="default"/>
      </w:rPr>
    </w:lvl>
    <w:lvl w:ilvl="1" w:tplc="4A586702">
      <w:numFmt w:val="bullet"/>
      <w:lvlText w:val="–"/>
      <w:lvlJc w:val="left"/>
      <w:pPr>
        <w:ind w:left="2719" w:hanging="930"/>
      </w:pPr>
      <w:rPr>
        <w:rFonts w:ascii="Times New Roman" w:eastAsia="Calibri" w:hAnsi="Times New Roman" w:cs="Times New Roman"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151A3056"/>
    <w:multiLevelType w:val="hybridMultilevel"/>
    <w:tmpl w:val="FE4AE7D0"/>
    <w:lvl w:ilvl="0" w:tplc="6DE8DEE6">
      <w:start w:val="1"/>
      <w:numFmt w:val="bullet"/>
      <w:lvlText w:val="–"/>
      <w:lvlJc w:val="left"/>
      <w:pPr>
        <w:ind w:left="720" w:hanging="360"/>
      </w:pPr>
      <w:rPr>
        <w:rFonts w:ascii="Times New Roman" w:hAnsi="Times New Roman" w:cs="Times New Roman" w:hint="default"/>
        <w:i w:val="0"/>
      </w:rPr>
    </w:lvl>
    <w:lvl w:ilvl="1" w:tplc="6DE8DEE6">
      <w:start w:val="1"/>
      <w:numFmt w:val="bullet"/>
      <w:lvlText w:val="–"/>
      <w:lvlJc w:val="left"/>
      <w:pPr>
        <w:ind w:left="1440" w:hanging="360"/>
      </w:pPr>
      <w:rPr>
        <w:rFonts w:ascii="Times New Roman" w:hAnsi="Times New Roman" w:cs="Times New Roman" w:hint="default"/>
        <w:i w:val="0"/>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5E63AF5"/>
    <w:multiLevelType w:val="hybridMultilevel"/>
    <w:tmpl w:val="D19A9AB6"/>
    <w:lvl w:ilvl="0" w:tplc="CA3846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19952886"/>
    <w:multiLevelType w:val="hybridMultilevel"/>
    <w:tmpl w:val="F4029EA6"/>
    <w:lvl w:ilvl="0" w:tplc="F4E23DDC">
      <w:start w:val="1"/>
      <w:numFmt w:val="decimal"/>
      <w:lvlText w:val="%1."/>
      <w:lvlJc w:val="left"/>
      <w:pPr>
        <w:ind w:left="1353"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B8A3E57"/>
    <w:multiLevelType w:val="hybridMultilevel"/>
    <w:tmpl w:val="79B474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1EDB6913"/>
    <w:multiLevelType w:val="hybridMultilevel"/>
    <w:tmpl w:val="F4029EA6"/>
    <w:lvl w:ilvl="0" w:tplc="F4E23DDC">
      <w:start w:val="1"/>
      <w:numFmt w:val="decimal"/>
      <w:lvlText w:val="%1."/>
      <w:lvlJc w:val="left"/>
      <w:pPr>
        <w:ind w:left="1211"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2990062"/>
    <w:multiLevelType w:val="hybridMultilevel"/>
    <w:tmpl w:val="CB4002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324671F"/>
    <w:multiLevelType w:val="hybridMultilevel"/>
    <w:tmpl w:val="CB4002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784366D"/>
    <w:multiLevelType w:val="multilevel"/>
    <w:tmpl w:val="E9E81912"/>
    <w:styleLink w:val="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28034442"/>
    <w:multiLevelType w:val="hybridMultilevel"/>
    <w:tmpl w:val="79B474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8F87D42"/>
    <w:multiLevelType w:val="hybridMultilevel"/>
    <w:tmpl w:val="62664E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2A4B481E"/>
    <w:multiLevelType w:val="hybridMultilevel"/>
    <w:tmpl w:val="D4DC9142"/>
    <w:lvl w:ilvl="0" w:tplc="6DE8DEE6">
      <w:start w:val="1"/>
      <w:numFmt w:val="bullet"/>
      <w:lvlText w:val="–"/>
      <w:lvlJc w:val="left"/>
      <w:pPr>
        <w:ind w:left="1069" w:hanging="360"/>
      </w:pPr>
      <w:rPr>
        <w:rFonts w:ascii="Times New Roman" w:hAnsi="Times New Roman" w:cs="Times New Roman" w:hint="default"/>
        <w:i w:val="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2ED022D2"/>
    <w:multiLevelType w:val="hybridMultilevel"/>
    <w:tmpl w:val="96EEBBD8"/>
    <w:lvl w:ilvl="0" w:tplc="C374D0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2EF47C57"/>
    <w:multiLevelType w:val="hybridMultilevel"/>
    <w:tmpl w:val="F6E662F2"/>
    <w:lvl w:ilvl="0" w:tplc="47E6C4EA">
      <w:start w:val="7"/>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nsid w:val="31AB1942"/>
    <w:multiLevelType w:val="multilevel"/>
    <w:tmpl w:val="A260E956"/>
    <w:styleLink w:val="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3050E87"/>
    <w:multiLevelType w:val="hybridMultilevel"/>
    <w:tmpl w:val="1024893C"/>
    <w:lvl w:ilvl="0" w:tplc="9D0EA6D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37211D76"/>
    <w:multiLevelType w:val="hybridMultilevel"/>
    <w:tmpl w:val="B86EDD62"/>
    <w:lvl w:ilvl="0" w:tplc="4A586702">
      <w:numFmt w:val="bullet"/>
      <w:lvlText w:val="–"/>
      <w:lvlJc w:val="left"/>
      <w:pPr>
        <w:ind w:left="720"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7FD3192"/>
    <w:multiLevelType w:val="hybridMultilevel"/>
    <w:tmpl w:val="F4029EA6"/>
    <w:lvl w:ilvl="0" w:tplc="F4E23DDC">
      <w:start w:val="1"/>
      <w:numFmt w:val="decimal"/>
      <w:lvlText w:val="%1."/>
      <w:lvlJc w:val="left"/>
      <w:pPr>
        <w:ind w:left="1353"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3EFB6986"/>
    <w:multiLevelType w:val="hybridMultilevel"/>
    <w:tmpl w:val="28EA2346"/>
    <w:lvl w:ilvl="0" w:tplc="1CA43B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4C9234CB"/>
    <w:multiLevelType w:val="hybridMultilevel"/>
    <w:tmpl w:val="1098DA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E112E74"/>
    <w:multiLevelType w:val="hybridMultilevel"/>
    <w:tmpl w:val="767285D6"/>
    <w:lvl w:ilvl="0" w:tplc="12EAFAF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8395CE4"/>
    <w:multiLevelType w:val="multilevel"/>
    <w:tmpl w:val="A260E956"/>
    <w:numStyleLink w:val="2"/>
  </w:abstractNum>
  <w:abstractNum w:abstractNumId="29">
    <w:nsid w:val="5CF86EFD"/>
    <w:multiLevelType w:val="hybridMultilevel"/>
    <w:tmpl w:val="41EECFA6"/>
    <w:lvl w:ilvl="0" w:tplc="4A58670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D566F6F"/>
    <w:multiLevelType w:val="hybridMultilevel"/>
    <w:tmpl w:val="D5582D44"/>
    <w:lvl w:ilvl="0" w:tplc="EEDACEF2">
      <w:start w:val="1"/>
      <w:numFmt w:val="decimal"/>
      <w:lvlText w:val="%1)"/>
      <w:lvlJc w:val="left"/>
      <w:pPr>
        <w:ind w:left="1440" w:hanging="360"/>
      </w:pPr>
      <w:rPr>
        <w:rFonts w:hint="default"/>
        <w:i w:val="0"/>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1">
    <w:nsid w:val="5FB155BB"/>
    <w:multiLevelType w:val="hybridMultilevel"/>
    <w:tmpl w:val="4B5C9A00"/>
    <w:lvl w:ilvl="0" w:tplc="98D4A7F0">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60206635"/>
    <w:multiLevelType w:val="hybridMultilevel"/>
    <w:tmpl w:val="391E93DA"/>
    <w:lvl w:ilvl="0" w:tplc="373A3B2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60B54CA0"/>
    <w:multiLevelType w:val="hybridMultilevel"/>
    <w:tmpl w:val="BB7E67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670E6359"/>
    <w:multiLevelType w:val="hybridMultilevel"/>
    <w:tmpl w:val="1F14A054"/>
    <w:lvl w:ilvl="0" w:tplc="6DE8DEE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722F4CFC"/>
    <w:multiLevelType w:val="hybridMultilevel"/>
    <w:tmpl w:val="CB4002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26264E0"/>
    <w:multiLevelType w:val="hybridMultilevel"/>
    <w:tmpl w:val="4432ACBE"/>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7">
    <w:nsid w:val="72811DC1"/>
    <w:multiLevelType w:val="hybridMultilevel"/>
    <w:tmpl w:val="670CBAD4"/>
    <w:lvl w:ilvl="0" w:tplc="E18E9EEE">
      <w:numFmt w:val="bullet"/>
      <w:lvlText w:val="–"/>
      <w:lvlJc w:val="left"/>
      <w:pPr>
        <w:ind w:left="720" w:hanging="360"/>
      </w:pPr>
      <w:rPr>
        <w:rFonts w:ascii="Times New Roman" w:eastAsia="Calibri"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79EF1C22"/>
    <w:multiLevelType w:val="hybridMultilevel"/>
    <w:tmpl w:val="71B83DE4"/>
    <w:lvl w:ilvl="0" w:tplc="047C5ADE">
      <w:start w:val="1"/>
      <w:numFmt w:val="bullet"/>
      <w:lvlText w:val="-"/>
      <w:lvlJc w:val="left"/>
      <w:pPr>
        <w:ind w:left="1069" w:hanging="360"/>
      </w:pPr>
      <w:rPr>
        <w:rFonts w:ascii="Times New Roman" w:eastAsia="Calibri" w:hAnsi="Times New Roman" w:cs="Times New Roman" w:hint="default"/>
        <w:color w:val="5B9BD5"/>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9">
    <w:nsid w:val="7A5A148C"/>
    <w:multiLevelType w:val="hybridMultilevel"/>
    <w:tmpl w:val="5498BD2A"/>
    <w:lvl w:ilvl="0" w:tplc="FB1607AA">
      <w:start w:val="7"/>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0">
    <w:nsid w:val="7AC0718F"/>
    <w:multiLevelType w:val="hybridMultilevel"/>
    <w:tmpl w:val="B2B20170"/>
    <w:lvl w:ilvl="0" w:tplc="99CA7518">
      <w:start w:val="3"/>
      <w:numFmt w:val="bullet"/>
      <w:lvlText w:val="-"/>
      <w:lvlJc w:val="left"/>
      <w:pPr>
        <w:ind w:left="1069" w:hanging="360"/>
      </w:pPr>
      <w:rPr>
        <w:rFonts w:ascii="Times New Roman" w:eastAsia="Calibri" w:hAnsi="Times New Roman" w:cs="Times New Roman" w:hint="default"/>
        <w:i w:val="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1">
    <w:nsid w:val="7BE55318"/>
    <w:multiLevelType w:val="hybridMultilevel"/>
    <w:tmpl w:val="8CB2F1B2"/>
    <w:lvl w:ilvl="0" w:tplc="6DE8DEE6">
      <w:start w:val="1"/>
      <w:numFmt w:val="bullet"/>
      <w:lvlText w:val="–"/>
      <w:lvlJc w:val="left"/>
      <w:pPr>
        <w:ind w:left="1429" w:hanging="360"/>
      </w:pPr>
      <w:rPr>
        <w:rFonts w:ascii="Times New Roman" w:hAnsi="Times New Roman" w:cs="Times New Roman" w:hint="default"/>
        <w:i w:val="0"/>
      </w:rPr>
    </w:lvl>
    <w:lvl w:ilvl="1" w:tplc="EB9A342C">
      <w:start w:val="2"/>
      <w:numFmt w:val="bullet"/>
      <w:lvlText w:val="-"/>
      <w:lvlJc w:val="left"/>
      <w:pPr>
        <w:ind w:left="2659" w:hanging="87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7D3A609E"/>
    <w:multiLevelType w:val="hybridMultilevel"/>
    <w:tmpl w:val="A164E32E"/>
    <w:lvl w:ilvl="0" w:tplc="0422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EE900EF"/>
    <w:multiLevelType w:val="hybridMultilevel"/>
    <w:tmpl w:val="A852C3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2"/>
  </w:num>
  <w:num w:numId="2">
    <w:abstractNumId w:val="40"/>
  </w:num>
  <w:num w:numId="3">
    <w:abstractNumId w:val="6"/>
  </w:num>
  <w:num w:numId="4">
    <w:abstractNumId w:val="36"/>
  </w:num>
  <w:num w:numId="5">
    <w:abstractNumId w:val="17"/>
  </w:num>
  <w:num w:numId="6">
    <w:abstractNumId w:val="30"/>
  </w:num>
  <w:num w:numId="7">
    <w:abstractNumId w:val="18"/>
  </w:num>
  <w:num w:numId="8">
    <w:abstractNumId w:val="34"/>
  </w:num>
  <w:num w:numId="9">
    <w:abstractNumId w:val="2"/>
  </w:num>
  <w:num w:numId="10">
    <w:abstractNumId w:val="26"/>
  </w:num>
  <w:num w:numId="11">
    <w:abstractNumId w:val="15"/>
  </w:num>
  <w:num w:numId="12">
    <w:abstractNumId w:val="28"/>
  </w:num>
  <w:num w:numId="13">
    <w:abstractNumId w:val="21"/>
  </w:num>
  <w:num w:numId="14">
    <w:abstractNumId w:val="25"/>
  </w:num>
  <w:num w:numId="15">
    <w:abstractNumId w:val="19"/>
  </w:num>
  <w:num w:numId="16">
    <w:abstractNumId w:val="8"/>
  </w:num>
  <w:num w:numId="17">
    <w:abstractNumId w:val="41"/>
  </w:num>
  <w:num w:numId="18">
    <w:abstractNumId w:val="5"/>
  </w:num>
  <w:num w:numId="19">
    <w:abstractNumId w:val="12"/>
  </w:num>
  <w:num w:numId="20">
    <w:abstractNumId w:val="22"/>
  </w:num>
  <w:num w:numId="21">
    <w:abstractNumId w:val="39"/>
  </w:num>
  <w:num w:numId="22">
    <w:abstractNumId w:val="20"/>
  </w:num>
  <w:num w:numId="23">
    <w:abstractNumId w:val="7"/>
  </w:num>
  <w:num w:numId="24">
    <w:abstractNumId w:val="23"/>
  </w:num>
  <w:num w:numId="25">
    <w:abstractNumId w:val="29"/>
  </w:num>
  <w:num w:numId="26">
    <w:abstractNumId w:val="37"/>
  </w:num>
  <w:num w:numId="27">
    <w:abstractNumId w:val="0"/>
  </w:num>
  <w:num w:numId="28">
    <w:abstractNumId w:val="24"/>
  </w:num>
  <w:num w:numId="29">
    <w:abstractNumId w:val="10"/>
  </w:num>
  <w:num w:numId="30">
    <w:abstractNumId w:val="11"/>
  </w:num>
  <w:num w:numId="31">
    <w:abstractNumId w:val="16"/>
  </w:num>
  <w:num w:numId="32">
    <w:abstractNumId w:val="3"/>
  </w:num>
  <w:num w:numId="33">
    <w:abstractNumId w:val="14"/>
  </w:num>
  <w:num w:numId="34">
    <w:abstractNumId w:val="13"/>
  </w:num>
  <w:num w:numId="35">
    <w:abstractNumId w:val="1"/>
  </w:num>
  <w:num w:numId="36">
    <w:abstractNumId w:val="35"/>
  </w:num>
  <w:num w:numId="37">
    <w:abstractNumId w:val="31"/>
  </w:num>
  <w:num w:numId="38">
    <w:abstractNumId w:val="27"/>
  </w:num>
  <w:num w:numId="39">
    <w:abstractNumId w:val="4"/>
  </w:num>
  <w:num w:numId="40">
    <w:abstractNumId w:val="38"/>
  </w:num>
  <w:num w:numId="41">
    <w:abstractNumId w:val="9"/>
  </w:num>
  <w:num w:numId="42">
    <w:abstractNumId w:val="43"/>
  </w:num>
  <w:num w:numId="43">
    <w:abstractNumId w:val="33"/>
  </w:num>
  <w:num w:numId="44">
    <w:abstractNumId w:val="3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0"/>
    <w:footnote w:id="1"/>
  </w:footnotePr>
  <w:endnotePr>
    <w:endnote w:id="0"/>
    <w:endnote w:id="1"/>
  </w:endnotePr>
  <w:compat/>
  <w:rsids>
    <w:rsidRoot w:val="0074212A"/>
    <w:rsid w:val="000010FB"/>
    <w:rsid w:val="00002BBE"/>
    <w:rsid w:val="000030F6"/>
    <w:rsid w:val="000036A6"/>
    <w:rsid w:val="00003FA4"/>
    <w:rsid w:val="00005CFA"/>
    <w:rsid w:val="00006FD0"/>
    <w:rsid w:val="000119C6"/>
    <w:rsid w:val="000147A4"/>
    <w:rsid w:val="00014E38"/>
    <w:rsid w:val="000154D9"/>
    <w:rsid w:val="0001565E"/>
    <w:rsid w:val="00015F58"/>
    <w:rsid w:val="000172A8"/>
    <w:rsid w:val="00020554"/>
    <w:rsid w:val="00022D28"/>
    <w:rsid w:val="00022DFC"/>
    <w:rsid w:val="00023AD8"/>
    <w:rsid w:val="0002618C"/>
    <w:rsid w:val="00027670"/>
    <w:rsid w:val="000300F4"/>
    <w:rsid w:val="00030B0D"/>
    <w:rsid w:val="000318B6"/>
    <w:rsid w:val="00034794"/>
    <w:rsid w:val="00034FF5"/>
    <w:rsid w:val="00035160"/>
    <w:rsid w:val="000367FE"/>
    <w:rsid w:val="00036ECC"/>
    <w:rsid w:val="00036ED8"/>
    <w:rsid w:val="00037F4A"/>
    <w:rsid w:val="00044C94"/>
    <w:rsid w:val="00044D45"/>
    <w:rsid w:val="00046F7D"/>
    <w:rsid w:val="00047693"/>
    <w:rsid w:val="00054363"/>
    <w:rsid w:val="00055118"/>
    <w:rsid w:val="0005591B"/>
    <w:rsid w:val="00055FCE"/>
    <w:rsid w:val="00056998"/>
    <w:rsid w:val="0005701F"/>
    <w:rsid w:val="00057421"/>
    <w:rsid w:val="0005799F"/>
    <w:rsid w:val="0006151A"/>
    <w:rsid w:val="0006174D"/>
    <w:rsid w:val="00061C28"/>
    <w:rsid w:val="000624CC"/>
    <w:rsid w:val="0006473C"/>
    <w:rsid w:val="00070B0A"/>
    <w:rsid w:val="0007102C"/>
    <w:rsid w:val="000719FD"/>
    <w:rsid w:val="00071F5F"/>
    <w:rsid w:val="00074F87"/>
    <w:rsid w:val="00075580"/>
    <w:rsid w:val="00077231"/>
    <w:rsid w:val="00077B30"/>
    <w:rsid w:val="000871CE"/>
    <w:rsid w:val="0008798B"/>
    <w:rsid w:val="000901E4"/>
    <w:rsid w:val="00091360"/>
    <w:rsid w:val="0009280F"/>
    <w:rsid w:val="00093244"/>
    <w:rsid w:val="000932A9"/>
    <w:rsid w:val="000942E0"/>
    <w:rsid w:val="000956F5"/>
    <w:rsid w:val="000966A1"/>
    <w:rsid w:val="00096EE3"/>
    <w:rsid w:val="000979AA"/>
    <w:rsid w:val="000A2FA6"/>
    <w:rsid w:val="000A3436"/>
    <w:rsid w:val="000A543E"/>
    <w:rsid w:val="000A7074"/>
    <w:rsid w:val="000A7910"/>
    <w:rsid w:val="000B1B2B"/>
    <w:rsid w:val="000B3666"/>
    <w:rsid w:val="000B52B1"/>
    <w:rsid w:val="000C118C"/>
    <w:rsid w:val="000C2AB9"/>
    <w:rsid w:val="000C42F1"/>
    <w:rsid w:val="000C5852"/>
    <w:rsid w:val="000C6269"/>
    <w:rsid w:val="000C7492"/>
    <w:rsid w:val="000C7E75"/>
    <w:rsid w:val="000D03AB"/>
    <w:rsid w:val="000D2188"/>
    <w:rsid w:val="000D525A"/>
    <w:rsid w:val="000D6066"/>
    <w:rsid w:val="000E28FB"/>
    <w:rsid w:val="000E323C"/>
    <w:rsid w:val="000E38D3"/>
    <w:rsid w:val="000E3BF9"/>
    <w:rsid w:val="000E474A"/>
    <w:rsid w:val="000E503F"/>
    <w:rsid w:val="000E508A"/>
    <w:rsid w:val="000E6E9A"/>
    <w:rsid w:val="000F05FB"/>
    <w:rsid w:val="000F0FE8"/>
    <w:rsid w:val="000F19CA"/>
    <w:rsid w:val="000F1F7A"/>
    <w:rsid w:val="000F2148"/>
    <w:rsid w:val="000F2D06"/>
    <w:rsid w:val="000F3905"/>
    <w:rsid w:val="000F65C3"/>
    <w:rsid w:val="000F6BE5"/>
    <w:rsid w:val="001002C6"/>
    <w:rsid w:val="00101415"/>
    <w:rsid w:val="00101552"/>
    <w:rsid w:val="00101F9C"/>
    <w:rsid w:val="001032C3"/>
    <w:rsid w:val="00103A00"/>
    <w:rsid w:val="0010414B"/>
    <w:rsid w:val="00105198"/>
    <w:rsid w:val="00105D5A"/>
    <w:rsid w:val="00106C5A"/>
    <w:rsid w:val="001073F3"/>
    <w:rsid w:val="00111067"/>
    <w:rsid w:val="00111344"/>
    <w:rsid w:val="00111988"/>
    <w:rsid w:val="00112F78"/>
    <w:rsid w:val="00114527"/>
    <w:rsid w:val="0011546C"/>
    <w:rsid w:val="00116DF2"/>
    <w:rsid w:val="00116F26"/>
    <w:rsid w:val="00122284"/>
    <w:rsid w:val="00126D5D"/>
    <w:rsid w:val="00126E81"/>
    <w:rsid w:val="00126F2F"/>
    <w:rsid w:val="00130F06"/>
    <w:rsid w:val="00131302"/>
    <w:rsid w:val="00132764"/>
    <w:rsid w:val="00133037"/>
    <w:rsid w:val="00134926"/>
    <w:rsid w:val="001403F2"/>
    <w:rsid w:val="00141E6C"/>
    <w:rsid w:val="00144104"/>
    <w:rsid w:val="00146DBD"/>
    <w:rsid w:val="0014734E"/>
    <w:rsid w:val="0014749F"/>
    <w:rsid w:val="00147A08"/>
    <w:rsid w:val="00147EE2"/>
    <w:rsid w:val="00150EBF"/>
    <w:rsid w:val="0015126B"/>
    <w:rsid w:val="00152671"/>
    <w:rsid w:val="00152860"/>
    <w:rsid w:val="00154298"/>
    <w:rsid w:val="001543A5"/>
    <w:rsid w:val="001543CC"/>
    <w:rsid w:val="00154A66"/>
    <w:rsid w:val="00154B82"/>
    <w:rsid w:val="00156786"/>
    <w:rsid w:val="00156887"/>
    <w:rsid w:val="00157139"/>
    <w:rsid w:val="00157232"/>
    <w:rsid w:val="00161F97"/>
    <w:rsid w:val="00166CF0"/>
    <w:rsid w:val="00171825"/>
    <w:rsid w:val="00173759"/>
    <w:rsid w:val="001739FB"/>
    <w:rsid w:val="00174828"/>
    <w:rsid w:val="00175D1C"/>
    <w:rsid w:val="00177FF6"/>
    <w:rsid w:val="00180860"/>
    <w:rsid w:val="00180F27"/>
    <w:rsid w:val="001812AB"/>
    <w:rsid w:val="00181622"/>
    <w:rsid w:val="00181BCB"/>
    <w:rsid w:val="00190313"/>
    <w:rsid w:val="001915B4"/>
    <w:rsid w:val="00194BEA"/>
    <w:rsid w:val="001976B6"/>
    <w:rsid w:val="001A0F6D"/>
    <w:rsid w:val="001A1588"/>
    <w:rsid w:val="001A1D57"/>
    <w:rsid w:val="001A5F39"/>
    <w:rsid w:val="001A61CC"/>
    <w:rsid w:val="001A7917"/>
    <w:rsid w:val="001B005B"/>
    <w:rsid w:val="001B1395"/>
    <w:rsid w:val="001B3CA6"/>
    <w:rsid w:val="001B4006"/>
    <w:rsid w:val="001B4DE6"/>
    <w:rsid w:val="001B6C10"/>
    <w:rsid w:val="001C0E9A"/>
    <w:rsid w:val="001C30E3"/>
    <w:rsid w:val="001C40F2"/>
    <w:rsid w:val="001C43AD"/>
    <w:rsid w:val="001C7D59"/>
    <w:rsid w:val="001D0E87"/>
    <w:rsid w:val="001D107F"/>
    <w:rsid w:val="001D2DD3"/>
    <w:rsid w:val="001D39F3"/>
    <w:rsid w:val="001D5D81"/>
    <w:rsid w:val="001D6B6D"/>
    <w:rsid w:val="001D7BB5"/>
    <w:rsid w:val="001E0DF2"/>
    <w:rsid w:val="001E2A17"/>
    <w:rsid w:val="001F0298"/>
    <w:rsid w:val="001F0567"/>
    <w:rsid w:val="001F2D94"/>
    <w:rsid w:val="0020211B"/>
    <w:rsid w:val="00203176"/>
    <w:rsid w:val="0020390B"/>
    <w:rsid w:val="00206C9E"/>
    <w:rsid w:val="00211C16"/>
    <w:rsid w:val="00214AF4"/>
    <w:rsid w:val="00214CD0"/>
    <w:rsid w:val="00216837"/>
    <w:rsid w:val="00217BF8"/>
    <w:rsid w:val="002212EA"/>
    <w:rsid w:val="002222F2"/>
    <w:rsid w:val="00222427"/>
    <w:rsid w:val="00224C5D"/>
    <w:rsid w:val="00225B0E"/>
    <w:rsid w:val="00226ACD"/>
    <w:rsid w:val="00227308"/>
    <w:rsid w:val="00230823"/>
    <w:rsid w:val="00231D91"/>
    <w:rsid w:val="0023359E"/>
    <w:rsid w:val="00233974"/>
    <w:rsid w:val="002357AE"/>
    <w:rsid w:val="002361DD"/>
    <w:rsid w:val="0023756B"/>
    <w:rsid w:val="00244DFF"/>
    <w:rsid w:val="0024587F"/>
    <w:rsid w:val="00245EEE"/>
    <w:rsid w:val="0024628F"/>
    <w:rsid w:val="00246A8E"/>
    <w:rsid w:val="00247326"/>
    <w:rsid w:val="00247B61"/>
    <w:rsid w:val="0025333E"/>
    <w:rsid w:val="00254247"/>
    <w:rsid w:val="00256517"/>
    <w:rsid w:val="00257BDB"/>
    <w:rsid w:val="00257C06"/>
    <w:rsid w:val="00257C5E"/>
    <w:rsid w:val="002607B5"/>
    <w:rsid w:val="0026143C"/>
    <w:rsid w:val="00263AD7"/>
    <w:rsid w:val="0026419A"/>
    <w:rsid w:val="002659A4"/>
    <w:rsid w:val="00265D84"/>
    <w:rsid w:val="00266019"/>
    <w:rsid w:val="00266E7C"/>
    <w:rsid w:val="00270870"/>
    <w:rsid w:val="00271FA4"/>
    <w:rsid w:val="00275444"/>
    <w:rsid w:val="0027545C"/>
    <w:rsid w:val="00277C08"/>
    <w:rsid w:val="00280E67"/>
    <w:rsid w:val="00285ECB"/>
    <w:rsid w:val="00287260"/>
    <w:rsid w:val="00290B0D"/>
    <w:rsid w:val="00291040"/>
    <w:rsid w:val="0029209F"/>
    <w:rsid w:val="00295D2F"/>
    <w:rsid w:val="002960E0"/>
    <w:rsid w:val="002969DF"/>
    <w:rsid w:val="00297DF3"/>
    <w:rsid w:val="002A0353"/>
    <w:rsid w:val="002A123C"/>
    <w:rsid w:val="002A1CB6"/>
    <w:rsid w:val="002A2C40"/>
    <w:rsid w:val="002A55CE"/>
    <w:rsid w:val="002A5FB1"/>
    <w:rsid w:val="002A6C6F"/>
    <w:rsid w:val="002A7CF5"/>
    <w:rsid w:val="002B0853"/>
    <w:rsid w:val="002B0BA3"/>
    <w:rsid w:val="002B12C4"/>
    <w:rsid w:val="002B1C48"/>
    <w:rsid w:val="002B2B67"/>
    <w:rsid w:val="002B349A"/>
    <w:rsid w:val="002B57AF"/>
    <w:rsid w:val="002B6011"/>
    <w:rsid w:val="002B64C1"/>
    <w:rsid w:val="002B7850"/>
    <w:rsid w:val="002C17A4"/>
    <w:rsid w:val="002C221A"/>
    <w:rsid w:val="002C3BFC"/>
    <w:rsid w:val="002C44F7"/>
    <w:rsid w:val="002C670A"/>
    <w:rsid w:val="002D06EB"/>
    <w:rsid w:val="002D0E22"/>
    <w:rsid w:val="002D1916"/>
    <w:rsid w:val="002D1FF4"/>
    <w:rsid w:val="002D29BD"/>
    <w:rsid w:val="002D33F7"/>
    <w:rsid w:val="002D3E9A"/>
    <w:rsid w:val="002D4723"/>
    <w:rsid w:val="002D5D55"/>
    <w:rsid w:val="002E4AF7"/>
    <w:rsid w:val="002E5A5E"/>
    <w:rsid w:val="002E5B8A"/>
    <w:rsid w:val="002F01DC"/>
    <w:rsid w:val="002F0C55"/>
    <w:rsid w:val="002F0C85"/>
    <w:rsid w:val="002F1648"/>
    <w:rsid w:val="002F2913"/>
    <w:rsid w:val="002F4306"/>
    <w:rsid w:val="002F5DAD"/>
    <w:rsid w:val="002F6D7C"/>
    <w:rsid w:val="002F799E"/>
    <w:rsid w:val="003013CF"/>
    <w:rsid w:val="00302058"/>
    <w:rsid w:val="003021E6"/>
    <w:rsid w:val="00303979"/>
    <w:rsid w:val="00303AF6"/>
    <w:rsid w:val="00304244"/>
    <w:rsid w:val="0030442F"/>
    <w:rsid w:val="003065CF"/>
    <w:rsid w:val="0030778F"/>
    <w:rsid w:val="003106AC"/>
    <w:rsid w:val="003116CA"/>
    <w:rsid w:val="003135B6"/>
    <w:rsid w:val="00316001"/>
    <w:rsid w:val="00316DBB"/>
    <w:rsid w:val="0031737D"/>
    <w:rsid w:val="003178C1"/>
    <w:rsid w:val="0031792D"/>
    <w:rsid w:val="00317A13"/>
    <w:rsid w:val="00320C97"/>
    <w:rsid w:val="00322233"/>
    <w:rsid w:val="003225D2"/>
    <w:rsid w:val="00322F27"/>
    <w:rsid w:val="00327824"/>
    <w:rsid w:val="003324BA"/>
    <w:rsid w:val="00333957"/>
    <w:rsid w:val="00333C45"/>
    <w:rsid w:val="00336B4C"/>
    <w:rsid w:val="0033793C"/>
    <w:rsid w:val="00337ACB"/>
    <w:rsid w:val="00337B78"/>
    <w:rsid w:val="0034027A"/>
    <w:rsid w:val="00340C2F"/>
    <w:rsid w:val="00342EE2"/>
    <w:rsid w:val="00344DAE"/>
    <w:rsid w:val="0035003B"/>
    <w:rsid w:val="003549B6"/>
    <w:rsid w:val="00356767"/>
    <w:rsid w:val="00356986"/>
    <w:rsid w:val="0036008B"/>
    <w:rsid w:val="003604E0"/>
    <w:rsid w:val="00361061"/>
    <w:rsid w:val="003635B0"/>
    <w:rsid w:val="00364D1E"/>
    <w:rsid w:val="00364D86"/>
    <w:rsid w:val="003659E2"/>
    <w:rsid w:val="00365B59"/>
    <w:rsid w:val="00366A28"/>
    <w:rsid w:val="003708C6"/>
    <w:rsid w:val="003730A2"/>
    <w:rsid w:val="00375967"/>
    <w:rsid w:val="00375AD5"/>
    <w:rsid w:val="00380C6B"/>
    <w:rsid w:val="00380EEA"/>
    <w:rsid w:val="0038469C"/>
    <w:rsid w:val="00386C1E"/>
    <w:rsid w:val="003879F6"/>
    <w:rsid w:val="00391357"/>
    <w:rsid w:val="0039246E"/>
    <w:rsid w:val="00393A1C"/>
    <w:rsid w:val="00394083"/>
    <w:rsid w:val="00394715"/>
    <w:rsid w:val="00396BB3"/>
    <w:rsid w:val="003A1281"/>
    <w:rsid w:val="003A23F6"/>
    <w:rsid w:val="003A2FA3"/>
    <w:rsid w:val="003A395D"/>
    <w:rsid w:val="003A39AC"/>
    <w:rsid w:val="003A544E"/>
    <w:rsid w:val="003A584D"/>
    <w:rsid w:val="003A7A59"/>
    <w:rsid w:val="003A7F84"/>
    <w:rsid w:val="003B23B8"/>
    <w:rsid w:val="003B27E7"/>
    <w:rsid w:val="003B58B3"/>
    <w:rsid w:val="003B781A"/>
    <w:rsid w:val="003B7E0B"/>
    <w:rsid w:val="003B7E9F"/>
    <w:rsid w:val="003C3754"/>
    <w:rsid w:val="003C38E3"/>
    <w:rsid w:val="003C3DF0"/>
    <w:rsid w:val="003C4858"/>
    <w:rsid w:val="003C765F"/>
    <w:rsid w:val="003C7CB3"/>
    <w:rsid w:val="003D1826"/>
    <w:rsid w:val="003D1C4A"/>
    <w:rsid w:val="003D3AD8"/>
    <w:rsid w:val="003D3D5D"/>
    <w:rsid w:val="003D48E0"/>
    <w:rsid w:val="003D53F5"/>
    <w:rsid w:val="003D558F"/>
    <w:rsid w:val="003D5FCB"/>
    <w:rsid w:val="003E47BA"/>
    <w:rsid w:val="003E4B3E"/>
    <w:rsid w:val="003E4CA7"/>
    <w:rsid w:val="003E55A8"/>
    <w:rsid w:val="003E6627"/>
    <w:rsid w:val="003E6635"/>
    <w:rsid w:val="003E714D"/>
    <w:rsid w:val="003E71FC"/>
    <w:rsid w:val="003E7C36"/>
    <w:rsid w:val="003F1DD0"/>
    <w:rsid w:val="003F254A"/>
    <w:rsid w:val="003F53B2"/>
    <w:rsid w:val="003F5789"/>
    <w:rsid w:val="003F69F4"/>
    <w:rsid w:val="00400997"/>
    <w:rsid w:val="00401B4C"/>
    <w:rsid w:val="004027C2"/>
    <w:rsid w:val="00403EF6"/>
    <w:rsid w:val="00405314"/>
    <w:rsid w:val="00405D4D"/>
    <w:rsid w:val="00407A89"/>
    <w:rsid w:val="004147CC"/>
    <w:rsid w:val="00416EFF"/>
    <w:rsid w:val="00417291"/>
    <w:rsid w:val="00417484"/>
    <w:rsid w:val="00417F7F"/>
    <w:rsid w:val="00420A0B"/>
    <w:rsid w:val="00420AF6"/>
    <w:rsid w:val="004224C2"/>
    <w:rsid w:val="004226D0"/>
    <w:rsid w:val="00422894"/>
    <w:rsid w:val="00425633"/>
    <w:rsid w:val="00426CE9"/>
    <w:rsid w:val="00427E5D"/>
    <w:rsid w:val="00430EE7"/>
    <w:rsid w:val="00432194"/>
    <w:rsid w:val="00434308"/>
    <w:rsid w:val="004347CD"/>
    <w:rsid w:val="004347E1"/>
    <w:rsid w:val="00434A0B"/>
    <w:rsid w:val="0043696F"/>
    <w:rsid w:val="00443353"/>
    <w:rsid w:val="004433A7"/>
    <w:rsid w:val="00445460"/>
    <w:rsid w:val="0044653B"/>
    <w:rsid w:val="0045076F"/>
    <w:rsid w:val="00451057"/>
    <w:rsid w:val="00451631"/>
    <w:rsid w:val="0045313F"/>
    <w:rsid w:val="00453425"/>
    <w:rsid w:val="0045465A"/>
    <w:rsid w:val="004558CB"/>
    <w:rsid w:val="004568AD"/>
    <w:rsid w:val="00457A9E"/>
    <w:rsid w:val="004608AC"/>
    <w:rsid w:val="00461113"/>
    <w:rsid w:val="00461926"/>
    <w:rsid w:val="004638F5"/>
    <w:rsid w:val="004711AA"/>
    <w:rsid w:val="0047331E"/>
    <w:rsid w:val="00482B2E"/>
    <w:rsid w:val="00483E78"/>
    <w:rsid w:val="00486BB4"/>
    <w:rsid w:val="00486DB4"/>
    <w:rsid w:val="00494662"/>
    <w:rsid w:val="00495043"/>
    <w:rsid w:val="00495113"/>
    <w:rsid w:val="00495EC1"/>
    <w:rsid w:val="004967C4"/>
    <w:rsid w:val="004977AF"/>
    <w:rsid w:val="004A0247"/>
    <w:rsid w:val="004A397B"/>
    <w:rsid w:val="004A3AA5"/>
    <w:rsid w:val="004A3EDF"/>
    <w:rsid w:val="004A5E30"/>
    <w:rsid w:val="004A5F78"/>
    <w:rsid w:val="004A73C4"/>
    <w:rsid w:val="004B0B38"/>
    <w:rsid w:val="004B1AD3"/>
    <w:rsid w:val="004B4514"/>
    <w:rsid w:val="004B4814"/>
    <w:rsid w:val="004B5401"/>
    <w:rsid w:val="004B6834"/>
    <w:rsid w:val="004B7ABD"/>
    <w:rsid w:val="004C10B8"/>
    <w:rsid w:val="004C111B"/>
    <w:rsid w:val="004C23E1"/>
    <w:rsid w:val="004C3030"/>
    <w:rsid w:val="004C6CCD"/>
    <w:rsid w:val="004C7590"/>
    <w:rsid w:val="004D1E5F"/>
    <w:rsid w:val="004D2A43"/>
    <w:rsid w:val="004D3A92"/>
    <w:rsid w:val="004D431B"/>
    <w:rsid w:val="004D6C5F"/>
    <w:rsid w:val="004E15C6"/>
    <w:rsid w:val="004E272B"/>
    <w:rsid w:val="004E2C0C"/>
    <w:rsid w:val="004E2E37"/>
    <w:rsid w:val="004E3805"/>
    <w:rsid w:val="004E4411"/>
    <w:rsid w:val="004E6EAA"/>
    <w:rsid w:val="004F024C"/>
    <w:rsid w:val="004F1933"/>
    <w:rsid w:val="004F1F07"/>
    <w:rsid w:val="004F5811"/>
    <w:rsid w:val="004F5C9B"/>
    <w:rsid w:val="004F5E3F"/>
    <w:rsid w:val="004F7389"/>
    <w:rsid w:val="00504A26"/>
    <w:rsid w:val="00504E58"/>
    <w:rsid w:val="0050534C"/>
    <w:rsid w:val="00505941"/>
    <w:rsid w:val="00507891"/>
    <w:rsid w:val="00507BC9"/>
    <w:rsid w:val="00511B6B"/>
    <w:rsid w:val="005121A8"/>
    <w:rsid w:val="00515233"/>
    <w:rsid w:val="00516E89"/>
    <w:rsid w:val="00517B29"/>
    <w:rsid w:val="00522BDA"/>
    <w:rsid w:val="0052371B"/>
    <w:rsid w:val="00525C15"/>
    <w:rsid w:val="00526514"/>
    <w:rsid w:val="00526A13"/>
    <w:rsid w:val="005301E9"/>
    <w:rsid w:val="005305D4"/>
    <w:rsid w:val="0053135A"/>
    <w:rsid w:val="00531F02"/>
    <w:rsid w:val="00532AA6"/>
    <w:rsid w:val="0053480C"/>
    <w:rsid w:val="00535F93"/>
    <w:rsid w:val="00536C1C"/>
    <w:rsid w:val="00537DA9"/>
    <w:rsid w:val="005417BD"/>
    <w:rsid w:val="00541B2C"/>
    <w:rsid w:val="00543148"/>
    <w:rsid w:val="00545683"/>
    <w:rsid w:val="005471B5"/>
    <w:rsid w:val="0055017C"/>
    <w:rsid w:val="005507BE"/>
    <w:rsid w:val="00552A1F"/>
    <w:rsid w:val="005531BB"/>
    <w:rsid w:val="005541ED"/>
    <w:rsid w:val="005553D8"/>
    <w:rsid w:val="005559E3"/>
    <w:rsid w:val="0056092D"/>
    <w:rsid w:val="00561228"/>
    <w:rsid w:val="00562050"/>
    <w:rsid w:val="005626CA"/>
    <w:rsid w:val="005628D6"/>
    <w:rsid w:val="0056499F"/>
    <w:rsid w:val="00565D24"/>
    <w:rsid w:val="00565D77"/>
    <w:rsid w:val="0056712F"/>
    <w:rsid w:val="00567A33"/>
    <w:rsid w:val="00570104"/>
    <w:rsid w:val="00572D9F"/>
    <w:rsid w:val="0057467C"/>
    <w:rsid w:val="005753DE"/>
    <w:rsid w:val="00576B97"/>
    <w:rsid w:val="00576F48"/>
    <w:rsid w:val="0057706E"/>
    <w:rsid w:val="00580B10"/>
    <w:rsid w:val="0058119D"/>
    <w:rsid w:val="00582055"/>
    <w:rsid w:val="00585215"/>
    <w:rsid w:val="005878A5"/>
    <w:rsid w:val="00591E92"/>
    <w:rsid w:val="005920BB"/>
    <w:rsid w:val="005929D0"/>
    <w:rsid w:val="0059343B"/>
    <w:rsid w:val="00595866"/>
    <w:rsid w:val="0059657D"/>
    <w:rsid w:val="005967D9"/>
    <w:rsid w:val="00597DE3"/>
    <w:rsid w:val="00597FF2"/>
    <w:rsid w:val="005A30E5"/>
    <w:rsid w:val="005A3E89"/>
    <w:rsid w:val="005A642C"/>
    <w:rsid w:val="005A7AB8"/>
    <w:rsid w:val="005B098E"/>
    <w:rsid w:val="005B2190"/>
    <w:rsid w:val="005B2AEB"/>
    <w:rsid w:val="005B31C3"/>
    <w:rsid w:val="005B412F"/>
    <w:rsid w:val="005B41A3"/>
    <w:rsid w:val="005B4434"/>
    <w:rsid w:val="005B48A0"/>
    <w:rsid w:val="005B4D85"/>
    <w:rsid w:val="005B5D5C"/>
    <w:rsid w:val="005B5F3F"/>
    <w:rsid w:val="005B6C92"/>
    <w:rsid w:val="005B7D1F"/>
    <w:rsid w:val="005B7E61"/>
    <w:rsid w:val="005C15FB"/>
    <w:rsid w:val="005D146F"/>
    <w:rsid w:val="005D18EB"/>
    <w:rsid w:val="005D1B0B"/>
    <w:rsid w:val="005D5E27"/>
    <w:rsid w:val="005E12FD"/>
    <w:rsid w:val="005E1670"/>
    <w:rsid w:val="005E1EB8"/>
    <w:rsid w:val="005E40EE"/>
    <w:rsid w:val="005E484A"/>
    <w:rsid w:val="005E5D68"/>
    <w:rsid w:val="005E7102"/>
    <w:rsid w:val="005E777A"/>
    <w:rsid w:val="005F299A"/>
    <w:rsid w:val="005F319B"/>
    <w:rsid w:val="005F6791"/>
    <w:rsid w:val="0060246D"/>
    <w:rsid w:val="00602FD2"/>
    <w:rsid w:val="00603F5F"/>
    <w:rsid w:val="00606101"/>
    <w:rsid w:val="0060612B"/>
    <w:rsid w:val="00607FB5"/>
    <w:rsid w:val="00607FCE"/>
    <w:rsid w:val="0061003D"/>
    <w:rsid w:val="00611409"/>
    <w:rsid w:val="00611944"/>
    <w:rsid w:val="006121E4"/>
    <w:rsid w:val="00612CFA"/>
    <w:rsid w:val="006130D9"/>
    <w:rsid w:val="0061365A"/>
    <w:rsid w:val="00613B29"/>
    <w:rsid w:val="00614552"/>
    <w:rsid w:val="00616BA4"/>
    <w:rsid w:val="00617490"/>
    <w:rsid w:val="0062059D"/>
    <w:rsid w:val="00620ADB"/>
    <w:rsid w:val="006211C7"/>
    <w:rsid w:val="00622CC0"/>
    <w:rsid w:val="00624301"/>
    <w:rsid w:val="0062447E"/>
    <w:rsid w:val="00624714"/>
    <w:rsid w:val="0062479C"/>
    <w:rsid w:val="006248E1"/>
    <w:rsid w:val="00624DCD"/>
    <w:rsid w:val="00625220"/>
    <w:rsid w:val="00626807"/>
    <w:rsid w:val="00627F5F"/>
    <w:rsid w:val="006307DB"/>
    <w:rsid w:val="00634397"/>
    <w:rsid w:val="006373B8"/>
    <w:rsid w:val="006375F1"/>
    <w:rsid w:val="00637894"/>
    <w:rsid w:val="0064017D"/>
    <w:rsid w:val="00640D1B"/>
    <w:rsid w:val="00640F4F"/>
    <w:rsid w:val="006411DB"/>
    <w:rsid w:val="006423A4"/>
    <w:rsid w:val="0064600D"/>
    <w:rsid w:val="00650413"/>
    <w:rsid w:val="00651080"/>
    <w:rsid w:val="006513FD"/>
    <w:rsid w:val="006517DD"/>
    <w:rsid w:val="00652F2B"/>
    <w:rsid w:val="0065406E"/>
    <w:rsid w:val="006551DC"/>
    <w:rsid w:val="00655991"/>
    <w:rsid w:val="006568E0"/>
    <w:rsid w:val="00661C7F"/>
    <w:rsid w:val="0066233D"/>
    <w:rsid w:val="006631B8"/>
    <w:rsid w:val="006652FC"/>
    <w:rsid w:val="006673DC"/>
    <w:rsid w:val="00670521"/>
    <w:rsid w:val="00671FF0"/>
    <w:rsid w:val="0067390F"/>
    <w:rsid w:val="00675177"/>
    <w:rsid w:val="00675374"/>
    <w:rsid w:val="00675A3F"/>
    <w:rsid w:val="006807C2"/>
    <w:rsid w:val="00680B75"/>
    <w:rsid w:val="006822B3"/>
    <w:rsid w:val="00683879"/>
    <w:rsid w:val="00687236"/>
    <w:rsid w:val="00687AB9"/>
    <w:rsid w:val="00690AB0"/>
    <w:rsid w:val="006913FD"/>
    <w:rsid w:val="0069160F"/>
    <w:rsid w:val="0069556D"/>
    <w:rsid w:val="00695C6E"/>
    <w:rsid w:val="00697372"/>
    <w:rsid w:val="006976D5"/>
    <w:rsid w:val="006A01AC"/>
    <w:rsid w:val="006A050C"/>
    <w:rsid w:val="006A167B"/>
    <w:rsid w:val="006A42DD"/>
    <w:rsid w:val="006A458A"/>
    <w:rsid w:val="006A5EE8"/>
    <w:rsid w:val="006B1152"/>
    <w:rsid w:val="006B172B"/>
    <w:rsid w:val="006B2863"/>
    <w:rsid w:val="006B378F"/>
    <w:rsid w:val="006B3B6E"/>
    <w:rsid w:val="006B4FC0"/>
    <w:rsid w:val="006B5671"/>
    <w:rsid w:val="006B77C5"/>
    <w:rsid w:val="006B7D14"/>
    <w:rsid w:val="006C1DC4"/>
    <w:rsid w:val="006C1FFF"/>
    <w:rsid w:val="006D0987"/>
    <w:rsid w:val="006D214F"/>
    <w:rsid w:val="006D23F9"/>
    <w:rsid w:val="006D726A"/>
    <w:rsid w:val="006E04CC"/>
    <w:rsid w:val="006E0759"/>
    <w:rsid w:val="006E0B83"/>
    <w:rsid w:val="006E2DE4"/>
    <w:rsid w:val="006E3856"/>
    <w:rsid w:val="006E4495"/>
    <w:rsid w:val="006E5C90"/>
    <w:rsid w:val="006E7DAA"/>
    <w:rsid w:val="006F1E30"/>
    <w:rsid w:val="006F1EFB"/>
    <w:rsid w:val="006F34AC"/>
    <w:rsid w:val="006F5523"/>
    <w:rsid w:val="006F5D0D"/>
    <w:rsid w:val="006F5EAD"/>
    <w:rsid w:val="00701C0F"/>
    <w:rsid w:val="00702558"/>
    <w:rsid w:val="00702B99"/>
    <w:rsid w:val="00702F9B"/>
    <w:rsid w:val="0070325B"/>
    <w:rsid w:val="00703AD2"/>
    <w:rsid w:val="0070484C"/>
    <w:rsid w:val="00704A2B"/>
    <w:rsid w:val="0070597F"/>
    <w:rsid w:val="00707B74"/>
    <w:rsid w:val="00707FDC"/>
    <w:rsid w:val="00710EB3"/>
    <w:rsid w:val="007117FF"/>
    <w:rsid w:val="007122C2"/>
    <w:rsid w:val="00715CB5"/>
    <w:rsid w:val="00716061"/>
    <w:rsid w:val="0071631E"/>
    <w:rsid w:val="00716E3D"/>
    <w:rsid w:val="00720594"/>
    <w:rsid w:val="0072197D"/>
    <w:rsid w:val="00721E63"/>
    <w:rsid w:val="007233BE"/>
    <w:rsid w:val="007240C7"/>
    <w:rsid w:val="00724193"/>
    <w:rsid w:val="00724CAC"/>
    <w:rsid w:val="00724FE9"/>
    <w:rsid w:val="0072552E"/>
    <w:rsid w:val="00727FEF"/>
    <w:rsid w:val="007325EC"/>
    <w:rsid w:val="00732920"/>
    <w:rsid w:val="007329F3"/>
    <w:rsid w:val="00733247"/>
    <w:rsid w:val="00736493"/>
    <w:rsid w:val="007371B5"/>
    <w:rsid w:val="007406F3"/>
    <w:rsid w:val="0074212A"/>
    <w:rsid w:val="00743516"/>
    <w:rsid w:val="007435C6"/>
    <w:rsid w:val="0074470E"/>
    <w:rsid w:val="00744E8D"/>
    <w:rsid w:val="00746639"/>
    <w:rsid w:val="00752A2C"/>
    <w:rsid w:val="00752B2B"/>
    <w:rsid w:val="007537F1"/>
    <w:rsid w:val="00753D37"/>
    <w:rsid w:val="0075454C"/>
    <w:rsid w:val="007545C4"/>
    <w:rsid w:val="0076096A"/>
    <w:rsid w:val="00761ABC"/>
    <w:rsid w:val="0076361D"/>
    <w:rsid w:val="007644CB"/>
    <w:rsid w:val="00766AC7"/>
    <w:rsid w:val="00767F98"/>
    <w:rsid w:val="0077195E"/>
    <w:rsid w:val="00774E34"/>
    <w:rsid w:val="007752FC"/>
    <w:rsid w:val="00777752"/>
    <w:rsid w:val="00777771"/>
    <w:rsid w:val="007808EC"/>
    <w:rsid w:val="00781884"/>
    <w:rsid w:val="007837FD"/>
    <w:rsid w:val="007846A8"/>
    <w:rsid w:val="007848E9"/>
    <w:rsid w:val="00785AB3"/>
    <w:rsid w:val="0078696C"/>
    <w:rsid w:val="0079156F"/>
    <w:rsid w:val="00793B37"/>
    <w:rsid w:val="00794428"/>
    <w:rsid w:val="0079583A"/>
    <w:rsid w:val="00795E62"/>
    <w:rsid w:val="00796C64"/>
    <w:rsid w:val="007A13D1"/>
    <w:rsid w:val="007A261C"/>
    <w:rsid w:val="007A3A19"/>
    <w:rsid w:val="007A422F"/>
    <w:rsid w:val="007A4373"/>
    <w:rsid w:val="007A5A20"/>
    <w:rsid w:val="007A63E2"/>
    <w:rsid w:val="007A6631"/>
    <w:rsid w:val="007A6A08"/>
    <w:rsid w:val="007A6C8A"/>
    <w:rsid w:val="007A70F3"/>
    <w:rsid w:val="007B083C"/>
    <w:rsid w:val="007B0A10"/>
    <w:rsid w:val="007B0C11"/>
    <w:rsid w:val="007B1199"/>
    <w:rsid w:val="007B183A"/>
    <w:rsid w:val="007B1FF6"/>
    <w:rsid w:val="007B20B2"/>
    <w:rsid w:val="007B35C0"/>
    <w:rsid w:val="007B52EC"/>
    <w:rsid w:val="007B59E0"/>
    <w:rsid w:val="007B7A71"/>
    <w:rsid w:val="007C00C5"/>
    <w:rsid w:val="007C0265"/>
    <w:rsid w:val="007C0966"/>
    <w:rsid w:val="007C0DB3"/>
    <w:rsid w:val="007D0131"/>
    <w:rsid w:val="007D142C"/>
    <w:rsid w:val="007D1ECD"/>
    <w:rsid w:val="007D3E0F"/>
    <w:rsid w:val="007D4C55"/>
    <w:rsid w:val="007D5679"/>
    <w:rsid w:val="007D5681"/>
    <w:rsid w:val="007D663F"/>
    <w:rsid w:val="007E0352"/>
    <w:rsid w:val="007E08CC"/>
    <w:rsid w:val="007E37DD"/>
    <w:rsid w:val="007E41ED"/>
    <w:rsid w:val="007E4A22"/>
    <w:rsid w:val="007E4EF1"/>
    <w:rsid w:val="007E7B23"/>
    <w:rsid w:val="007F07A6"/>
    <w:rsid w:val="007F13EE"/>
    <w:rsid w:val="007F3B41"/>
    <w:rsid w:val="007F4F75"/>
    <w:rsid w:val="0080074F"/>
    <w:rsid w:val="00801505"/>
    <w:rsid w:val="00801A9E"/>
    <w:rsid w:val="0080373C"/>
    <w:rsid w:val="00803F35"/>
    <w:rsid w:val="00804D11"/>
    <w:rsid w:val="008052F8"/>
    <w:rsid w:val="008061E2"/>
    <w:rsid w:val="00806AC8"/>
    <w:rsid w:val="00810EBB"/>
    <w:rsid w:val="00812E5D"/>
    <w:rsid w:val="00812F11"/>
    <w:rsid w:val="008174E4"/>
    <w:rsid w:val="0082127F"/>
    <w:rsid w:val="00821856"/>
    <w:rsid w:val="0082397E"/>
    <w:rsid w:val="00830D74"/>
    <w:rsid w:val="008312DC"/>
    <w:rsid w:val="008358E6"/>
    <w:rsid w:val="00835E0D"/>
    <w:rsid w:val="008362CA"/>
    <w:rsid w:val="00836DBC"/>
    <w:rsid w:val="00837ED1"/>
    <w:rsid w:val="00840153"/>
    <w:rsid w:val="00841301"/>
    <w:rsid w:val="00842993"/>
    <w:rsid w:val="00844BF7"/>
    <w:rsid w:val="00845E3E"/>
    <w:rsid w:val="00847C8C"/>
    <w:rsid w:val="00850965"/>
    <w:rsid w:val="0085307E"/>
    <w:rsid w:val="008533ED"/>
    <w:rsid w:val="00853F0D"/>
    <w:rsid w:val="008550A2"/>
    <w:rsid w:val="00855771"/>
    <w:rsid w:val="00857E70"/>
    <w:rsid w:val="00860382"/>
    <w:rsid w:val="00860C2B"/>
    <w:rsid w:val="00861184"/>
    <w:rsid w:val="00861B90"/>
    <w:rsid w:val="00861E3B"/>
    <w:rsid w:val="00863BE6"/>
    <w:rsid w:val="00864AB5"/>
    <w:rsid w:val="0086558D"/>
    <w:rsid w:val="00865AC9"/>
    <w:rsid w:val="00865B62"/>
    <w:rsid w:val="00866CAB"/>
    <w:rsid w:val="0087238A"/>
    <w:rsid w:val="00872B09"/>
    <w:rsid w:val="00873533"/>
    <w:rsid w:val="00875059"/>
    <w:rsid w:val="0087574A"/>
    <w:rsid w:val="00877FF6"/>
    <w:rsid w:val="00880FF0"/>
    <w:rsid w:val="00881543"/>
    <w:rsid w:val="0088162C"/>
    <w:rsid w:val="00883707"/>
    <w:rsid w:val="00887FD1"/>
    <w:rsid w:val="008914F8"/>
    <w:rsid w:val="00891E98"/>
    <w:rsid w:val="00893D73"/>
    <w:rsid w:val="00895F8D"/>
    <w:rsid w:val="00896589"/>
    <w:rsid w:val="008A064E"/>
    <w:rsid w:val="008A130C"/>
    <w:rsid w:val="008A1605"/>
    <w:rsid w:val="008A2D95"/>
    <w:rsid w:val="008A3B35"/>
    <w:rsid w:val="008A3BDD"/>
    <w:rsid w:val="008A490D"/>
    <w:rsid w:val="008A5158"/>
    <w:rsid w:val="008A5927"/>
    <w:rsid w:val="008B3425"/>
    <w:rsid w:val="008B3CF1"/>
    <w:rsid w:val="008B7218"/>
    <w:rsid w:val="008B7D05"/>
    <w:rsid w:val="008C02C6"/>
    <w:rsid w:val="008C6241"/>
    <w:rsid w:val="008C7618"/>
    <w:rsid w:val="008D0464"/>
    <w:rsid w:val="008D0805"/>
    <w:rsid w:val="008D2EA5"/>
    <w:rsid w:val="008D3322"/>
    <w:rsid w:val="008E00A3"/>
    <w:rsid w:val="008E2C0C"/>
    <w:rsid w:val="008E3251"/>
    <w:rsid w:val="008E36E1"/>
    <w:rsid w:val="008E5010"/>
    <w:rsid w:val="008E6F7C"/>
    <w:rsid w:val="008F16D7"/>
    <w:rsid w:val="008F2B91"/>
    <w:rsid w:val="008F56F4"/>
    <w:rsid w:val="008F5E2F"/>
    <w:rsid w:val="00900A29"/>
    <w:rsid w:val="00900DAA"/>
    <w:rsid w:val="00901F15"/>
    <w:rsid w:val="0090213B"/>
    <w:rsid w:val="009041AD"/>
    <w:rsid w:val="009050FD"/>
    <w:rsid w:val="009070B2"/>
    <w:rsid w:val="009113E0"/>
    <w:rsid w:val="00913015"/>
    <w:rsid w:val="00915573"/>
    <w:rsid w:val="00916946"/>
    <w:rsid w:val="0091709D"/>
    <w:rsid w:val="009175B7"/>
    <w:rsid w:val="0091764A"/>
    <w:rsid w:val="00925143"/>
    <w:rsid w:val="00926322"/>
    <w:rsid w:val="00926C4B"/>
    <w:rsid w:val="00927160"/>
    <w:rsid w:val="009272C6"/>
    <w:rsid w:val="0093279B"/>
    <w:rsid w:val="00933B46"/>
    <w:rsid w:val="009352AE"/>
    <w:rsid w:val="009370E5"/>
    <w:rsid w:val="009378FA"/>
    <w:rsid w:val="00937B78"/>
    <w:rsid w:val="00940408"/>
    <w:rsid w:val="0094064B"/>
    <w:rsid w:val="0094243C"/>
    <w:rsid w:val="00942ABA"/>
    <w:rsid w:val="00947F22"/>
    <w:rsid w:val="00952926"/>
    <w:rsid w:val="009542E5"/>
    <w:rsid w:val="009551EC"/>
    <w:rsid w:val="00955312"/>
    <w:rsid w:val="00960A60"/>
    <w:rsid w:val="00961ADB"/>
    <w:rsid w:val="00962B8D"/>
    <w:rsid w:val="00962C06"/>
    <w:rsid w:val="00963DF6"/>
    <w:rsid w:val="0096539F"/>
    <w:rsid w:val="009660FC"/>
    <w:rsid w:val="009668B6"/>
    <w:rsid w:val="009714E2"/>
    <w:rsid w:val="00971E88"/>
    <w:rsid w:val="00972DA8"/>
    <w:rsid w:val="009741BD"/>
    <w:rsid w:val="0097634E"/>
    <w:rsid w:val="009804C5"/>
    <w:rsid w:val="00983118"/>
    <w:rsid w:val="00983951"/>
    <w:rsid w:val="0098538A"/>
    <w:rsid w:val="0098662D"/>
    <w:rsid w:val="009871A5"/>
    <w:rsid w:val="0098793C"/>
    <w:rsid w:val="00987A25"/>
    <w:rsid w:val="00987CE0"/>
    <w:rsid w:val="00991801"/>
    <w:rsid w:val="00991FCE"/>
    <w:rsid w:val="00993E24"/>
    <w:rsid w:val="00994206"/>
    <w:rsid w:val="009953B9"/>
    <w:rsid w:val="00996661"/>
    <w:rsid w:val="00997090"/>
    <w:rsid w:val="009976CE"/>
    <w:rsid w:val="009A27BE"/>
    <w:rsid w:val="009A27CB"/>
    <w:rsid w:val="009A2836"/>
    <w:rsid w:val="009A3866"/>
    <w:rsid w:val="009A515A"/>
    <w:rsid w:val="009A51C8"/>
    <w:rsid w:val="009A7E61"/>
    <w:rsid w:val="009B05DC"/>
    <w:rsid w:val="009B2B72"/>
    <w:rsid w:val="009C1F1A"/>
    <w:rsid w:val="009C2E37"/>
    <w:rsid w:val="009C3A70"/>
    <w:rsid w:val="009C4F4B"/>
    <w:rsid w:val="009C6286"/>
    <w:rsid w:val="009C6D51"/>
    <w:rsid w:val="009C6E05"/>
    <w:rsid w:val="009C7EC1"/>
    <w:rsid w:val="009D0283"/>
    <w:rsid w:val="009D051A"/>
    <w:rsid w:val="009D1F32"/>
    <w:rsid w:val="009D255A"/>
    <w:rsid w:val="009D38AA"/>
    <w:rsid w:val="009D42DE"/>
    <w:rsid w:val="009D451C"/>
    <w:rsid w:val="009D45D7"/>
    <w:rsid w:val="009D5127"/>
    <w:rsid w:val="009D58C7"/>
    <w:rsid w:val="009E1179"/>
    <w:rsid w:val="009E228E"/>
    <w:rsid w:val="009E315D"/>
    <w:rsid w:val="009E40BC"/>
    <w:rsid w:val="009E5755"/>
    <w:rsid w:val="009E583D"/>
    <w:rsid w:val="009E5916"/>
    <w:rsid w:val="009E5AFA"/>
    <w:rsid w:val="009E7457"/>
    <w:rsid w:val="009F3F94"/>
    <w:rsid w:val="009F4E13"/>
    <w:rsid w:val="009F5A73"/>
    <w:rsid w:val="009F7AB6"/>
    <w:rsid w:val="00A03726"/>
    <w:rsid w:val="00A05852"/>
    <w:rsid w:val="00A066F1"/>
    <w:rsid w:val="00A10912"/>
    <w:rsid w:val="00A10D37"/>
    <w:rsid w:val="00A13089"/>
    <w:rsid w:val="00A13D2B"/>
    <w:rsid w:val="00A1466D"/>
    <w:rsid w:val="00A15333"/>
    <w:rsid w:val="00A15655"/>
    <w:rsid w:val="00A15BCC"/>
    <w:rsid w:val="00A16C93"/>
    <w:rsid w:val="00A17084"/>
    <w:rsid w:val="00A175AA"/>
    <w:rsid w:val="00A200EE"/>
    <w:rsid w:val="00A2072F"/>
    <w:rsid w:val="00A20CE1"/>
    <w:rsid w:val="00A22A66"/>
    <w:rsid w:val="00A25333"/>
    <w:rsid w:val="00A26815"/>
    <w:rsid w:val="00A272B0"/>
    <w:rsid w:val="00A278A0"/>
    <w:rsid w:val="00A314C2"/>
    <w:rsid w:val="00A405B3"/>
    <w:rsid w:val="00A42CFA"/>
    <w:rsid w:val="00A43721"/>
    <w:rsid w:val="00A45832"/>
    <w:rsid w:val="00A52DA0"/>
    <w:rsid w:val="00A53CFA"/>
    <w:rsid w:val="00A54788"/>
    <w:rsid w:val="00A5504A"/>
    <w:rsid w:val="00A55624"/>
    <w:rsid w:val="00A57409"/>
    <w:rsid w:val="00A63757"/>
    <w:rsid w:val="00A6453D"/>
    <w:rsid w:val="00A64D38"/>
    <w:rsid w:val="00A66A90"/>
    <w:rsid w:val="00A66E00"/>
    <w:rsid w:val="00A7008C"/>
    <w:rsid w:val="00A70E6A"/>
    <w:rsid w:val="00A721EB"/>
    <w:rsid w:val="00A72336"/>
    <w:rsid w:val="00A72C1D"/>
    <w:rsid w:val="00A72D9B"/>
    <w:rsid w:val="00A73281"/>
    <w:rsid w:val="00A74CE7"/>
    <w:rsid w:val="00A74CF3"/>
    <w:rsid w:val="00A76B7D"/>
    <w:rsid w:val="00A76D1F"/>
    <w:rsid w:val="00A76D41"/>
    <w:rsid w:val="00A77586"/>
    <w:rsid w:val="00A81312"/>
    <w:rsid w:val="00A8247F"/>
    <w:rsid w:val="00A838DE"/>
    <w:rsid w:val="00A859E0"/>
    <w:rsid w:val="00A85A32"/>
    <w:rsid w:val="00A8614A"/>
    <w:rsid w:val="00A8619D"/>
    <w:rsid w:val="00A874AA"/>
    <w:rsid w:val="00A87725"/>
    <w:rsid w:val="00A877AC"/>
    <w:rsid w:val="00A9025D"/>
    <w:rsid w:val="00A90C75"/>
    <w:rsid w:val="00A9338E"/>
    <w:rsid w:val="00A94922"/>
    <w:rsid w:val="00A95BFC"/>
    <w:rsid w:val="00A979E3"/>
    <w:rsid w:val="00AA06C0"/>
    <w:rsid w:val="00AA4666"/>
    <w:rsid w:val="00AA4F23"/>
    <w:rsid w:val="00AA5176"/>
    <w:rsid w:val="00AA5409"/>
    <w:rsid w:val="00AA601D"/>
    <w:rsid w:val="00AA613D"/>
    <w:rsid w:val="00AB1609"/>
    <w:rsid w:val="00AB22BB"/>
    <w:rsid w:val="00AB2337"/>
    <w:rsid w:val="00AB2D01"/>
    <w:rsid w:val="00AB4BA5"/>
    <w:rsid w:val="00AB52B9"/>
    <w:rsid w:val="00AB6073"/>
    <w:rsid w:val="00AB6828"/>
    <w:rsid w:val="00AC78F5"/>
    <w:rsid w:val="00AD0F3A"/>
    <w:rsid w:val="00AD1736"/>
    <w:rsid w:val="00AD6580"/>
    <w:rsid w:val="00AD7EDA"/>
    <w:rsid w:val="00AE03B1"/>
    <w:rsid w:val="00AE09CB"/>
    <w:rsid w:val="00AE2A7A"/>
    <w:rsid w:val="00AE31D8"/>
    <w:rsid w:val="00AE3DB3"/>
    <w:rsid w:val="00AE4A5B"/>
    <w:rsid w:val="00AE4D2F"/>
    <w:rsid w:val="00AE50D5"/>
    <w:rsid w:val="00AE5AAC"/>
    <w:rsid w:val="00AE5B5B"/>
    <w:rsid w:val="00AE73EF"/>
    <w:rsid w:val="00AE7480"/>
    <w:rsid w:val="00AF190E"/>
    <w:rsid w:val="00AF6288"/>
    <w:rsid w:val="00AF6FF6"/>
    <w:rsid w:val="00AF78D1"/>
    <w:rsid w:val="00B00E98"/>
    <w:rsid w:val="00B00FE0"/>
    <w:rsid w:val="00B01799"/>
    <w:rsid w:val="00B0199B"/>
    <w:rsid w:val="00B06D56"/>
    <w:rsid w:val="00B073AA"/>
    <w:rsid w:val="00B11C41"/>
    <w:rsid w:val="00B12AAC"/>
    <w:rsid w:val="00B1466A"/>
    <w:rsid w:val="00B15FF8"/>
    <w:rsid w:val="00B162BE"/>
    <w:rsid w:val="00B16D44"/>
    <w:rsid w:val="00B16D8C"/>
    <w:rsid w:val="00B1755F"/>
    <w:rsid w:val="00B21EFD"/>
    <w:rsid w:val="00B228C4"/>
    <w:rsid w:val="00B270E0"/>
    <w:rsid w:val="00B27B8A"/>
    <w:rsid w:val="00B31AAF"/>
    <w:rsid w:val="00B32D2E"/>
    <w:rsid w:val="00B347F1"/>
    <w:rsid w:val="00B3650A"/>
    <w:rsid w:val="00B3752A"/>
    <w:rsid w:val="00B40D68"/>
    <w:rsid w:val="00B422C3"/>
    <w:rsid w:val="00B42EAB"/>
    <w:rsid w:val="00B45C8B"/>
    <w:rsid w:val="00B46E30"/>
    <w:rsid w:val="00B51689"/>
    <w:rsid w:val="00B517AF"/>
    <w:rsid w:val="00B51F26"/>
    <w:rsid w:val="00B54C8A"/>
    <w:rsid w:val="00B555E7"/>
    <w:rsid w:val="00B56124"/>
    <w:rsid w:val="00B56CBA"/>
    <w:rsid w:val="00B61288"/>
    <w:rsid w:val="00B61A7C"/>
    <w:rsid w:val="00B62AFB"/>
    <w:rsid w:val="00B62C22"/>
    <w:rsid w:val="00B711B0"/>
    <w:rsid w:val="00B71435"/>
    <w:rsid w:val="00B7145F"/>
    <w:rsid w:val="00B742C6"/>
    <w:rsid w:val="00B7583D"/>
    <w:rsid w:val="00B75A91"/>
    <w:rsid w:val="00B80283"/>
    <w:rsid w:val="00B8427D"/>
    <w:rsid w:val="00B844BD"/>
    <w:rsid w:val="00B87E12"/>
    <w:rsid w:val="00B9033F"/>
    <w:rsid w:val="00B90702"/>
    <w:rsid w:val="00B912D1"/>
    <w:rsid w:val="00B9167E"/>
    <w:rsid w:val="00B9205B"/>
    <w:rsid w:val="00B93939"/>
    <w:rsid w:val="00B93B5B"/>
    <w:rsid w:val="00B94F1D"/>
    <w:rsid w:val="00B955F9"/>
    <w:rsid w:val="00B9745A"/>
    <w:rsid w:val="00BA080F"/>
    <w:rsid w:val="00BA1CDE"/>
    <w:rsid w:val="00BA2B20"/>
    <w:rsid w:val="00BA54FD"/>
    <w:rsid w:val="00BA57B3"/>
    <w:rsid w:val="00BA6A3F"/>
    <w:rsid w:val="00BB06E1"/>
    <w:rsid w:val="00BB41DD"/>
    <w:rsid w:val="00BB458E"/>
    <w:rsid w:val="00BB79C4"/>
    <w:rsid w:val="00BB7F5B"/>
    <w:rsid w:val="00BC39C5"/>
    <w:rsid w:val="00BD031D"/>
    <w:rsid w:val="00BD0718"/>
    <w:rsid w:val="00BD0C15"/>
    <w:rsid w:val="00BD2249"/>
    <w:rsid w:val="00BD4706"/>
    <w:rsid w:val="00BD4CD4"/>
    <w:rsid w:val="00BD562B"/>
    <w:rsid w:val="00BD6570"/>
    <w:rsid w:val="00BD6880"/>
    <w:rsid w:val="00BE064B"/>
    <w:rsid w:val="00BE06BA"/>
    <w:rsid w:val="00BE0F38"/>
    <w:rsid w:val="00BE1544"/>
    <w:rsid w:val="00BE202E"/>
    <w:rsid w:val="00BE4EFD"/>
    <w:rsid w:val="00BE7231"/>
    <w:rsid w:val="00BE7395"/>
    <w:rsid w:val="00BF0EEA"/>
    <w:rsid w:val="00BF34ED"/>
    <w:rsid w:val="00BF4E6F"/>
    <w:rsid w:val="00BF713B"/>
    <w:rsid w:val="00BF7D36"/>
    <w:rsid w:val="00BF7E25"/>
    <w:rsid w:val="00C018C2"/>
    <w:rsid w:val="00C02E9D"/>
    <w:rsid w:val="00C02EE8"/>
    <w:rsid w:val="00C040E5"/>
    <w:rsid w:val="00C04ADB"/>
    <w:rsid w:val="00C061EE"/>
    <w:rsid w:val="00C07E57"/>
    <w:rsid w:val="00C126A3"/>
    <w:rsid w:val="00C1315B"/>
    <w:rsid w:val="00C14075"/>
    <w:rsid w:val="00C14972"/>
    <w:rsid w:val="00C15483"/>
    <w:rsid w:val="00C157AA"/>
    <w:rsid w:val="00C221A9"/>
    <w:rsid w:val="00C225AD"/>
    <w:rsid w:val="00C227F1"/>
    <w:rsid w:val="00C258F6"/>
    <w:rsid w:val="00C25937"/>
    <w:rsid w:val="00C25DBB"/>
    <w:rsid w:val="00C25E96"/>
    <w:rsid w:val="00C30F4F"/>
    <w:rsid w:val="00C312B2"/>
    <w:rsid w:val="00C3374C"/>
    <w:rsid w:val="00C36610"/>
    <w:rsid w:val="00C374F2"/>
    <w:rsid w:val="00C37984"/>
    <w:rsid w:val="00C40097"/>
    <w:rsid w:val="00C44956"/>
    <w:rsid w:val="00C458DE"/>
    <w:rsid w:val="00C45AD7"/>
    <w:rsid w:val="00C461D4"/>
    <w:rsid w:val="00C46B3F"/>
    <w:rsid w:val="00C46BBA"/>
    <w:rsid w:val="00C501AF"/>
    <w:rsid w:val="00C50C1C"/>
    <w:rsid w:val="00C51A4F"/>
    <w:rsid w:val="00C532C3"/>
    <w:rsid w:val="00C53DEE"/>
    <w:rsid w:val="00C54411"/>
    <w:rsid w:val="00C54DF1"/>
    <w:rsid w:val="00C56D5B"/>
    <w:rsid w:val="00C57327"/>
    <w:rsid w:val="00C578A4"/>
    <w:rsid w:val="00C57C86"/>
    <w:rsid w:val="00C62621"/>
    <w:rsid w:val="00C641A8"/>
    <w:rsid w:val="00C64CF5"/>
    <w:rsid w:val="00C65988"/>
    <w:rsid w:val="00C703D7"/>
    <w:rsid w:val="00C74A70"/>
    <w:rsid w:val="00C766F8"/>
    <w:rsid w:val="00C77A7B"/>
    <w:rsid w:val="00C808D8"/>
    <w:rsid w:val="00C80FDD"/>
    <w:rsid w:val="00C81F5D"/>
    <w:rsid w:val="00C8366D"/>
    <w:rsid w:val="00C847E7"/>
    <w:rsid w:val="00C90D15"/>
    <w:rsid w:val="00C9262E"/>
    <w:rsid w:val="00C93207"/>
    <w:rsid w:val="00C9332A"/>
    <w:rsid w:val="00C95ACD"/>
    <w:rsid w:val="00C96299"/>
    <w:rsid w:val="00C966DD"/>
    <w:rsid w:val="00CA0646"/>
    <w:rsid w:val="00CA2BA2"/>
    <w:rsid w:val="00CA3DA6"/>
    <w:rsid w:val="00CA5906"/>
    <w:rsid w:val="00CA6AAD"/>
    <w:rsid w:val="00CB0BA8"/>
    <w:rsid w:val="00CB139F"/>
    <w:rsid w:val="00CB1782"/>
    <w:rsid w:val="00CB560F"/>
    <w:rsid w:val="00CB5CD0"/>
    <w:rsid w:val="00CB5DBA"/>
    <w:rsid w:val="00CB7233"/>
    <w:rsid w:val="00CC12AA"/>
    <w:rsid w:val="00CC1D78"/>
    <w:rsid w:val="00CC1F81"/>
    <w:rsid w:val="00CC2B34"/>
    <w:rsid w:val="00CC7B88"/>
    <w:rsid w:val="00CC7FBF"/>
    <w:rsid w:val="00CD133D"/>
    <w:rsid w:val="00CD17BC"/>
    <w:rsid w:val="00CD1EC2"/>
    <w:rsid w:val="00CD2014"/>
    <w:rsid w:val="00CD23EF"/>
    <w:rsid w:val="00CD3190"/>
    <w:rsid w:val="00CD34E4"/>
    <w:rsid w:val="00CD3530"/>
    <w:rsid w:val="00CD3544"/>
    <w:rsid w:val="00CD47D4"/>
    <w:rsid w:val="00CD62DD"/>
    <w:rsid w:val="00CE1223"/>
    <w:rsid w:val="00CE169C"/>
    <w:rsid w:val="00CE2205"/>
    <w:rsid w:val="00CE2B94"/>
    <w:rsid w:val="00CE3122"/>
    <w:rsid w:val="00CE668F"/>
    <w:rsid w:val="00CE78A5"/>
    <w:rsid w:val="00CF031B"/>
    <w:rsid w:val="00CF067F"/>
    <w:rsid w:val="00CF1210"/>
    <w:rsid w:val="00CF15B8"/>
    <w:rsid w:val="00CF26B9"/>
    <w:rsid w:val="00CF2A25"/>
    <w:rsid w:val="00CF2E70"/>
    <w:rsid w:val="00CF4BEA"/>
    <w:rsid w:val="00CF4EAF"/>
    <w:rsid w:val="00CF56E4"/>
    <w:rsid w:val="00CF5BC7"/>
    <w:rsid w:val="00CF608F"/>
    <w:rsid w:val="00D04030"/>
    <w:rsid w:val="00D0758C"/>
    <w:rsid w:val="00D10739"/>
    <w:rsid w:val="00D10C82"/>
    <w:rsid w:val="00D121F6"/>
    <w:rsid w:val="00D12973"/>
    <w:rsid w:val="00D12CED"/>
    <w:rsid w:val="00D14BAB"/>
    <w:rsid w:val="00D14CE7"/>
    <w:rsid w:val="00D16276"/>
    <w:rsid w:val="00D17787"/>
    <w:rsid w:val="00D17D03"/>
    <w:rsid w:val="00D2006F"/>
    <w:rsid w:val="00D20CE2"/>
    <w:rsid w:val="00D20F0B"/>
    <w:rsid w:val="00D23BC9"/>
    <w:rsid w:val="00D24599"/>
    <w:rsid w:val="00D25CC7"/>
    <w:rsid w:val="00D26B22"/>
    <w:rsid w:val="00D271D2"/>
    <w:rsid w:val="00D31539"/>
    <w:rsid w:val="00D3159D"/>
    <w:rsid w:val="00D32FCF"/>
    <w:rsid w:val="00D3507F"/>
    <w:rsid w:val="00D35510"/>
    <w:rsid w:val="00D3610E"/>
    <w:rsid w:val="00D369FF"/>
    <w:rsid w:val="00D40699"/>
    <w:rsid w:val="00D44B4D"/>
    <w:rsid w:val="00D44EC5"/>
    <w:rsid w:val="00D473BA"/>
    <w:rsid w:val="00D511BF"/>
    <w:rsid w:val="00D51D6B"/>
    <w:rsid w:val="00D51F98"/>
    <w:rsid w:val="00D532FF"/>
    <w:rsid w:val="00D54F85"/>
    <w:rsid w:val="00D5520F"/>
    <w:rsid w:val="00D57DF8"/>
    <w:rsid w:val="00D60D90"/>
    <w:rsid w:val="00D61D1B"/>
    <w:rsid w:val="00D627A2"/>
    <w:rsid w:val="00D6384D"/>
    <w:rsid w:val="00D63DE3"/>
    <w:rsid w:val="00D66DC1"/>
    <w:rsid w:val="00D672D0"/>
    <w:rsid w:val="00D67636"/>
    <w:rsid w:val="00D676EB"/>
    <w:rsid w:val="00D70A8E"/>
    <w:rsid w:val="00D72D7D"/>
    <w:rsid w:val="00D72FC2"/>
    <w:rsid w:val="00D731F3"/>
    <w:rsid w:val="00D74BDB"/>
    <w:rsid w:val="00D74DFF"/>
    <w:rsid w:val="00D76179"/>
    <w:rsid w:val="00D8248B"/>
    <w:rsid w:val="00D8499E"/>
    <w:rsid w:val="00D90564"/>
    <w:rsid w:val="00D91407"/>
    <w:rsid w:val="00D928A1"/>
    <w:rsid w:val="00D93DF3"/>
    <w:rsid w:val="00D94E57"/>
    <w:rsid w:val="00D94FA7"/>
    <w:rsid w:val="00D95214"/>
    <w:rsid w:val="00D9582D"/>
    <w:rsid w:val="00D97A2F"/>
    <w:rsid w:val="00D97C5D"/>
    <w:rsid w:val="00DA070A"/>
    <w:rsid w:val="00DA15E5"/>
    <w:rsid w:val="00DA2894"/>
    <w:rsid w:val="00DA2A11"/>
    <w:rsid w:val="00DA3708"/>
    <w:rsid w:val="00DA52C4"/>
    <w:rsid w:val="00DA68FF"/>
    <w:rsid w:val="00DA6ED0"/>
    <w:rsid w:val="00DA740F"/>
    <w:rsid w:val="00DA75F3"/>
    <w:rsid w:val="00DB039C"/>
    <w:rsid w:val="00DB2F3E"/>
    <w:rsid w:val="00DB4939"/>
    <w:rsid w:val="00DB494B"/>
    <w:rsid w:val="00DB4D54"/>
    <w:rsid w:val="00DB594D"/>
    <w:rsid w:val="00DB5DC5"/>
    <w:rsid w:val="00DB6015"/>
    <w:rsid w:val="00DB76DF"/>
    <w:rsid w:val="00DB7F3B"/>
    <w:rsid w:val="00DC15C2"/>
    <w:rsid w:val="00DC1C59"/>
    <w:rsid w:val="00DC1D47"/>
    <w:rsid w:val="00DC23DF"/>
    <w:rsid w:val="00DC2ABC"/>
    <w:rsid w:val="00DC522B"/>
    <w:rsid w:val="00DD32B4"/>
    <w:rsid w:val="00DD46E8"/>
    <w:rsid w:val="00DD6BAE"/>
    <w:rsid w:val="00DD6E34"/>
    <w:rsid w:val="00DD7036"/>
    <w:rsid w:val="00DD7945"/>
    <w:rsid w:val="00DD7949"/>
    <w:rsid w:val="00DE0381"/>
    <w:rsid w:val="00DE1AED"/>
    <w:rsid w:val="00DE2467"/>
    <w:rsid w:val="00DE376E"/>
    <w:rsid w:val="00DE39B2"/>
    <w:rsid w:val="00DE4443"/>
    <w:rsid w:val="00DE5802"/>
    <w:rsid w:val="00DE7220"/>
    <w:rsid w:val="00DF0C56"/>
    <w:rsid w:val="00DF31BA"/>
    <w:rsid w:val="00DF4BB6"/>
    <w:rsid w:val="00DF503E"/>
    <w:rsid w:val="00DF7BEE"/>
    <w:rsid w:val="00E0011C"/>
    <w:rsid w:val="00E005B2"/>
    <w:rsid w:val="00E020F8"/>
    <w:rsid w:val="00E047BD"/>
    <w:rsid w:val="00E06CAD"/>
    <w:rsid w:val="00E06DC1"/>
    <w:rsid w:val="00E10943"/>
    <w:rsid w:val="00E12CDF"/>
    <w:rsid w:val="00E13CEB"/>
    <w:rsid w:val="00E168F9"/>
    <w:rsid w:val="00E1753B"/>
    <w:rsid w:val="00E17E4C"/>
    <w:rsid w:val="00E20363"/>
    <w:rsid w:val="00E20C80"/>
    <w:rsid w:val="00E23238"/>
    <w:rsid w:val="00E24A5B"/>
    <w:rsid w:val="00E2656F"/>
    <w:rsid w:val="00E26812"/>
    <w:rsid w:val="00E27465"/>
    <w:rsid w:val="00E3034B"/>
    <w:rsid w:val="00E30A1F"/>
    <w:rsid w:val="00E31BB0"/>
    <w:rsid w:val="00E32978"/>
    <w:rsid w:val="00E40223"/>
    <w:rsid w:val="00E40EDE"/>
    <w:rsid w:val="00E41274"/>
    <w:rsid w:val="00E41DF3"/>
    <w:rsid w:val="00E42AA6"/>
    <w:rsid w:val="00E453F4"/>
    <w:rsid w:val="00E467DD"/>
    <w:rsid w:val="00E476B7"/>
    <w:rsid w:val="00E51C71"/>
    <w:rsid w:val="00E52D02"/>
    <w:rsid w:val="00E54176"/>
    <w:rsid w:val="00E543F3"/>
    <w:rsid w:val="00E55A31"/>
    <w:rsid w:val="00E575E6"/>
    <w:rsid w:val="00E57D92"/>
    <w:rsid w:val="00E60A30"/>
    <w:rsid w:val="00E6424A"/>
    <w:rsid w:val="00E6440E"/>
    <w:rsid w:val="00E703F2"/>
    <w:rsid w:val="00E7333C"/>
    <w:rsid w:val="00E739BB"/>
    <w:rsid w:val="00E753C8"/>
    <w:rsid w:val="00E80BBF"/>
    <w:rsid w:val="00E817B0"/>
    <w:rsid w:val="00E81C1F"/>
    <w:rsid w:val="00E82E97"/>
    <w:rsid w:val="00E83BD8"/>
    <w:rsid w:val="00E83E3C"/>
    <w:rsid w:val="00E85C46"/>
    <w:rsid w:val="00E8624D"/>
    <w:rsid w:val="00E86A9A"/>
    <w:rsid w:val="00E91F90"/>
    <w:rsid w:val="00E92D8F"/>
    <w:rsid w:val="00E93B27"/>
    <w:rsid w:val="00E96167"/>
    <w:rsid w:val="00E9756D"/>
    <w:rsid w:val="00E97762"/>
    <w:rsid w:val="00EA0488"/>
    <w:rsid w:val="00EA0710"/>
    <w:rsid w:val="00EA0E57"/>
    <w:rsid w:val="00EA2485"/>
    <w:rsid w:val="00EA34E2"/>
    <w:rsid w:val="00EA3F59"/>
    <w:rsid w:val="00EA41E2"/>
    <w:rsid w:val="00EA5ED3"/>
    <w:rsid w:val="00EA6A65"/>
    <w:rsid w:val="00EA7487"/>
    <w:rsid w:val="00EB04B5"/>
    <w:rsid w:val="00EB076C"/>
    <w:rsid w:val="00EB0A6D"/>
    <w:rsid w:val="00EB1276"/>
    <w:rsid w:val="00EB21D3"/>
    <w:rsid w:val="00EB2881"/>
    <w:rsid w:val="00EB295A"/>
    <w:rsid w:val="00EB39B3"/>
    <w:rsid w:val="00EB4462"/>
    <w:rsid w:val="00EC5317"/>
    <w:rsid w:val="00EC5940"/>
    <w:rsid w:val="00EC68DC"/>
    <w:rsid w:val="00ED0846"/>
    <w:rsid w:val="00ED14D0"/>
    <w:rsid w:val="00ED3600"/>
    <w:rsid w:val="00ED625F"/>
    <w:rsid w:val="00EE25B9"/>
    <w:rsid w:val="00EE4D16"/>
    <w:rsid w:val="00EE57E2"/>
    <w:rsid w:val="00EF263E"/>
    <w:rsid w:val="00EF3700"/>
    <w:rsid w:val="00EF478F"/>
    <w:rsid w:val="00EF513E"/>
    <w:rsid w:val="00EF7D26"/>
    <w:rsid w:val="00F00873"/>
    <w:rsid w:val="00F02963"/>
    <w:rsid w:val="00F03863"/>
    <w:rsid w:val="00F0715F"/>
    <w:rsid w:val="00F07A50"/>
    <w:rsid w:val="00F1062F"/>
    <w:rsid w:val="00F1188F"/>
    <w:rsid w:val="00F12937"/>
    <w:rsid w:val="00F12CA3"/>
    <w:rsid w:val="00F13124"/>
    <w:rsid w:val="00F16458"/>
    <w:rsid w:val="00F16C37"/>
    <w:rsid w:val="00F20EDF"/>
    <w:rsid w:val="00F210AC"/>
    <w:rsid w:val="00F2205E"/>
    <w:rsid w:val="00F225EB"/>
    <w:rsid w:val="00F2452F"/>
    <w:rsid w:val="00F24B60"/>
    <w:rsid w:val="00F252D8"/>
    <w:rsid w:val="00F256F1"/>
    <w:rsid w:val="00F309E5"/>
    <w:rsid w:val="00F333B0"/>
    <w:rsid w:val="00F33D50"/>
    <w:rsid w:val="00F348A3"/>
    <w:rsid w:val="00F34E5D"/>
    <w:rsid w:val="00F35156"/>
    <w:rsid w:val="00F36678"/>
    <w:rsid w:val="00F368D4"/>
    <w:rsid w:val="00F36ECB"/>
    <w:rsid w:val="00F3720C"/>
    <w:rsid w:val="00F40C22"/>
    <w:rsid w:val="00F40DB5"/>
    <w:rsid w:val="00F42109"/>
    <w:rsid w:val="00F42D19"/>
    <w:rsid w:val="00F44533"/>
    <w:rsid w:val="00F456CB"/>
    <w:rsid w:val="00F50898"/>
    <w:rsid w:val="00F51F05"/>
    <w:rsid w:val="00F53BDE"/>
    <w:rsid w:val="00F53BF4"/>
    <w:rsid w:val="00F548C4"/>
    <w:rsid w:val="00F57117"/>
    <w:rsid w:val="00F62917"/>
    <w:rsid w:val="00F63902"/>
    <w:rsid w:val="00F63989"/>
    <w:rsid w:val="00F64F44"/>
    <w:rsid w:val="00F6676F"/>
    <w:rsid w:val="00F72B73"/>
    <w:rsid w:val="00F733F6"/>
    <w:rsid w:val="00F744F9"/>
    <w:rsid w:val="00F74B32"/>
    <w:rsid w:val="00F82CB7"/>
    <w:rsid w:val="00F85749"/>
    <w:rsid w:val="00F85C1C"/>
    <w:rsid w:val="00F91DF9"/>
    <w:rsid w:val="00F920F5"/>
    <w:rsid w:val="00F939AA"/>
    <w:rsid w:val="00F952AF"/>
    <w:rsid w:val="00F96A8E"/>
    <w:rsid w:val="00F973E9"/>
    <w:rsid w:val="00FA3353"/>
    <w:rsid w:val="00FA3E17"/>
    <w:rsid w:val="00FA4EF3"/>
    <w:rsid w:val="00FA5EAE"/>
    <w:rsid w:val="00FA76AA"/>
    <w:rsid w:val="00FB08C7"/>
    <w:rsid w:val="00FB11B9"/>
    <w:rsid w:val="00FB1210"/>
    <w:rsid w:val="00FB1651"/>
    <w:rsid w:val="00FB36BD"/>
    <w:rsid w:val="00FB4C58"/>
    <w:rsid w:val="00FB4E5D"/>
    <w:rsid w:val="00FB5C35"/>
    <w:rsid w:val="00FB6DD2"/>
    <w:rsid w:val="00FB79C4"/>
    <w:rsid w:val="00FC05C5"/>
    <w:rsid w:val="00FC1256"/>
    <w:rsid w:val="00FC5534"/>
    <w:rsid w:val="00FC58B5"/>
    <w:rsid w:val="00FC7E0B"/>
    <w:rsid w:val="00FC7FBD"/>
    <w:rsid w:val="00FD126B"/>
    <w:rsid w:val="00FD2866"/>
    <w:rsid w:val="00FD43DC"/>
    <w:rsid w:val="00FD6720"/>
    <w:rsid w:val="00FD6D60"/>
    <w:rsid w:val="00FD6F5A"/>
    <w:rsid w:val="00FE3A49"/>
    <w:rsid w:val="00FE3C8B"/>
    <w:rsid w:val="00FE45CD"/>
    <w:rsid w:val="00FE5FBD"/>
    <w:rsid w:val="00FF2C62"/>
    <w:rsid w:val="00FF314F"/>
    <w:rsid w:val="00FF401D"/>
    <w:rsid w:val="00FF42AE"/>
    <w:rsid w:val="00FF4AF9"/>
    <w:rsid w:val="00FF4D98"/>
    <w:rsid w:val="00FF5876"/>
    <w:rsid w:val="00FF69B6"/>
    <w:rsid w:val="00FF734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554"/>
    <w:pPr>
      <w:spacing w:after="200" w:line="276" w:lineRule="auto"/>
    </w:pPr>
    <w:rPr>
      <w:sz w:val="22"/>
      <w:szCs w:val="22"/>
      <w:lang w:eastAsia="en-US"/>
    </w:rPr>
  </w:style>
  <w:style w:type="paragraph" w:styleId="10">
    <w:name w:val="heading 1"/>
    <w:basedOn w:val="a"/>
    <w:next w:val="a"/>
    <w:link w:val="11"/>
    <w:uiPriority w:val="9"/>
    <w:qFormat/>
    <w:rsid w:val="004F7389"/>
    <w:pPr>
      <w:keepNext/>
      <w:spacing w:before="240" w:after="60"/>
      <w:outlineLvl w:val="0"/>
    </w:pPr>
    <w:rPr>
      <w:rFonts w:ascii="Cambria" w:eastAsia="Times New Roman" w:hAnsi="Cambria"/>
      <w:b/>
      <w:bCs/>
      <w:kern w:val="32"/>
      <w:sz w:val="32"/>
      <w:szCs w:val="32"/>
    </w:rPr>
  </w:style>
  <w:style w:type="paragraph" w:styleId="20">
    <w:name w:val="heading 2"/>
    <w:basedOn w:val="a"/>
    <w:next w:val="a"/>
    <w:link w:val="21"/>
    <w:qFormat/>
    <w:rsid w:val="004F7389"/>
    <w:pPr>
      <w:keepNext/>
      <w:spacing w:after="0" w:line="240" w:lineRule="auto"/>
      <w:jc w:val="center"/>
      <w:outlineLvl w:val="1"/>
    </w:pPr>
    <w:rPr>
      <w:rFonts w:ascii="Times New Roman" w:eastAsia="Times New Roman" w:hAnsi="Times New Roman"/>
      <w:sz w:val="28"/>
      <w:szCs w:val="24"/>
      <w:lang w:eastAsia="ru-RU"/>
    </w:rPr>
  </w:style>
  <w:style w:type="paragraph" w:styleId="3">
    <w:name w:val="heading 3"/>
    <w:basedOn w:val="a"/>
    <w:next w:val="a"/>
    <w:link w:val="30"/>
    <w:qFormat/>
    <w:rsid w:val="004F7389"/>
    <w:pPr>
      <w:keepNext/>
      <w:spacing w:after="0" w:line="360" w:lineRule="auto"/>
      <w:jc w:val="center"/>
      <w:outlineLvl w:val="2"/>
    </w:pPr>
    <w:rPr>
      <w:rFonts w:ascii="Times New Roman" w:eastAsia="Times New Roman" w:hAnsi="Times New Roman"/>
      <w:b/>
      <w:bCs/>
      <w:sz w:val="28"/>
      <w:szCs w:val="24"/>
      <w:lang w:eastAsia="ru-RU"/>
    </w:rPr>
  </w:style>
  <w:style w:type="paragraph" w:styleId="4">
    <w:name w:val="heading 4"/>
    <w:basedOn w:val="a"/>
    <w:next w:val="a"/>
    <w:link w:val="40"/>
    <w:qFormat/>
    <w:rsid w:val="004F7389"/>
    <w:pPr>
      <w:keepNext/>
      <w:spacing w:after="0" w:line="360" w:lineRule="auto"/>
      <w:ind w:firstLine="720"/>
      <w:outlineLvl w:val="3"/>
    </w:pPr>
    <w:rPr>
      <w:rFonts w:ascii="Times New Roman" w:eastAsia="Times New Roman" w:hAnsi="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2337"/>
    <w:pPr>
      <w:ind w:left="720"/>
      <w:contextualSpacing/>
    </w:pPr>
    <w:rPr>
      <w:lang w:val="ru-RU"/>
    </w:rPr>
  </w:style>
  <w:style w:type="paragraph" w:customStyle="1" w:styleId="Default">
    <w:name w:val="Default"/>
    <w:rsid w:val="00AB2337"/>
    <w:pPr>
      <w:autoSpaceDE w:val="0"/>
      <w:autoSpaceDN w:val="0"/>
      <w:adjustRightInd w:val="0"/>
    </w:pPr>
    <w:rPr>
      <w:rFonts w:ascii="Times New Roman" w:hAnsi="Times New Roman"/>
      <w:color w:val="000000"/>
      <w:sz w:val="24"/>
      <w:szCs w:val="24"/>
    </w:rPr>
  </w:style>
  <w:style w:type="paragraph" w:styleId="a4">
    <w:name w:val="footer"/>
    <w:basedOn w:val="a"/>
    <w:link w:val="a5"/>
    <w:uiPriority w:val="99"/>
    <w:unhideWhenUsed/>
    <w:rsid w:val="00AF78D1"/>
    <w:pPr>
      <w:tabs>
        <w:tab w:val="center" w:pos="4819"/>
        <w:tab w:val="right" w:pos="9639"/>
      </w:tabs>
      <w:spacing w:after="0" w:line="240" w:lineRule="auto"/>
    </w:pPr>
    <w:rPr>
      <w:sz w:val="20"/>
      <w:szCs w:val="20"/>
    </w:rPr>
  </w:style>
  <w:style w:type="character" w:customStyle="1" w:styleId="a5">
    <w:name w:val="Нижний колонтитул Знак"/>
    <w:link w:val="a4"/>
    <w:uiPriority w:val="99"/>
    <w:rsid w:val="00AF78D1"/>
    <w:rPr>
      <w:rFonts w:ascii="Calibri" w:eastAsia="Calibri" w:hAnsi="Calibri" w:cs="Times New Roman"/>
    </w:rPr>
  </w:style>
  <w:style w:type="paragraph" w:styleId="a6">
    <w:name w:val="footnote text"/>
    <w:basedOn w:val="a"/>
    <w:link w:val="a7"/>
    <w:uiPriority w:val="99"/>
    <w:unhideWhenUsed/>
    <w:rsid w:val="00AF78D1"/>
    <w:pPr>
      <w:spacing w:after="0" w:line="240" w:lineRule="auto"/>
    </w:pPr>
    <w:rPr>
      <w:sz w:val="20"/>
      <w:szCs w:val="20"/>
    </w:rPr>
  </w:style>
  <w:style w:type="character" w:customStyle="1" w:styleId="a7">
    <w:name w:val="Текст сноски Знак"/>
    <w:link w:val="a6"/>
    <w:uiPriority w:val="99"/>
    <w:rsid w:val="00AF78D1"/>
    <w:rPr>
      <w:rFonts w:ascii="Calibri" w:eastAsia="Calibri" w:hAnsi="Calibri" w:cs="Times New Roman"/>
      <w:sz w:val="20"/>
      <w:szCs w:val="20"/>
    </w:rPr>
  </w:style>
  <w:style w:type="character" w:styleId="a8">
    <w:name w:val="footnote reference"/>
    <w:semiHidden/>
    <w:unhideWhenUsed/>
    <w:rsid w:val="00AF78D1"/>
    <w:rPr>
      <w:vertAlign w:val="superscript"/>
    </w:rPr>
  </w:style>
  <w:style w:type="character" w:styleId="a9">
    <w:name w:val="Hyperlink"/>
    <w:unhideWhenUsed/>
    <w:rsid w:val="00AF78D1"/>
    <w:rPr>
      <w:color w:val="0000FF"/>
      <w:u w:val="single"/>
    </w:rPr>
  </w:style>
  <w:style w:type="paragraph" w:styleId="aa">
    <w:name w:val="header"/>
    <w:basedOn w:val="a"/>
    <w:link w:val="ab"/>
    <w:uiPriority w:val="99"/>
    <w:unhideWhenUsed/>
    <w:rsid w:val="00AF78D1"/>
    <w:pPr>
      <w:tabs>
        <w:tab w:val="center" w:pos="4819"/>
        <w:tab w:val="right" w:pos="9639"/>
      </w:tabs>
      <w:spacing w:after="0" w:line="240" w:lineRule="auto"/>
    </w:pPr>
    <w:rPr>
      <w:sz w:val="20"/>
      <w:szCs w:val="20"/>
    </w:rPr>
  </w:style>
  <w:style w:type="character" w:customStyle="1" w:styleId="ab">
    <w:name w:val="Верхний колонтитул Знак"/>
    <w:link w:val="aa"/>
    <w:uiPriority w:val="99"/>
    <w:rsid w:val="00AF78D1"/>
    <w:rPr>
      <w:rFonts w:ascii="Calibri" w:eastAsia="Calibri" w:hAnsi="Calibri" w:cs="Times New Roman"/>
    </w:rPr>
  </w:style>
  <w:style w:type="paragraph" w:styleId="ac">
    <w:name w:val="Balloon Text"/>
    <w:basedOn w:val="a"/>
    <w:link w:val="ad"/>
    <w:uiPriority w:val="99"/>
    <w:semiHidden/>
    <w:unhideWhenUsed/>
    <w:rsid w:val="00AF78D1"/>
    <w:pPr>
      <w:spacing w:after="0" w:line="240" w:lineRule="auto"/>
    </w:pPr>
    <w:rPr>
      <w:rFonts w:ascii="Tahoma" w:hAnsi="Tahoma"/>
      <w:sz w:val="16"/>
      <w:szCs w:val="16"/>
    </w:rPr>
  </w:style>
  <w:style w:type="character" w:customStyle="1" w:styleId="ad">
    <w:name w:val="Текст выноски Знак"/>
    <w:link w:val="ac"/>
    <w:uiPriority w:val="99"/>
    <w:semiHidden/>
    <w:rsid w:val="00AF78D1"/>
    <w:rPr>
      <w:rFonts w:ascii="Tahoma" w:eastAsia="Calibri" w:hAnsi="Tahoma" w:cs="Tahoma"/>
      <w:sz w:val="16"/>
      <w:szCs w:val="16"/>
    </w:rPr>
  </w:style>
  <w:style w:type="table" w:styleId="ae">
    <w:name w:val="Table Grid"/>
    <w:basedOn w:val="a1"/>
    <w:uiPriority w:val="59"/>
    <w:rsid w:val="00AF78D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caption"/>
    <w:basedOn w:val="a"/>
    <w:next w:val="a"/>
    <w:uiPriority w:val="35"/>
    <w:unhideWhenUsed/>
    <w:qFormat/>
    <w:rsid w:val="00AF78D1"/>
    <w:pPr>
      <w:spacing w:line="240" w:lineRule="auto"/>
    </w:pPr>
    <w:rPr>
      <w:b/>
      <w:bCs/>
      <w:color w:val="4F81BD"/>
      <w:sz w:val="18"/>
      <w:szCs w:val="18"/>
    </w:rPr>
  </w:style>
  <w:style w:type="paragraph" w:styleId="HTML">
    <w:name w:val="HTML Preformatted"/>
    <w:basedOn w:val="a"/>
    <w:link w:val="HTML0"/>
    <w:uiPriority w:val="99"/>
    <w:semiHidden/>
    <w:unhideWhenUsed/>
    <w:rsid w:val="00AF78D1"/>
    <w:pPr>
      <w:spacing w:after="0" w:line="240" w:lineRule="auto"/>
    </w:pPr>
    <w:rPr>
      <w:rFonts w:ascii="Consolas" w:hAnsi="Consolas"/>
      <w:sz w:val="20"/>
      <w:szCs w:val="20"/>
    </w:rPr>
  </w:style>
  <w:style w:type="character" w:customStyle="1" w:styleId="HTML0">
    <w:name w:val="Стандартный HTML Знак"/>
    <w:link w:val="HTML"/>
    <w:uiPriority w:val="99"/>
    <w:semiHidden/>
    <w:rsid w:val="00AF78D1"/>
    <w:rPr>
      <w:rFonts w:ascii="Consolas" w:eastAsia="Calibri" w:hAnsi="Consolas" w:cs="Consolas"/>
      <w:sz w:val="20"/>
      <w:szCs w:val="20"/>
    </w:rPr>
  </w:style>
  <w:style w:type="character" w:customStyle="1" w:styleId="11">
    <w:name w:val="Заголовок 1 Знак"/>
    <w:link w:val="10"/>
    <w:uiPriority w:val="9"/>
    <w:rsid w:val="004F7389"/>
    <w:rPr>
      <w:rFonts w:ascii="Cambria" w:eastAsia="Times New Roman" w:hAnsi="Cambria" w:cs="Times New Roman"/>
      <w:b/>
      <w:bCs/>
      <w:kern w:val="32"/>
      <w:sz w:val="32"/>
      <w:szCs w:val="32"/>
    </w:rPr>
  </w:style>
  <w:style w:type="character" w:customStyle="1" w:styleId="21">
    <w:name w:val="Заголовок 2 Знак"/>
    <w:link w:val="20"/>
    <w:rsid w:val="004F7389"/>
    <w:rPr>
      <w:rFonts w:ascii="Times New Roman" w:eastAsia="Times New Roman" w:hAnsi="Times New Roman" w:cs="Times New Roman"/>
      <w:sz w:val="28"/>
      <w:szCs w:val="24"/>
      <w:lang w:eastAsia="ru-RU"/>
    </w:rPr>
  </w:style>
  <w:style w:type="character" w:customStyle="1" w:styleId="30">
    <w:name w:val="Заголовок 3 Знак"/>
    <w:link w:val="3"/>
    <w:rsid w:val="004F7389"/>
    <w:rPr>
      <w:rFonts w:ascii="Times New Roman" w:eastAsia="Times New Roman" w:hAnsi="Times New Roman" w:cs="Times New Roman"/>
      <w:b/>
      <w:bCs/>
      <w:sz w:val="28"/>
      <w:szCs w:val="24"/>
      <w:lang w:eastAsia="ru-RU"/>
    </w:rPr>
  </w:style>
  <w:style w:type="character" w:customStyle="1" w:styleId="40">
    <w:name w:val="Заголовок 4 Знак"/>
    <w:link w:val="4"/>
    <w:rsid w:val="004F7389"/>
    <w:rPr>
      <w:rFonts w:ascii="Times New Roman" w:eastAsia="Times New Roman" w:hAnsi="Times New Roman" w:cs="Times New Roman"/>
      <w:sz w:val="28"/>
      <w:szCs w:val="24"/>
      <w:lang w:eastAsia="ru-RU"/>
    </w:rPr>
  </w:style>
  <w:style w:type="numbering" w:customStyle="1" w:styleId="12">
    <w:name w:val="Нет списка1"/>
    <w:next w:val="a2"/>
    <w:uiPriority w:val="99"/>
    <w:semiHidden/>
    <w:unhideWhenUsed/>
    <w:rsid w:val="004F7389"/>
  </w:style>
  <w:style w:type="character" w:styleId="af0">
    <w:name w:val="FollowedHyperlink"/>
    <w:semiHidden/>
    <w:unhideWhenUsed/>
    <w:rsid w:val="004F7389"/>
    <w:rPr>
      <w:color w:val="800080"/>
      <w:u w:val="single"/>
    </w:rPr>
  </w:style>
  <w:style w:type="paragraph" w:styleId="af1">
    <w:name w:val="Normal (Web)"/>
    <w:basedOn w:val="a"/>
    <w:uiPriority w:val="99"/>
    <w:semiHidden/>
    <w:unhideWhenUsed/>
    <w:rsid w:val="004F7389"/>
    <w:rPr>
      <w:rFonts w:ascii="Times New Roman" w:hAnsi="Times New Roman"/>
      <w:sz w:val="24"/>
      <w:szCs w:val="24"/>
    </w:rPr>
  </w:style>
  <w:style w:type="table" w:customStyle="1" w:styleId="13">
    <w:name w:val="Сетка таблицы1"/>
    <w:basedOn w:val="a1"/>
    <w:next w:val="ae"/>
    <w:uiPriority w:val="59"/>
    <w:rsid w:val="004F73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Нет списка11"/>
    <w:next w:val="a2"/>
    <w:uiPriority w:val="99"/>
    <w:semiHidden/>
    <w:unhideWhenUsed/>
    <w:rsid w:val="004F7389"/>
  </w:style>
  <w:style w:type="paragraph" w:styleId="af2">
    <w:name w:val="Title"/>
    <w:basedOn w:val="a"/>
    <w:link w:val="af3"/>
    <w:qFormat/>
    <w:rsid w:val="004F7389"/>
    <w:pPr>
      <w:spacing w:after="0" w:line="240" w:lineRule="auto"/>
      <w:jc w:val="center"/>
    </w:pPr>
    <w:rPr>
      <w:rFonts w:ascii="Times New Roman" w:eastAsia="Times New Roman" w:hAnsi="Times New Roman"/>
      <w:sz w:val="28"/>
      <w:szCs w:val="24"/>
      <w:lang w:eastAsia="ru-RU"/>
    </w:rPr>
  </w:style>
  <w:style w:type="character" w:customStyle="1" w:styleId="af3">
    <w:name w:val="Название Знак"/>
    <w:link w:val="af2"/>
    <w:rsid w:val="004F7389"/>
    <w:rPr>
      <w:rFonts w:ascii="Times New Roman" w:eastAsia="Times New Roman" w:hAnsi="Times New Roman" w:cs="Times New Roman"/>
      <w:sz w:val="28"/>
      <w:szCs w:val="24"/>
      <w:lang w:eastAsia="ru-RU"/>
    </w:rPr>
  </w:style>
  <w:style w:type="paragraph" w:styleId="af4">
    <w:name w:val="Body Text Indent"/>
    <w:basedOn w:val="a"/>
    <w:link w:val="af5"/>
    <w:semiHidden/>
    <w:rsid w:val="004F7389"/>
    <w:pPr>
      <w:spacing w:after="0" w:line="360" w:lineRule="auto"/>
      <w:ind w:firstLine="720"/>
      <w:jc w:val="both"/>
    </w:pPr>
    <w:rPr>
      <w:rFonts w:ascii="Times New Roman" w:eastAsia="Times New Roman" w:hAnsi="Times New Roman"/>
      <w:sz w:val="28"/>
      <w:szCs w:val="28"/>
      <w:lang w:val="ru-RU" w:eastAsia="ru-RU"/>
    </w:rPr>
  </w:style>
  <w:style w:type="character" w:customStyle="1" w:styleId="af5">
    <w:name w:val="Основной текст с отступом Знак"/>
    <w:link w:val="af4"/>
    <w:semiHidden/>
    <w:rsid w:val="004F7389"/>
    <w:rPr>
      <w:rFonts w:ascii="Times New Roman" w:eastAsia="Times New Roman" w:hAnsi="Times New Roman" w:cs="Times New Roman"/>
      <w:sz w:val="28"/>
      <w:szCs w:val="28"/>
      <w:lang w:val="ru-RU" w:eastAsia="ru-RU"/>
    </w:rPr>
  </w:style>
  <w:style w:type="character" w:customStyle="1" w:styleId="apple-converted-space">
    <w:name w:val="apple-converted-space"/>
    <w:rsid w:val="004F7389"/>
  </w:style>
  <w:style w:type="character" w:styleId="af6">
    <w:name w:val="Emphasis"/>
    <w:qFormat/>
    <w:rsid w:val="004F7389"/>
    <w:rPr>
      <w:i/>
      <w:iCs/>
    </w:rPr>
  </w:style>
  <w:style w:type="paragraph" w:styleId="af7">
    <w:name w:val="Body Text"/>
    <w:basedOn w:val="a"/>
    <w:link w:val="af8"/>
    <w:rsid w:val="004F7389"/>
    <w:pPr>
      <w:spacing w:after="0" w:line="240" w:lineRule="auto"/>
      <w:jc w:val="both"/>
    </w:pPr>
    <w:rPr>
      <w:rFonts w:ascii="Times New Roman" w:eastAsia="Times New Roman" w:hAnsi="Times New Roman"/>
      <w:sz w:val="28"/>
      <w:szCs w:val="24"/>
      <w:lang w:eastAsia="ru-RU"/>
    </w:rPr>
  </w:style>
  <w:style w:type="character" w:customStyle="1" w:styleId="af8">
    <w:name w:val="Основной текст Знак"/>
    <w:link w:val="af7"/>
    <w:rsid w:val="004F7389"/>
    <w:rPr>
      <w:rFonts w:ascii="Times New Roman" w:eastAsia="Times New Roman" w:hAnsi="Times New Roman" w:cs="Times New Roman"/>
      <w:sz w:val="28"/>
      <w:szCs w:val="24"/>
      <w:lang w:eastAsia="ru-RU"/>
    </w:rPr>
  </w:style>
  <w:style w:type="paragraph" w:customStyle="1" w:styleId="14">
    <w:name w:val="Абзац списка1"/>
    <w:basedOn w:val="a"/>
    <w:qFormat/>
    <w:rsid w:val="004F7389"/>
    <w:pPr>
      <w:ind w:left="720"/>
      <w:contextualSpacing/>
    </w:pPr>
    <w:rPr>
      <w:rFonts w:eastAsia="Times New Roman"/>
      <w:lang w:eastAsia="uk-UA"/>
    </w:rPr>
  </w:style>
  <w:style w:type="character" w:customStyle="1" w:styleId="notranslate">
    <w:name w:val="notranslate"/>
    <w:rsid w:val="004F7389"/>
  </w:style>
  <w:style w:type="character" w:styleId="af9">
    <w:name w:val="page number"/>
    <w:semiHidden/>
    <w:rsid w:val="004F7389"/>
  </w:style>
  <w:style w:type="paragraph" w:styleId="22">
    <w:name w:val="Body Text Indent 2"/>
    <w:basedOn w:val="a"/>
    <w:link w:val="23"/>
    <w:semiHidden/>
    <w:rsid w:val="004F7389"/>
    <w:pPr>
      <w:spacing w:after="0" w:line="360" w:lineRule="auto"/>
      <w:ind w:firstLine="720"/>
      <w:jc w:val="both"/>
    </w:pPr>
    <w:rPr>
      <w:rFonts w:ascii="Times New Roman" w:eastAsia="Times New Roman" w:hAnsi="Times New Roman"/>
      <w:color w:val="000000"/>
      <w:sz w:val="28"/>
      <w:szCs w:val="28"/>
      <w:lang w:val="en-US" w:eastAsia="ru-RU"/>
    </w:rPr>
  </w:style>
  <w:style w:type="character" w:customStyle="1" w:styleId="23">
    <w:name w:val="Основной текст с отступом 2 Знак"/>
    <w:link w:val="22"/>
    <w:semiHidden/>
    <w:rsid w:val="004F7389"/>
    <w:rPr>
      <w:rFonts w:ascii="Times New Roman" w:eastAsia="Times New Roman" w:hAnsi="Times New Roman" w:cs="Times New Roman"/>
      <w:color w:val="000000"/>
      <w:sz w:val="28"/>
      <w:szCs w:val="28"/>
      <w:lang w:val="en-US" w:eastAsia="ru-RU"/>
    </w:rPr>
  </w:style>
  <w:style w:type="character" w:customStyle="1" w:styleId="HeaderChar">
    <w:name w:val="Header Char"/>
    <w:rsid w:val="004F7389"/>
    <w:rPr>
      <w:sz w:val="24"/>
      <w:szCs w:val="24"/>
      <w:lang w:val="ru-RU" w:eastAsia="ru-RU"/>
    </w:rPr>
  </w:style>
  <w:style w:type="paragraph" w:styleId="31">
    <w:name w:val="Body Text Indent 3"/>
    <w:basedOn w:val="a"/>
    <w:link w:val="32"/>
    <w:semiHidden/>
    <w:rsid w:val="004F7389"/>
    <w:pPr>
      <w:spacing w:after="0" w:line="360" w:lineRule="auto"/>
      <w:ind w:firstLine="709"/>
      <w:jc w:val="both"/>
    </w:pPr>
    <w:rPr>
      <w:rFonts w:ascii="Times New Roman" w:eastAsia="Times New Roman" w:hAnsi="Times New Roman"/>
      <w:sz w:val="28"/>
      <w:szCs w:val="28"/>
      <w:lang w:val="en-US" w:eastAsia="ru-RU"/>
    </w:rPr>
  </w:style>
  <w:style w:type="character" w:customStyle="1" w:styleId="32">
    <w:name w:val="Основной текст с отступом 3 Знак"/>
    <w:link w:val="31"/>
    <w:semiHidden/>
    <w:rsid w:val="004F7389"/>
    <w:rPr>
      <w:rFonts w:ascii="Times New Roman" w:eastAsia="Times New Roman" w:hAnsi="Times New Roman" w:cs="Times New Roman"/>
      <w:sz w:val="28"/>
      <w:szCs w:val="28"/>
      <w:lang w:val="en-US" w:eastAsia="ru-RU"/>
    </w:rPr>
  </w:style>
  <w:style w:type="table" w:customStyle="1" w:styleId="111">
    <w:name w:val="Сетка таблицы11"/>
    <w:basedOn w:val="a1"/>
    <w:next w:val="ae"/>
    <w:uiPriority w:val="59"/>
    <w:rsid w:val="004F7389"/>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Стиль1"/>
    <w:uiPriority w:val="99"/>
    <w:rsid w:val="004F7389"/>
    <w:pPr>
      <w:numPr>
        <w:numId w:val="11"/>
      </w:numPr>
    </w:pPr>
  </w:style>
  <w:style w:type="numbering" w:customStyle="1" w:styleId="2">
    <w:name w:val="Стиль2"/>
    <w:uiPriority w:val="99"/>
    <w:rsid w:val="004F7389"/>
    <w:pPr>
      <w:numPr>
        <w:numId w:val="13"/>
      </w:numPr>
    </w:pPr>
  </w:style>
  <w:style w:type="character" w:styleId="HTML1">
    <w:name w:val="HTML Cite"/>
    <w:uiPriority w:val="99"/>
    <w:semiHidden/>
    <w:unhideWhenUsed/>
    <w:rsid w:val="00375967"/>
    <w:rPr>
      <w:i/>
      <w:iCs/>
    </w:rPr>
  </w:style>
  <w:style w:type="paragraph" w:customStyle="1" w:styleId="24">
    <w:name w:val="Абзац списка2"/>
    <w:basedOn w:val="a"/>
    <w:qFormat/>
    <w:rsid w:val="006A5EE8"/>
    <w:pPr>
      <w:ind w:left="720"/>
      <w:contextualSpacing/>
    </w:pPr>
    <w:rPr>
      <w:rFonts w:eastAsia="Times New Roman"/>
      <w:lang w:eastAsia="uk-UA"/>
    </w:rPr>
  </w:style>
  <w:style w:type="numbering" w:customStyle="1" w:styleId="25">
    <w:name w:val="Нет списка2"/>
    <w:next w:val="a2"/>
    <w:uiPriority w:val="99"/>
    <w:semiHidden/>
    <w:unhideWhenUsed/>
    <w:rsid w:val="008C02C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554"/>
    <w:pPr>
      <w:spacing w:after="200" w:line="276" w:lineRule="auto"/>
    </w:pPr>
    <w:rPr>
      <w:sz w:val="22"/>
      <w:szCs w:val="22"/>
      <w:lang w:eastAsia="en-US"/>
    </w:rPr>
  </w:style>
  <w:style w:type="paragraph" w:styleId="10">
    <w:name w:val="heading 1"/>
    <w:basedOn w:val="a"/>
    <w:next w:val="a"/>
    <w:link w:val="11"/>
    <w:uiPriority w:val="9"/>
    <w:qFormat/>
    <w:rsid w:val="004F7389"/>
    <w:pPr>
      <w:keepNext/>
      <w:spacing w:before="240" w:after="60"/>
      <w:outlineLvl w:val="0"/>
    </w:pPr>
    <w:rPr>
      <w:rFonts w:ascii="Cambria" w:eastAsia="Times New Roman" w:hAnsi="Cambria"/>
      <w:b/>
      <w:bCs/>
      <w:kern w:val="32"/>
      <w:sz w:val="32"/>
      <w:szCs w:val="32"/>
      <w:lang w:val="x-none" w:eastAsia="x-none"/>
    </w:rPr>
  </w:style>
  <w:style w:type="paragraph" w:styleId="20">
    <w:name w:val="heading 2"/>
    <w:basedOn w:val="a"/>
    <w:next w:val="a"/>
    <w:link w:val="21"/>
    <w:qFormat/>
    <w:rsid w:val="004F7389"/>
    <w:pPr>
      <w:keepNext/>
      <w:spacing w:after="0" w:line="240" w:lineRule="auto"/>
      <w:jc w:val="center"/>
      <w:outlineLvl w:val="1"/>
    </w:pPr>
    <w:rPr>
      <w:rFonts w:ascii="Times New Roman" w:eastAsia="Times New Roman" w:hAnsi="Times New Roman"/>
      <w:sz w:val="28"/>
      <w:szCs w:val="24"/>
      <w:lang w:val="x-none" w:eastAsia="ru-RU"/>
    </w:rPr>
  </w:style>
  <w:style w:type="paragraph" w:styleId="3">
    <w:name w:val="heading 3"/>
    <w:basedOn w:val="a"/>
    <w:next w:val="a"/>
    <w:link w:val="30"/>
    <w:qFormat/>
    <w:rsid w:val="004F7389"/>
    <w:pPr>
      <w:keepNext/>
      <w:spacing w:after="0" w:line="360" w:lineRule="auto"/>
      <w:jc w:val="center"/>
      <w:outlineLvl w:val="2"/>
    </w:pPr>
    <w:rPr>
      <w:rFonts w:ascii="Times New Roman" w:eastAsia="Times New Roman" w:hAnsi="Times New Roman"/>
      <w:b/>
      <w:bCs/>
      <w:sz w:val="28"/>
      <w:szCs w:val="24"/>
      <w:lang w:val="x-none" w:eastAsia="ru-RU"/>
    </w:rPr>
  </w:style>
  <w:style w:type="paragraph" w:styleId="4">
    <w:name w:val="heading 4"/>
    <w:basedOn w:val="a"/>
    <w:next w:val="a"/>
    <w:link w:val="40"/>
    <w:qFormat/>
    <w:rsid w:val="004F7389"/>
    <w:pPr>
      <w:keepNext/>
      <w:spacing w:after="0" w:line="360" w:lineRule="auto"/>
      <w:ind w:firstLine="720"/>
      <w:outlineLvl w:val="3"/>
    </w:pPr>
    <w:rPr>
      <w:rFonts w:ascii="Times New Roman" w:eastAsia="Times New Roman" w:hAnsi="Times New Roman"/>
      <w:sz w:val="28"/>
      <w:szCs w:val="24"/>
      <w:lang w:val="x-none"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2337"/>
    <w:pPr>
      <w:ind w:left="720"/>
      <w:contextualSpacing/>
    </w:pPr>
    <w:rPr>
      <w:lang w:val="ru-RU"/>
    </w:rPr>
  </w:style>
  <w:style w:type="paragraph" w:customStyle="1" w:styleId="Default">
    <w:name w:val="Default"/>
    <w:rsid w:val="00AB2337"/>
    <w:pPr>
      <w:autoSpaceDE w:val="0"/>
      <w:autoSpaceDN w:val="0"/>
      <w:adjustRightInd w:val="0"/>
    </w:pPr>
    <w:rPr>
      <w:rFonts w:ascii="Times New Roman" w:hAnsi="Times New Roman"/>
      <w:color w:val="000000"/>
      <w:sz w:val="24"/>
      <w:szCs w:val="24"/>
    </w:rPr>
  </w:style>
  <w:style w:type="paragraph" w:styleId="a4">
    <w:name w:val="footer"/>
    <w:basedOn w:val="a"/>
    <w:link w:val="a5"/>
    <w:uiPriority w:val="99"/>
    <w:unhideWhenUsed/>
    <w:rsid w:val="00AF78D1"/>
    <w:pPr>
      <w:tabs>
        <w:tab w:val="center" w:pos="4819"/>
        <w:tab w:val="right" w:pos="9639"/>
      </w:tabs>
      <w:spacing w:after="0" w:line="240" w:lineRule="auto"/>
    </w:pPr>
    <w:rPr>
      <w:sz w:val="20"/>
      <w:szCs w:val="20"/>
      <w:lang w:val="x-none" w:eastAsia="x-none"/>
    </w:rPr>
  </w:style>
  <w:style w:type="character" w:customStyle="1" w:styleId="a5">
    <w:name w:val="Нижний колонтитул Знак"/>
    <w:link w:val="a4"/>
    <w:uiPriority w:val="99"/>
    <w:rsid w:val="00AF78D1"/>
    <w:rPr>
      <w:rFonts w:ascii="Calibri" w:eastAsia="Calibri" w:hAnsi="Calibri" w:cs="Times New Roman"/>
    </w:rPr>
  </w:style>
  <w:style w:type="paragraph" w:styleId="a6">
    <w:name w:val="footnote text"/>
    <w:basedOn w:val="a"/>
    <w:link w:val="a7"/>
    <w:uiPriority w:val="99"/>
    <w:unhideWhenUsed/>
    <w:rsid w:val="00AF78D1"/>
    <w:pPr>
      <w:spacing w:after="0" w:line="240" w:lineRule="auto"/>
    </w:pPr>
    <w:rPr>
      <w:sz w:val="20"/>
      <w:szCs w:val="20"/>
      <w:lang w:val="x-none" w:eastAsia="x-none"/>
    </w:rPr>
  </w:style>
  <w:style w:type="character" w:customStyle="1" w:styleId="a7">
    <w:name w:val="Текст сноски Знак"/>
    <w:link w:val="a6"/>
    <w:uiPriority w:val="99"/>
    <w:rsid w:val="00AF78D1"/>
    <w:rPr>
      <w:rFonts w:ascii="Calibri" w:eastAsia="Calibri" w:hAnsi="Calibri" w:cs="Times New Roman"/>
      <w:sz w:val="20"/>
      <w:szCs w:val="20"/>
      <w:lang w:val="x-none" w:eastAsia="x-none"/>
    </w:rPr>
  </w:style>
  <w:style w:type="character" w:styleId="a8">
    <w:name w:val="footnote reference"/>
    <w:semiHidden/>
    <w:unhideWhenUsed/>
    <w:rsid w:val="00AF78D1"/>
    <w:rPr>
      <w:vertAlign w:val="superscript"/>
    </w:rPr>
  </w:style>
  <w:style w:type="character" w:styleId="a9">
    <w:name w:val="Hyperlink"/>
    <w:unhideWhenUsed/>
    <w:rsid w:val="00AF78D1"/>
    <w:rPr>
      <w:color w:val="0000FF"/>
      <w:u w:val="single"/>
    </w:rPr>
  </w:style>
  <w:style w:type="paragraph" w:styleId="aa">
    <w:name w:val="header"/>
    <w:basedOn w:val="a"/>
    <w:link w:val="ab"/>
    <w:uiPriority w:val="99"/>
    <w:unhideWhenUsed/>
    <w:rsid w:val="00AF78D1"/>
    <w:pPr>
      <w:tabs>
        <w:tab w:val="center" w:pos="4819"/>
        <w:tab w:val="right" w:pos="9639"/>
      </w:tabs>
      <w:spacing w:after="0" w:line="240" w:lineRule="auto"/>
    </w:pPr>
    <w:rPr>
      <w:sz w:val="20"/>
      <w:szCs w:val="20"/>
      <w:lang w:val="x-none" w:eastAsia="x-none"/>
    </w:rPr>
  </w:style>
  <w:style w:type="character" w:customStyle="1" w:styleId="ab">
    <w:name w:val="Верхний колонтитул Знак"/>
    <w:link w:val="aa"/>
    <w:uiPriority w:val="99"/>
    <w:rsid w:val="00AF78D1"/>
    <w:rPr>
      <w:rFonts w:ascii="Calibri" w:eastAsia="Calibri" w:hAnsi="Calibri" w:cs="Times New Roman"/>
    </w:rPr>
  </w:style>
  <w:style w:type="paragraph" w:styleId="ac">
    <w:name w:val="Balloon Text"/>
    <w:basedOn w:val="a"/>
    <w:link w:val="ad"/>
    <w:uiPriority w:val="99"/>
    <w:semiHidden/>
    <w:unhideWhenUsed/>
    <w:rsid w:val="00AF78D1"/>
    <w:pPr>
      <w:spacing w:after="0" w:line="240" w:lineRule="auto"/>
    </w:pPr>
    <w:rPr>
      <w:rFonts w:ascii="Tahoma" w:hAnsi="Tahoma"/>
      <w:sz w:val="16"/>
      <w:szCs w:val="16"/>
      <w:lang w:val="x-none" w:eastAsia="x-none"/>
    </w:rPr>
  </w:style>
  <w:style w:type="character" w:customStyle="1" w:styleId="ad">
    <w:name w:val="Текст выноски Знак"/>
    <w:link w:val="ac"/>
    <w:uiPriority w:val="99"/>
    <w:semiHidden/>
    <w:rsid w:val="00AF78D1"/>
    <w:rPr>
      <w:rFonts w:ascii="Tahoma" w:eastAsia="Calibri" w:hAnsi="Tahoma" w:cs="Tahoma"/>
      <w:sz w:val="16"/>
      <w:szCs w:val="16"/>
    </w:rPr>
  </w:style>
  <w:style w:type="table" w:styleId="ae">
    <w:name w:val="Table Grid"/>
    <w:basedOn w:val="a1"/>
    <w:uiPriority w:val="59"/>
    <w:rsid w:val="00AF78D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caption"/>
    <w:basedOn w:val="a"/>
    <w:next w:val="a"/>
    <w:uiPriority w:val="35"/>
    <w:unhideWhenUsed/>
    <w:qFormat/>
    <w:rsid w:val="00AF78D1"/>
    <w:pPr>
      <w:spacing w:line="240" w:lineRule="auto"/>
    </w:pPr>
    <w:rPr>
      <w:b/>
      <w:bCs/>
      <w:color w:val="4F81BD"/>
      <w:sz w:val="18"/>
      <w:szCs w:val="18"/>
    </w:rPr>
  </w:style>
  <w:style w:type="paragraph" w:styleId="HTML">
    <w:name w:val="HTML Preformatted"/>
    <w:basedOn w:val="a"/>
    <w:link w:val="HTML0"/>
    <w:uiPriority w:val="99"/>
    <w:semiHidden/>
    <w:unhideWhenUsed/>
    <w:rsid w:val="00AF78D1"/>
    <w:pPr>
      <w:spacing w:after="0" w:line="240" w:lineRule="auto"/>
    </w:pPr>
    <w:rPr>
      <w:rFonts w:ascii="Consolas" w:hAnsi="Consolas"/>
      <w:sz w:val="20"/>
      <w:szCs w:val="20"/>
      <w:lang w:val="x-none" w:eastAsia="x-none"/>
    </w:rPr>
  </w:style>
  <w:style w:type="character" w:customStyle="1" w:styleId="HTML0">
    <w:name w:val="Стандартный HTML Знак"/>
    <w:link w:val="HTML"/>
    <w:uiPriority w:val="99"/>
    <w:semiHidden/>
    <w:rsid w:val="00AF78D1"/>
    <w:rPr>
      <w:rFonts w:ascii="Consolas" w:eastAsia="Calibri" w:hAnsi="Consolas" w:cs="Consolas"/>
      <w:sz w:val="20"/>
      <w:szCs w:val="20"/>
    </w:rPr>
  </w:style>
  <w:style w:type="character" w:customStyle="1" w:styleId="11">
    <w:name w:val="Заголовок 1 Знак"/>
    <w:link w:val="10"/>
    <w:uiPriority w:val="9"/>
    <w:rsid w:val="004F7389"/>
    <w:rPr>
      <w:rFonts w:ascii="Cambria" w:eastAsia="Times New Roman" w:hAnsi="Cambria" w:cs="Times New Roman"/>
      <w:b/>
      <w:bCs/>
      <w:kern w:val="32"/>
      <w:sz w:val="32"/>
      <w:szCs w:val="32"/>
      <w:lang w:val="x-none"/>
    </w:rPr>
  </w:style>
  <w:style w:type="character" w:customStyle="1" w:styleId="21">
    <w:name w:val="Заголовок 2 Знак"/>
    <w:link w:val="20"/>
    <w:rsid w:val="004F7389"/>
    <w:rPr>
      <w:rFonts w:ascii="Times New Roman" w:eastAsia="Times New Roman" w:hAnsi="Times New Roman" w:cs="Times New Roman"/>
      <w:sz w:val="28"/>
      <w:szCs w:val="24"/>
      <w:lang w:val="x-none" w:eastAsia="ru-RU"/>
    </w:rPr>
  </w:style>
  <w:style w:type="character" w:customStyle="1" w:styleId="30">
    <w:name w:val="Заголовок 3 Знак"/>
    <w:link w:val="3"/>
    <w:rsid w:val="004F7389"/>
    <w:rPr>
      <w:rFonts w:ascii="Times New Roman" w:eastAsia="Times New Roman" w:hAnsi="Times New Roman" w:cs="Times New Roman"/>
      <w:b/>
      <w:bCs/>
      <w:sz w:val="28"/>
      <w:szCs w:val="24"/>
      <w:lang w:val="x-none" w:eastAsia="ru-RU"/>
    </w:rPr>
  </w:style>
  <w:style w:type="character" w:customStyle="1" w:styleId="40">
    <w:name w:val="Заголовок 4 Знак"/>
    <w:link w:val="4"/>
    <w:rsid w:val="004F7389"/>
    <w:rPr>
      <w:rFonts w:ascii="Times New Roman" w:eastAsia="Times New Roman" w:hAnsi="Times New Roman" w:cs="Times New Roman"/>
      <w:sz w:val="28"/>
      <w:szCs w:val="24"/>
      <w:lang w:val="x-none" w:eastAsia="ru-RU"/>
    </w:rPr>
  </w:style>
  <w:style w:type="numbering" w:customStyle="1" w:styleId="12">
    <w:name w:val="Нет списка1"/>
    <w:next w:val="a2"/>
    <w:uiPriority w:val="99"/>
    <w:semiHidden/>
    <w:unhideWhenUsed/>
    <w:rsid w:val="004F7389"/>
  </w:style>
  <w:style w:type="character" w:styleId="af0">
    <w:name w:val="FollowedHyperlink"/>
    <w:semiHidden/>
    <w:unhideWhenUsed/>
    <w:rsid w:val="004F7389"/>
    <w:rPr>
      <w:color w:val="800080"/>
      <w:u w:val="single"/>
    </w:rPr>
  </w:style>
  <w:style w:type="paragraph" w:styleId="af1">
    <w:name w:val="Normal (Web)"/>
    <w:basedOn w:val="a"/>
    <w:uiPriority w:val="99"/>
    <w:semiHidden/>
    <w:unhideWhenUsed/>
    <w:rsid w:val="004F7389"/>
    <w:rPr>
      <w:rFonts w:ascii="Times New Roman" w:hAnsi="Times New Roman"/>
      <w:sz w:val="24"/>
      <w:szCs w:val="24"/>
    </w:rPr>
  </w:style>
  <w:style w:type="table" w:customStyle="1" w:styleId="13">
    <w:name w:val="Сетка таблицы1"/>
    <w:basedOn w:val="a1"/>
    <w:next w:val="ae"/>
    <w:uiPriority w:val="59"/>
    <w:rsid w:val="004F73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Нет списка11"/>
    <w:next w:val="a2"/>
    <w:uiPriority w:val="99"/>
    <w:semiHidden/>
    <w:unhideWhenUsed/>
    <w:rsid w:val="004F7389"/>
  </w:style>
  <w:style w:type="paragraph" w:styleId="af2">
    <w:name w:val="Title"/>
    <w:basedOn w:val="a"/>
    <w:link w:val="af3"/>
    <w:qFormat/>
    <w:rsid w:val="004F7389"/>
    <w:pPr>
      <w:spacing w:after="0" w:line="240" w:lineRule="auto"/>
      <w:jc w:val="center"/>
    </w:pPr>
    <w:rPr>
      <w:rFonts w:ascii="Times New Roman" w:eastAsia="Times New Roman" w:hAnsi="Times New Roman"/>
      <w:sz w:val="28"/>
      <w:szCs w:val="24"/>
      <w:lang w:val="x-none" w:eastAsia="ru-RU"/>
    </w:rPr>
  </w:style>
  <w:style w:type="character" w:customStyle="1" w:styleId="af3">
    <w:name w:val="Название Знак"/>
    <w:link w:val="af2"/>
    <w:rsid w:val="004F7389"/>
    <w:rPr>
      <w:rFonts w:ascii="Times New Roman" w:eastAsia="Times New Roman" w:hAnsi="Times New Roman" w:cs="Times New Roman"/>
      <w:sz w:val="28"/>
      <w:szCs w:val="24"/>
      <w:lang w:val="x-none" w:eastAsia="ru-RU"/>
    </w:rPr>
  </w:style>
  <w:style w:type="paragraph" w:styleId="af4">
    <w:name w:val="Body Text Indent"/>
    <w:basedOn w:val="a"/>
    <w:link w:val="af5"/>
    <w:semiHidden/>
    <w:rsid w:val="004F7389"/>
    <w:pPr>
      <w:spacing w:after="0" w:line="360" w:lineRule="auto"/>
      <w:ind w:firstLine="720"/>
      <w:jc w:val="both"/>
    </w:pPr>
    <w:rPr>
      <w:rFonts w:ascii="Times New Roman" w:eastAsia="Times New Roman" w:hAnsi="Times New Roman"/>
      <w:sz w:val="28"/>
      <w:szCs w:val="28"/>
      <w:lang w:val="ru-RU" w:eastAsia="ru-RU"/>
    </w:rPr>
  </w:style>
  <w:style w:type="character" w:customStyle="1" w:styleId="af5">
    <w:name w:val="Основной текст с отступом Знак"/>
    <w:link w:val="af4"/>
    <w:semiHidden/>
    <w:rsid w:val="004F7389"/>
    <w:rPr>
      <w:rFonts w:ascii="Times New Roman" w:eastAsia="Times New Roman" w:hAnsi="Times New Roman" w:cs="Times New Roman"/>
      <w:sz w:val="28"/>
      <w:szCs w:val="28"/>
      <w:lang w:val="ru-RU" w:eastAsia="ru-RU"/>
    </w:rPr>
  </w:style>
  <w:style w:type="character" w:customStyle="1" w:styleId="apple-converted-space">
    <w:name w:val="apple-converted-space"/>
    <w:rsid w:val="004F7389"/>
  </w:style>
  <w:style w:type="character" w:styleId="af6">
    <w:name w:val="Emphasis"/>
    <w:qFormat/>
    <w:rsid w:val="004F7389"/>
    <w:rPr>
      <w:i/>
      <w:iCs/>
    </w:rPr>
  </w:style>
  <w:style w:type="paragraph" w:styleId="af7">
    <w:name w:val="Body Text"/>
    <w:basedOn w:val="a"/>
    <w:link w:val="af8"/>
    <w:rsid w:val="004F7389"/>
    <w:pPr>
      <w:spacing w:after="0" w:line="240" w:lineRule="auto"/>
      <w:jc w:val="both"/>
    </w:pPr>
    <w:rPr>
      <w:rFonts w:ascii="Times New Roman" w:eastAsia="Times New Roman" w:hAnsi="Times New Roman"/>
      <w:sz w:val="28"/>
      <w:szCs w:val="24"/>
      <w:lang w:val="x-none" w:eastAsia="ru-RU"/>
    </w:rPr>
  </w:style>
  <w:style w:type="character" w:customStyle="1" w:styleId="af8">
    <w:name w:val="Основной текст Знак"/>
    <w:link w:val="af7"/>
    <w:rsid w:val="004F7389"/>
    <w:rPr>
      <w:rFonts w:ascii="Times New Roman" w:eastAsia="Times New Roman" w:hAnsi="Times New Roman" w:cs="Times New Roman"/>
      <w:sz w:val="28"/>
      <w:szCs w:val="24"/>
      <w:lang w:val="x-none" w:eastAsia="ru-RU"/>
    </w:rPr>
  </w:style>
  <w:style w:type="paragraph" w:customStyle="1" w:styleId="14">
    <w:name w:val="Абзац списка1"/>
    <w:basedOn w:val="a"/>
    <w:qFormat/>
    <w:rsid w:val="004F7389"/>
    <w:pPr>
      <w:ind w:left="720"/>
      <w:contextualSpacing/>
    </w:pPr>
    <w:rPr>
      <w:rFonts w:eastAsia="Times New Roman"/>
      <w:lang w:eastAsia="uk-UA"/>
    </w:rPr>
  </w:style>
  <w:style w:type="character" w:customStyle="1" w:styleId="notranslate">
    <w:name w:val="notranslate"/>
    <w:rsid w:val="004F7389"/>
  </w:style>
  <w:style w:type="character" w:styleId="af9">
    <w:name w:val="page number"/>
    <w:semiHidden/>
    <w:rsid w:val="004F7389"/>
  </w:style>
  <w:style w:type="paragraph" w:styleId="22">
    <w:name w:val="Body Text Indent 2"/>
    <w:basedOn w:val="a"/>
    <w:link w:val="23"/>
    <w:semiHidden/>
    <w:rsid w:val="004F7389"/>
    <w:pPr>
      <w:spacing w:after="0" w:line="360" w:lineRule="auto"/>
      <w:ind w:firstLine="720"/>
      <w:jc w:val="both"/>
    </w:pPr>
    <w:rPr>
      <w:rFonts w:ascii="Times New Roman" w:eastAsia="Times New Roman" w:hAnsi="Times New Roman"/>
      <w:color w:val="000000"/>
      <w:sz w:val="28"/>
      <w:szCs w:val="28"/>
      <w:lang w:val="en-US" w:eastAsia="ru-RU"/>
    </w:rPr>
  </w:style>
  <w:style w:type="character" w:customStyle="1" w:styleId="23">
    <w:name w:val="Основной текст с отступом 2 Знак"/>
    <w:link w:val="22"/>
    <w:semiHidden/>
    <w:rsid w:val="004F7389"/>
    <w:rPr>
      <w:rFonts w:ascii="Times New Roman" w:eastAsia="Times New Roman" w:hAnsi="Times New Roman" w:cs="Times New Roman"/>
      <w:color w:val="000000"/>
      <w:sz w:val="28"/>
      <w:szCs w:val="28"/>
      <w:lang w:val="en-US" w:eastAsia="ru-RU"/>
    </w:rPr>
  </w:style>
  <w:style w:type="character" w:customStyle="1" w:styleId="HeaderChar">
    <w:name w:val="Header Char"/>
    <w:rsid w:val="004F7389"/>
    <w:rPr>
      <w:sz w:val="24"/>
      <w:szCs w:val="24"/>
      <w:lang w:val="ru-RU" w:eastAsia="ru-RU"/>
    </w:rPr>
  </w:style>
  <w:style w:type="paragraph" w:styleId="31">
    <w:name w:val="Body Text Indent 3"/>
    <w:basedOn w:val="a"/>
    <w:link w:val="32"/>
    <w:semiHidden/>
    <w:rsid w:val="004F7389"/>
    <w:pPr>
      <w:spacing w:after="0" w:line="360" w:lineRule="auto"/>
      <w:ind w:firstLine="709"/>
      <w:jc w:val="both"/>
    </w:pPr>
    <w:rPr>
      <w:rFonts w:ascii="Times New Roman" w:eastAsia="Times New Roman" w:hAnsi="Times New Roman"/>
      <w:sz w:val="28"/>
      <w:szCs w:val="28"/>
      <w:lang w:val="en-US" w:eastAsia="ru-RU"/>
    </w:rPr>
  </w:style>
  <w:style w:type="character" w:customStyle="1" w:styleId="32">
    <w:name w:val="Основной текст с отступом 3 Знак"/>
    <w:link w:val="31"/>
    <w:semiHidden/>
    <w:rsid w:val="004F7389"/>
    <w:rPr>
      <w:rFonts w:ascii="Times New Roman" w:eastAsia="Times New Roman" w:hAnsi="Times New Roman" w:cs="Times New Roman"/>
      <w:sz w:val="28"/>
      <w:szCs w:val="28"/>
      <w:lang w:val="en-US" w:eastAsia="ru-RU"/>
    </w:rPr>
  </w:style>
  <w:style w:type="table" w:customStyle="1" w:styleId="111">
    <w:name w:val="Сетка таблицы11"/>
    <w:basedOn w:val="a1"/>
    <w:next w:val="ae"/>
    <w:uiPriority w:val="59"/>
    <w:rsid w:val="004F7389"/>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Стиль1"/>
    <w:uiPriority w:val="99"/>
    <w:rsid w:val="004F7389"/>
    <w:pPr>
      <w:numPr>
        <w:numId w:val="11"/>
      </w:numPr>
    </w:pPr>
  </w:style>
  <w:style w:type="numbering" w:customStyle="1" w:styleId="2">
    <w:name w:val="Стиль2"/>
    <w:uiPriority w:val="99"/>
    <w:rsid w:val="004F7389"/>
    <w:pPr>
      <w:numPr>
        <w:numId w:val="13"/>
      </w:numPr>
    </w:pPr>
  </w:style>
  <w:style w:type="character" w:styleId="HTML1">
    <w:name w:val="HTML Cite"/>
    <w:uiPriority w:val="99"/>
    <w:semiHidden/>
    <w:unhideWhenUsed/>
    <w:rsid w:val="00375967"/>
    <w:rPr>
      <w:i/>
      <w:iCs/>
    </w:rPr>
  </w:style>
  <w:style w:type="paragraph" w:customStyle="1" w:styleId="24">
    <w:name w:val="Абзац списка2"/>
    <w:basedOn w:val="a"/>
    <w:qFormat/>
    <w:rsid w:val="006A5EE8"/>
    <w:pPr>
      <w:ind w:left="720"/>
      <w:contextualSpacing/>
    </w:pPr>
    <w:rPr>
      <w:rFonts w:eastAsia="Times New Roman"/>
      <w:lang w:eastAsia="uk-UA"/>
    </w:rPr>
  </w:style>
  <w:style w:type="numbering" w:customStyle="1" w:styleId="25">
    <w:name w:val="Нет списка2"/>
    <w:next w:val="a2"/>
    <w:uiPriority w:val="99"/>
    <w:semiHidden/>
    <w:unhideWhenUsed/>
    <w:rsid w:val="008C02C6"/>
  </w:style>
</w:styles>
</file>

<file path=word/webSettings.xml><?xml version="1.0" encoding="utf-8"?>
<w:webSettings xmlns:r="http://schemas.openxmlformats.org/officeDocument/2006/relationships" xmlns:w="http://schemas.openxmlformats.org/wordprocessingml/2006/main">
  <w:divs>
    <w:div w:id="431629206">
      <w:bodyDiv w:val="1"/>
      <w:marLeft w:val="0"/>
      <w:marRight w:val="0"/>
      <w:marTop w:val="0"/>
      <w:marBottom w:val="0"/>
      <w:divBdr>
        <w:top w:val="none" w:sz="0" w:space="0" w:color="auto"/>
        <w:left w:val="none" w:sz="0" w:space="0" w:color="auto"/>
        <w:bottom w:val="none" w:sz="0" w:space="0" w:color="auto"/>
        <w:right w:val="none" w:sz="0" w:space="0" w:color="auto"/>
      </w:divBdr>
    </w:div>
    <w:div w:id="594746531">
      <w:bodyDiv w:val="1"/>
      <w:marLeft w:val="0"/>
      <w:marRight w:val="0"/>
      <w:marTop w:val="0"/>
      <w:marBottom w:val="0"/>
      <w:divBdr>
        <w:top w:val="none" w:sz="0" w:space="0" w:color="auto"/>
        <w:left w:val="none" w:sz="0" w:space="0" w:color="auto"/>
        <w:bottom w:val="none" w:sz="0" w:space="0" w:color="auto"/>
        <w:right w:val="none" w:sz="0" w:space="0" w:color="auto"/>
      </w:divBdr>
    </w:div>
    <w:div w:id="704477800">
      <w:bodyDiv w:val="1"/>
      <w:marLeft w:val="0"/>
      <w:marRight w:val="0"/>
      <w:marTop w:val="0"/>
      <w:marBottom w:val="0"/>
      <w:divBdr>
        <w:top w:val="none" w:sz="0" w:space="0" w:color="auto"/>
        <w:left w:val="none" w:sz="0" w:space="0" w:color="auto"/>
        <w:bottom w:val="none" w:sz="0" w:space="0" w:color="auto"/>
        <w:right w:val="none" w:sz="0" w:space="0" w:color="auto"/>
      </w:divBdr>
    </w:div>
    <w:div w:id="743071187">
      <w:bodyDiv w:val="1"/>
      <w:marLeft w:val="0"/>
      <w:marRight w:val="0"/>
      <w:marTop w:val="0"/>
      <w:marBottom w:val="0"/>
      <w:divBdr>
        <w:top w:val="none" w:sz="0" w:space="0" w:color="auto"/>
        <w:left w:val="none" w:sz="0" w:space="0" w:color="auto"/>
        <w:bottom w:val="none" w:sz="0" w:space="0" w:color="auto"/>
        <w:right w:val="none" w:sz="0" w:space="0" w:color="auto"/>
      </w:divBdr>
    </w:div>
    <w:div w:id="1016663322">
      <w:bodyDiv w:val="1"/>
      <w:marLeft w:val="0"/>
      <w:marRight w:val="0"/>
      <w:marTop w:val="0"/>
      <w:marBottom w:val="0"/>
      <w:divBdr>
        <w:top w:val="none" w:sz="0" w:space="0" w:color="auto"/>
        <w:left w:val="none" w:sz="0" w:space="0" w:color="auto"/>
        <w:bottom w:val="none" w:sz="0" w:space="0" w:color="auto"/>
        <w:right w:val="none" w:sz="0" w:space="0" w:color="auto"/>
      </w:divBdr>
    </w:div>
    <w:div w:id="1204899297">
      <w:bodyDiv w:val="1"/>
      <w:marLeft w:val="0"/>
      <w:marRight w:val="0"/>
      <w:marTop w:val="0"/>
      <w:marBottom w:val="0"/>
      <w:divBdr>
        <w:top w:val="none" w:sz="0" w:space="0" w:color="auto"/>
        <w:left w:val="none" w:sz="0" w:space="0" w:color="auto"/>
        <w:bottom w:val="none" w:sz="0" w:space="0" w:color="auto"/>
        <w:right w:val="none" w:sz="0" w:space="0" w:color="auto"/>
      </w:divBdr>
    </w:div>
    <w:div w:id="1223954069">
      <w:bodyDiv w:val="1"/>
      <w:marLeft w:val="0"/>
      <w:marRight w:val="0"/>
      <w:marTop w:val="0"/>
      <w:marBottom w:val="0"/>
      <w:divBdr>
        <w:top w:val="none" w:sz="0" w:space="0" w:color="auto"/>
        <w:left w:val="none" w:sz="0" w:space="0" w:color="auto"/>
        <w:bottom w:val="none" w:sz="0" w:space="0" w:color="auto"/>
        <w:right w:val="none" w:sz="0" w:space="0" w:color="auto"/>
      </w:divBdr>
      <w:divsChild>
        <w:div w:id="1077283536">
          <w:marLeft w:val="0"/>
          <w:marRight w:val="0"/>
          <w:marTop w:val="0"/>
          <w:marBottom w:val="0"/>
          <w:divBdr>
            <w:top w:val="none" w:sz="0" w:space="0" w:color="auto"/>
            <w:left w:val="none" w:sz="0" w:space="0" w:color="auto"/>
            <w:bottom w:val="none" w:sz="0" w:space="0" w:color="auto"/>
            <w:right w:val="none" w:sz="0" w:space="0" w:color="auto"/>
          </w:divBdr>
        </w:div>
      </w:divsChild>
    </w:div>
    <w:div w:id="1328483542">
      <w:bodyDiv w:val="1"/>
      <w:marLeft w:val="0"/>
      <w:marRight w:val="0"/>
      <w:marTop w:val="0"/>
      <w:marBottom w:val="0"/>
      <w:divBdr>
        <w:top w:val="none" w:sz="0" w:space="0" w:color="auto"/>
        <w:left w:val="none" w:sz="0" w:space="0" w:color="auto"/>
        <w:bottom w:val="none" w:sz="0" w:space="0" w:color="auto"/>
        <w:right w:val="none" w:sz="0" w:space="0" w:color="auto"/>
      </w:divBdr>
    </w:div>
    <w:div w:id="1527448656">
      <w:bodyDiv w:val="1"/>
      <w:marLeft w:val="0"/>
      <w:marRight w:val="0"/>
      <w:marTop w:val="0"/>
      <w:marBottom w:val="0"/>
      <w:divBdr>
        <w:top w:val="none" w:sz="0" w:space="0" w:color="auto"/>
        <w:left w:val="none" w:sz="0" w:space="0" w:color="auto"/>
        <w:bottom w:val="none" w:sz="0" w:space="0" w:color="auto"/>
        <w:right w:val="none" w:sz="0" w:space="0" w:color="auto"/>
      </w:divBdr>
    </w:div>
    <w:div w:id="1600525975">
      <w:bodyDiv w:val="1"/>
      <w:marLeft w:val="0"/>
      <w:marRight w:val="0"/>
      <w:marTop w:val="0"/>
      <w:marBottom w:val="0"/>
      <w:divBdr>
        <w:top w:val="none" w:sz="0" w:space="0" w:color="auto"/>
        <w:left w:val="none" w:sz="0" w:space="0" w:color="auto"/>
        <w:bottom w:val="none" w:sz="0" w:space="0" w:color="auto"/>
        <w:right w:val="none" w:sz="0" w:space="0" w:color="auto"/>
      </w:divBdr>
    </w:div>
    <w:div w:id="1867323911">
      <w:bodyDiv w:val="1"/>
      <w:marLeft w:val="0"/>
      <w:marRight w:val="0"/>
      <w:marTop w:val="0"/>
      <w:marBottom w:val="0"/>
      <w:divBdr>
        <w:top w:val="none" w:sz="0" w:space="0" w:color="auto"/>
        <w:left w:val="none" w:sz="0" w:space="0" w:color="auto"/>
        <w:bottom w:val="none" w:sz="0" w:space="0" w:color="auto"/>
        <w:right w:val="none" w:sz="0" w:space="0" w:color="auto"/>
      </w:divBdr>
    </w:div>
    <w:div w:id="1984457879">
      <w:bodyDiv w:val="1"/>
      <w:marLeft w:val="0"/>
      <w:marRight w:val="0"/>
      <w:marTop w:val="0"/>
      <w:marBottom w:val="0"/>
      <w:divBdr>
        <w:top w:val="none" w:sz="0" w:space="0" w:color="auto"/>
        <w:left w:val="none" w:sz="0" w:space="0" w:color="auto"/>
        <w:bottom w:val="none" w:sz="0" w:space="0" w:color="auto"/>
        <w:right w:val="none" w:sz="0" w:space="0" w:color="auto"/>
      </w:divBdr>
      <w:divsChild>
        <w:div w:id="1714622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5%D0%BE%D0%BB%D0%BC%D1%89%D0%B8%D0%BD%D0%B0" TargetMode="External"/><Relationship Id="rId18" Type="http://schemas.openxmlformats.org/officeDocument/2006/relationships/hyperlink" Target="https://uk.wikipedia.org/wiki/%D0%9B%D0%B5%D0%BC%D0%BA%D1%96%D0%B2%D1%89%D0%B8%D0%BD%D0%B0" TargetMode="External"/><Relationship Id="rId26" Type="http://schemas.openxmlformats.org/officeDocument/2006/relationships/diagramData" Target="diagrams/data3.xml"/><Relationship Id="rId39" Type="http://schemas.openxmlformats.org/officeDocument/2006/relationships/hyperlink" Target="http://www.libussr.ru/doc_ussr/" TargetMode="External"/><Relationship Id="rId21" Type="http://schemas.openxmlformats.org/officeDocument/2006/relationships/chart" Target="charts/chart2.xml"/><Relationship Id="rId34" Type="http://schemas.openxmlformats.org/officeDocument/2006/relationships/hyperlink" Target="http://academy.gov.ua/ej/ej14/txts/Lyndiuk.pdf" TargetMode="External"/><Relationship Id="rId42" Type="http://schemas.openxmlformats.org/officeDocument/2006/relationships/hyperlink" Target="https://www.nfp.gov.ua/files/OgliadRinkiv/%20NPF/NPF_IV_kv%202018.pdf" TargetMode="External"/><Relationship Id="rId47" Type="http://schemas.openxmlformats.org/officeDocument/2006/relationships/hyperlink" Target="http://zakon.rada.gov.ua/laws/show/2449-19" TargetMode="External"/><Relationship Id="rId50" Type="http://schemas.openxmlformats.org/officeDocument/2006/relationships/hyperlink" Target="http://zakon.rada.gov.ua/laws/show/679-14" TargetMode="External"/><Relationship Id="rId55" Type="http://schemas.openxmlformats.org/officeDocument/2006/relationships/hyperlink" Target="http://zakon.rada.gov.ua/laws/show/1931-12" TargetMode="External"/><Relationship Id="rId63" Type="http://schemas.openxmlformats.org/officeDocument/2006/relationships/hyperlink" Target="http://zakon.rada.gov.ua/laws/show/2862-12" TargetMode="External"/><Relationship Id="rId68" Type="http://schemas.openxmlformats.org/officeDocument/2006/relationships/hyperlink" Target="http://www.pfrf.ru/files/id/pensii/pens_zarubej/mejpravitel_soglsh/mongol.doc" TargetMode="External"/><Relationship Id="rId76" Type="http://schemas.openxmlformats.org/officeDocument/2006/relationships/hyperlink" Target="http://archive.org/details/in.ernet.dli.2015.228995" TargetMode="External"/><Relationship Id="rId84" Type="http://schemas.openxmlformats.org/officeDocument/2006/relationships/image" Target="media/image1.jpeg"/><Relationship Id="rId89" Type="http://schemas.openxmlformats.org/officeDocument/2006/relationships/image" Target="media/image6.png"/><Relationship Id="rId7" Type="http://schemas.openxmlformats.org/officeDocument/2006/relationships/endnotes" Target="endnotes.xml"/><Relationship Id="rId71" Type="http://schemas.openxmlformats.org/officeDocument/2006/relationships/hyperlink" Target="http://zakon.rada.gov.ua/laws/show/233_040"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k.wikipedia.org/wiki/%D0%97%D0%B0%D1%85%D1%96%D0%B4%D0%BD%D0%B5_%D0%9F%D0%BE%D0%BB%D1%96%D1%81%D1%81%D1%8F" TargetMode="External"/><Relationship Id="rId29" Type="http://schemas.openxmlformats.org/officeDocument/2006/relationships/diagramColors" Target="diagrams/colors3.xml"/><Relationship Id="rId11" Type="http://schemas.openxmlformats.org/officeDocument/2006/relationships/diagramColors" Target="diagrams/colors1.xml"/><Relationship Id="rId24" Type="http://schemas.openxmlformats.org/officeDocument/2006/relationships/diagramQuickStyle" Target="diagrams/quickStyle2.xml"/><Relationship Id="rId32" Type="http://schemas.openxmlformats.org/officeDocument/2006/relationships/hyperlink" Target="http://zakon.rada.gov.ua/laws/show/440_022" TargetMode="External"/><Relationship Id="rId37" Type="http://schemas.openxmlformats.org/officeDocument/2006/relationships/hyperlink" Target="http://www.univer.km.ua/visnyk/" TargetMode="External"/><Relationship Id="rId40" Type="http://schemas.openxmlformats.org/officeDocument/2006/relationships/hyperlink" Target="https://www.cbpmr.net/resource/prbvd172-5.pdf" TargetMode="External"/><Relationship Id="rId45" Type="http://schemas.openxmlformats.org/officeDocument/2006/relationships/hyperlink" Target="http://zakon.rada.gov.ua/laws/show/n0001400-56" TargetMode="External"/><Relationship Id="rId53" Type="http://schemas.openxmlformats.org/officeDocument/2006/relationships/hyperlink" Target="http://zakon.rada.gov.ua/laws/show/2694-12" TargetMode="External"/><Relationship Id="rId58" Type="http://schemas.openxmlformats.org/officeDocument/2006/relationships/hyperlink" Target="http://zakon.rada.gov.ua/laws/show/3551-12" TargetMode="External"/><Relationship Id="rId66" Type="http://schemas.openxmlformats.org/officeDocument/2006/relationships/hyperlink" Target="http://cyberleninka.ru/article/v/zarubezhnyy-opyt-negosudarstvennogo-pensionnogo-strahovaniya" TargetMode="External"/><Relationship Id="rId74" Type="http://schemas.openxmlformats.org/officeDocument/2006/relationships/hyperlink" Target="http://zakon.rada.gov.ua/laws/show/112_678" TargetMode="External"/><Relationship Id="rId79" Type="http://schemas.openxmlformats.org/officeDocument/2006/relationships/hyperlink" Target="http://ec.europa.eu/social/BlobServlet?docId=14529&amp;langId=en" TargetMode="External"/><Relationship Id="rId87" Type="http://schemas.openxmlformats.org/officeDocument/2006/relationships/image" Target="media/image4.jpeg"/><Relationship Id="rId5" Type="http://schemas.openxmlformats.org/officeDocument/2006/relationships/webSettings" Target="webSettings.xml"/><Relationship Id="rId61" Type="http://schemas.openxmlformats.org/officeDocument/2006/relationships/hyperlink" Target="http://zakon.rada.gov.ua/laws/show/2790-12" TargetMode="External"/><Relationship Id="rId82" Type="http://schemas.openxmlformats.org/officeDocument/2006/relationships/hyperlink" Target="http://dx.doi.org/10.1787/pension_glance-2015-en" TargetMode="External"/><Relationship Id="rId90" Type="http://schemas.openxmlformats.org/officeDocument/2006/relationships/header" Target="header1.xml"/><Relationship Id="rId19" Type="http://schemas.openxmlformats.org/officeDocument/2006/relationships/hyperlink" Target="http://search.ligazakon.ua/l_doc2.nsf/link1/ed_2009_07_09/pravo1/RE11731.html?pravo=1" TargetMode="External"/><Relationship Id="rId14" Type="http://schemas.openxmlformats.org/officeDocument/2006/relationships/hyperlink" Target="https://uk.wikipedia.org/wiki/%D0%9F%D1%96%D0%B4%D0%BB%D1%8F%D1%88%D1%88%D1%8F" TargetMode="External"/><Relationship Id="rId22" Type="http://schemas.openxmlformats.org/officeDocument/2006/relationships/diagramData" Target="diagrams/data2.xml"/><Relationship Id="rId27" Type="http://schemas.openxmlformats.org/officeDocument/2006/relationships/diagramLayout" Target="diagrams/layout3.xm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41:%D0%95%D0%BA%D0%BE%D0%BD.%D0%90%D0%9F%D0%9A" TargetMode="External"/><Relationship Id="rId35" Type="http://schemas.openxmlformats.org/officeDocument/2006/relationships/hyperlink" Target="http://zakon.rada.gov.ua/rada/show/v0041205-92" TargetMode="External"/><Relationship Id="rId43" Type="http://schemas.openxmlformats.org/officeDocument/2006/relationships/hyperlink" Target="http://zakon.rada.gov.ua/laws/show/2755-17" TargetMode="External"/><Relationship Id="rId48" Type="http://schemas.openxmlformats.org/officeDocument/2006/relationships/hyperlink" Target="https://zakon.rada.gov.ua/laws/show/z0550-96/ed19960906" TargetMode="External"/><Relationship Id="rId56" Type="http://schemas.openxmlformats.org/officeDocument/2006/relationships/hyperlink" Target="http://zakon.rada.gov.ua/laws/show/442-92-&#1087;" TargetMode="External"/><Relationship Id="rId64" Type="http://schemas.openxmlformats.org/officeDocument/2006/relationships/hyperlink" Target="http://nbuv.gov.ua/UJRN/DeBu_2008_2_6" TargetMode="External"/><Relationship Id="rId69" Type="http://schemas.openxmlformats.org/officeDocument/2006/relationships/hyperlink" Target="http://zakon.rada.gov.ua/laws/show/974_984" TargetMode="External"/><Relationship Id="rId77" Type="http://schemas.openxmlformats.org/officeDocument/2006/relationships/hyperlink" Target="http://www.therichest.com/business/economy/the-countries-with-the-best-pension-systems-in-the-world/3/" TargetMode="External"/><Relationship Id="rId8" Type="http://schemas.openxmlformats.org/officeDocument/2006/relationships/diagramData" Target="diagrams/data1.xml"/><Relationship Id="rId51" Type="http://schemas.openxmlformats.org/officeDocument/2006/relationships/hyperlink" Target="http://zakon.rada.gov.ua/laws/show/1057-15" TargetMode="External"/><Relationship Id="rId72" Type="http://schemas.openxmlformats.org/officeDocument/2006/relationships/hyperlink" Target="http://zakon.rada.gov.ua/laws/show/031_644" TargetMode="External"/><Relationship Id="rId80" Type="http://schemas.openxmlformats.org/officeDocument/2006/relationships/hyperlink" Target="http://vadnd.org.ua/app/uploads/2019/03/%D0%9F%D1%83%D0%B1%D0%BB%D1%96%D1%87%D0%BD%D0%B5-%D1%83%D1%80%D1%8F%D0%B4%D1%83%D0%B2%D0%B0%D0%BD%D0%BD%D1%8F_116_%D0%B0%D0%BD%D0%B3%D0%BB-3.pdf" TargetMode="External"/><Relationship Id="rId85"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hyperlink" Target="https://uk.wikipedia.org/wiki/%D0%93%D0%B0%D0%BB%D0%B8%D1%87%D0%B8%D0%BD%D0%B0" TargetMode="External"/><Relationship Id="rId17" Type="http://schemas.openxmlformats.org/officeDocument/2006/relationships/hyperlink" Target="https://uk.wikipedia.org/wiki/%D0%9F%D0%BE%D1%81%D1%8F%D0%BD%D0%BD%D1%8F" TargetMode="External"/><Relationship Id="rId25" Type="http://schemas.openxmlformats.org/officeDocument/2006/relationships/diagramColors" Target="diagrams/colors2.xml"/><Relationship Id="rId33" Type="http://schemas.openxmlformats.org/officeDocument/2006/relationships/hyperlink" Target="http://zakon.rada.gov.ua/laws/show/254&#1082;/96-&#1074;&#1088;" TargetMode="External"/><Relationship Id="rId38" Type="http://schemas.openxmlformats.org/officeDocument/2006/relationships/hyperlink" Target="http://www.irbis-nbuv.gov.ua/cgi-bin/irbis_nbuv/cgiirbis_64.exe?I21DBN=LINK&amp;P21DBN=UJRN&amp;Z21ID=&amp;S21REF=10&amp;S21CNR=20&amp;S21STN=1&amp;S21FMT=ASP_meta&amp;C21COM=S&amp;2_S21P03=FILA=&amp;2_S21STR=Ttpdu_2017_1_10" TargetMode="External"/><Relationship Id="rId46" Type="http://schemas.openxmlformats.org/officeDocument/2006/relationships/hyperlink" Target="http://zakon.rada.gov.ua/laws/show/3723-12" TargetMode="External"/><Relationship Id="rId59" Type="http://schemas.openxmlformats.org/officeDocument/2006/relationships/hyperlink" Target="http://zakon.rada.gov.ua/laws/show/56/95-&#1074;&#1088;" TargetMode="External"/><Relationship Id="rId67" Type="http://schemas.openxmlformats.org/officeDocument/2006/relationships/hyperlink" Target="http://www.lawmix.ru/abro/918" TargetMode="External"/><Relationship Id="rId20" Type="http://schemas.openxmlformats.org/officeDocument/2006/relationships/chart" Target="charts/chart1.xml"/><Relationship Id="rId41" Type="http://schemas.openxmlformats.org/officeDocument/2006/relationships/hyperlink" Target="https://www.nfp.gov.ua/files/OgliadRinkiv/%20NPF/OsnPokazn/NPF_II_kv_%202018.pdf" TargetMode="External"/><Relationship Id="rId54" Type="http://schemas.openxmlformats.org/officeDocument/2006/relationships/hyperlink" Target="http://zakon.rada.gov.ua/laws/show/1788-12" TargetMode="External"/><Relationship Id="rId62" Type="http://schemas.openxmlformats.org/officeDocument/2006/relationships/hyperlink" Target="http://zakon.rada.gov.ua/laws/show/39-92" TargetMode="External"/><Relationship Id="rId70" Type="http://schemas.openxmlformats.org/officeDocument/2006/relationships/hyperlink" Target="http://zakon.rada.gov.ua/laws/show/724_005" TargetMode="External"/><Relationship Id="rId75" Type="http://schemas.openxmlformats.org/officeDocument/2006/relationships/hyperlink" Target="http://documents.worldbank.org/curated/en/649951468344639990/pdf/multi-page.pdf" TargetMode="External"/><Relationship Id="rId83" Type="http://schemas.openxmlformats.org/officeDocument/2006/relationships/hyperlink" Target="http://dx.doi.org/10.1787/pension_glance-2017-en" TargetMode="External"/><Relationship Id="rId88" Type="http://schemas.openxmlformats.org/officeDocument/2006/relationships/image" Target="media/image5.jpeg"/><Relationship Id="rId91" Type="http://schemas.openxmlformats.org/officeDocument/2006/relationships/fontTable" Target="fontTable.xml"/><Relationship Id="rId9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7%D0%B0%D1%85%D1%96%D0%B4%D0%BD%D0%B0_%D0%92%D0%BE%D0%BB%D0%B8%D0%BD%D1%8C" TargetMode="External"/><Relationship Id="rId23" Type="http://schemas.openxmlformats.org/officeDocument/2006/relationships/diagramLayout" Target="diagrams/layout2.xml"/><Relationship Id="rId28" Type="http://schemas.openxmlformats.org/officeDocument/2006/relationships/diagramQuickStyle" Target="diagrams/quickStyle3.xml"/><Relationship Id="rId36" Type="http://schemas.openxmlformats.org/officeDocument/2006/relationships/hyperlink" Target="http://www.rusnauka.com/11_EISN_2011/Economics/3_84663.doc.htm" TargetMode="External"/><Relationship Id="rId49" Type="http://schemas.openxmlformats.org/officeDocument/2006/relationships/hyperlink" Target="http://www.businesspravo.ru/Docum/DocumShow_DocumID_39059.html" TargetMode="External"/><Relationship Id="rId57" Type="http://schemas.openxmlformats.org/officeDocument/2006/relationships/hyperlink" Target="http://zakon.rada.gov.ua/laws/show/23-92-&#1087;" TargetMode="External"/><Relationship Id="rId10" Type="http://schemas.openxmlformats.org/officeDocument/2006/relationships/diagramQuickStyle" Target="diagrams/quickStyle1.xml"/><Relationship Id="rId31" Type="http://schemas.openxmlformats.org/officeDocument/2006/relationships/hyperlink" Target="http://zakon.rada.gov.ua/laws/show/428_010" TargetMode="External"/><Relationship Id="rId44" Type="http://schemas.openxmlformats.org/officeDocument/2006/relationships/hyperlink" Target="http://zakon.rada.gov.ua/laws/show/208-14/ed19981110" TargetMode="External"/><Relationship Id="rId52" Type="http://schemas.openxmlformats.org/officeDocument/2006/relationships/hyperlink" Target="http://zakon.rada.gov.ua/laws/show/3721-12" TargetMode="External"/><Relationship Id="rId60" Type="http://schemas.openxmlformats.org/officeDocument/2006/relationships/hyperlink" Target="http://zakon.rada.gov.ua/laws/show/796-12" TargetMode="External"/><Relationship Id="rId65" Type="http://schemas.openxmlformats.org/officeDocument/2006/relationships/hyperlink" Target="http://www.kmu.gov.ua/control/publish/" TargetMode="External"/><Relationship Id="rId73" Type="http://schemas.openxmlformats.org/officeDocument/2006/relationships/hyperlink" Target="http://zakon.rada.gov.ua/laws/show/268_513" TargetMode="External"/><Relationship Id="rId78" Type="http://schemas.openxmlformats.org/officeDocument/2006/relationships/hyperlink" Target="http://ec.europa.eu/social/main.jsp?catId=738&amp;langId=en&amp;pubId=8030&amp;furtherPubs=yes" TargetMode="External"/><Relationship Id="rId81" Type="http://schemas.openxmlformats.org/officeDocument/2006/relationships/hyperlink" Target="http://dx.doi.org/10.1787/pension_glance-2011-en" TargetMode="External"/><Relationship Id="rId86"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diagramLayout" Target="diagrams/layout1.xml"/></Relationships>
</file>

<file path=word/_rels/footnotes.xml.rels><?xml version="1.0" encoding="UTF-8" standalone="yes"?>
<Relationships xmlns="http://schemas.openxmlformats.org/package/2006/relationships"><Relationship Id="rId8" Type="http://schemas.openxmlformats.org/officeDocument/2006/relationships/hyperlink" Target="http://zakon.rada.gov.ua/laws/show/440_022" TargetMode="External"/><Relationship Id="rId13" Type="http://schemas.openxmlformats.org/officeDocument/2006/relationships/hyperlink" Target="http://zakon.rada.gov.ua/laws/show/345-17" TargetMode="External"/><Relationship Id="rId18" Type="http://schemas.openxmlformats.org/officeDocument/2006/relationships/hyperlink" Target="http://zakon.rada.gov.ua/laws/%20show/39-92" TargetMode="External"/><Relationship Id="rId3" Type="http://schemas.openxmlformats.org/officeDocument/2006/relationships/hyperlink" Target="http://zakon.rada.gov.ua/laws/card/616_161" TargetMode="External"/><Relationship Id="rId21" Type="http://schemas.openxmlformats.org/officeDocument/2006/relationships/hyperlink" Target="https://ec.europa.eu/social/BlobServlet?docId" TargetMode="External"/><Relationship Id="rId7" Type="http://schemas.openxmlformats.org/officeDocument/2006/relationships/hyperlink" Target="http://zakon.rada.gov.ua/laws/show/100_028" TargetMode="External"/><Relationship Id="rId12" Type="http://schemas.openxmlformats.org/officeDocument/2006/relationships/hyperlink" Target="http://zakon.rada.gov.ua/laws/show/239/95-&#1074;&#1088;" TargetMode="External"/><Relationship Id="rId17" Type="http://schemas.openxmlformats.org/officeDocument/2006/relationships/hyperlink" Target="http://www.libussr.ru/doc_ussr/" TargetMode="External"/><Relationship Id="rId25" Type="http://schemas.openxmlformats.org/officeDocument/2006/relationships/hyperlink" Target="http://eur-lex.europa.eu/LexUriServ/LexUriServ.do?uri" TargetMode="External"/><Relationship Id="rId2" Type="http://schemas.openxmlformats.org/officeDocument/2006/relationships/hyperlink" Target="http://zakon.rada.gov.ua/laws/show/268_513" TargetMode="External"/><Relationship Id="rId16" Type="http://schemas.openxmlformats.org/officeDocument/2006/relationships/hyperlink" Target="http://www" TargetMode="External"/><Relationship Id="rId20" Type="http://schemas.openxmlformats.org/officeDocument/2006/relationships/hyperlink" Target="https://archive.org/details/in.ernet.dli.2015.228995" TargetMode="External"/><Relationship Id="rId1" Type="http://schemas.openxmlformats.org/officeDocument/2006/relationships/hyperlink" Target="http://zakon.rada.gov.ua/laws/show/031_644" TargetMode="External"/><Relationship Id="rId6" Type="http://schemas.openxmlformats.org/officeDocument/2006/relationships/hyperlink" Target="http://zakon.rada.gov.ua/laws/show/203_019" TargetMode="External"/><Relationship Id="rId11" Type="http://schemas.openxmlformats.org/officeDocument/2006/relationships/hyperlink" Target="URL:http://zakon.rada.gov.ua/laws/show/4495-17" TargetMode="External"/><Relationship Id="rId24" Type="http://schemas.openxmlformats.org/officeDocument/2006/relationships/hyperlink" Target="https://dx.doi.org/10.1787/pension_glance-2015-en" TargetMode="External"/><Relationship Id="rId5" Type="http://schemas.openxmlformats.org/officeDocument/2006/relationships/hyperlink" Target="http://zakon.rada.gov.ua/laws/show/233_040" TargetMode="External"/><Relationship Id="rId15" Type="http://schemas.openxmlformats.org/officeDocument/2006/relationships/hyperlink" Target="http://www.univer.km.ua/visnyk/" TargetMode="External"/><Relationship Id="rId23" Type="http://schemas.openxmlformats.org/officeDocument/2006/relationships/hyperlink" Target="http://dx.doi.org/10.1787/pension_glance-2013-en" TargetMode="External"/><Relationship Id="rId10" Type="http://schemas.openxmlformats.org/officeDocument/2006/relationships/hyperlink" Target="https://zakon.rada.gov.ua" TargetMode="External"/><Relationship Id="rId19" Type="http://schemas.openxmlformats.org/officeDocument/2006/relationships/hyperlink" Target="https://cyberleninka.ru/article/v/zarubezhnyy-opyt-negosudarstvennogo-pensionnogo-strahovaniya" TargetMode="External"/><Relationship Id="rId4" Type="http://schemas.openxmlformats.org/officeDocument/2006/relationships/hyperlink" Target="http://zakon.rada.gov.ua/laws/show/620_024" TargetMode="External"/><Relationship Id="rId9" Type="http://schemas.openxmlformats.org/officeDocument/2006/relationships/hyperlink" Target="http://zakon.rada.gov.ua/laws/show/428_010" TargetMode="External"/><Relationship Id="rId14" Type="http://schemas.openxmlformats.org/officeDocument/2006/relationships/hyperlink" Target="http://googl/HzPMZ4" TargetMode="External"/><Relationship Id="rId22" Type="http://schemas.openxmlformats.org/officeDocument/2006/relationships/hyperlink" Target="http://ec.europa.eu/social/BlobServlet?docId"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Лист1!$A$1</c:f>
              <c:strCache>
                <c:ptCount val="1"/>
                <c:pt idx="0">
                  <c:v>р.</c:v>
                </c:pt>
              </c:strCache>
            </c:strRef>
          </c:tx>
          <c:explosion val="24"/>
          <c:dLbls>
            <c:dLbl>
              <c:idx val="0"/>
              <c:layout>
                <c:manualLayout>
                  <c:x val="5.2291277543795506E-2"/>
                  <c:y val="-6.2050218226970925E-2"/>
                </c:manualLayout>
              </c:layout>
              <c:spPr/>
              <c:txPr>
                <a:bodyPr/>
                <a:lstStyle/>
                <a:p>
                  <a:pPr>
                    <a:defRPr/>
                  </a:pPr>
                  <a:endParaRPr lang="uk-UA"/>
                </a:p>
              </c:txPr>
              <c:dLblPos val="bestFit"/>
              <c:showVal val="1"/>
              <c:showCatName val="1"/>
            </c:dLbl>
            <c:dLbl>
              <c:idx val="1"/>
              <c:layout>
                <c:manualLayout>
                  <c:x val="-1.5821929235589768E-2"/>
                  <c:y val="8.5718364524547855E-2"/>
                </c:manualLayout>
              </c:layout>
              <c:spPr/>
              <c:txPr>
                <a:bodyPr/>
                <a:lstStyle/>
                <a:p>
                  <a:pPr>
                    <a:defRPr/>
                  </a:pPr>
                  <a:endParaRPr lang="uk-UA"/>
                </a:p>
              </c:txPr>
              <c:dLblPos val="bestFit"/>
              <c:showVal val="1"/>
              <c:showCatName val="1"/>
            </c:dLbl>
            <c:dLbl>
              <c:idx val="2"/>
              <c:layout>
                <c:manualLayout>
                  <c:x val="-6.8332295672343446E-2"/>
                  <c:y val="8.6215936888908565E-2"/>
                </c:manualLayout>
              </c:layout>
              <c:spPr/>
              <c:txPr>
                <a:bodyPr/>
                <a:lstStyle/>
                <a:p>
                  <a:pPr>
                    <a:defRPr/>
                  </a:pPr>
                  <a:endParaRPr lang="uk-UA"/>
                </a:p>
              </c:txPr>
              <c:dLblPos val="bestFit"/>
              <c:showVal val="1"/>
              <c:showCatName val="1"/>
            </c:dLbl>
            <c:dLbl>
              <c:idx val="3"/>
              <c:layout>
                <c:manualLayout>
                  <c:x val="-5.1689678325093087E-2"/>
                  <c:y val="3.2212828920464343E-2"/>
                </c:manualLayout>
              </c:layout>
              <c:spPr/>
              <c:txPr>
                <a:bodyPr/>
                <a:lstStyle/>
                <a:p>
                  <a:pPr>
                    <a:defRPr/>
                  </a:pPr>
                  <a:endParaRPr lang="uk-UA"/>
                </a:p>
              </c:txPr>
              <c:dLblPos val="bestFit"/>
              <c:showVal val="1"/>
              <c:showCatName val="1"/>
            </c:dLbl>
            <c:dLbl>
              <c:idx val="5"/>
              <c:layout>
                <c:manualLayout>
                  <c:x val="0.13535762680827687"/>
                  <c:y val="2.2492471727153161E-2"/>
                </c:manualLayout>
              </c:layout>
              <c:spPr/>
              <c:txPr>
                <a:bodyPr/>
                <a:lstStyle/>
                <a:p>
                  <a:pPr>
                    <a:defRPr/>
                  </a:pPr>
                  <a:endParaRPr lang="uk-UA"/>
                </a:p>
              </c:txPr>
              <c:dLblPos val="bestFit"/>
              <c:showVal val="1"/>
              <c:showCatName val="1"/>
            </c:dLbl>
            <c:dLbl>
              <c:idx val="6"/>
              <c:layout>
                <c:manualLayout>
                  <c:x val="8.1315509979857245E-2"/>
                  <c:y val="0.11050984066085218"/>
                </c:manualLayout>
              </c:layout>
              <c:spPr/>
              <c:txPr>
                <a:bodyPr/>
                <a:lstStyle/>
                <a:p>
                  <a:pPr>
                    <a:defRPr/>
                  </a:pPr>
                  <a:endParaRPr lang="uk-UA"/>
                </a:p>
              </c:txPr>
              <c:dLblPos val="bestFit"/>
              <c:showVal val="1"/>
              <c:showCatName val="1"/>
            </c:dLbl>
            <c:showVal val="1"/>
            <c:showCatName val="1"/>
            <c:showLeaderLines val="1"/>
          </c:dLbls>
          <c:cat>
            <c:strRef>
              <c:f>Лист1!$A$2:$A$8</c:f>
              <c:strCache>
                <c:ptCount val="7"/>
                <c:pt idx="0">
                  <c:v>За віком</c:v>
                </c:pt>
                <c:pt idx="1">
                  <c:v>По інвалідності</c:v>
                </c:pt>
                <c:pt idx="2">
                  <c:v>Втрата годувальника</c:v>
                </c:pt>
                <c:pt idx="3">
                  <c:v>Військові пенсінери</c:v>
                </c:pt>
                <c:pt idx="4">
                  <c:v>Вислуга років</c:v>
                </c:pt>
                <c:pt idx="5">
                  <c:v>Соціальні пенсії</c:v>
                </c:pt>
                <c:pt idx="6">
                  <c:v>Судді</c:v>
                </c:pt>
              </c:strCache>
            </c:strRef>
          </c:cat>
          <c:val>
            <c:numRef>
              <c:f>Лист1!$B$2:$B$8</c:f>
              <c:numCache>
                <c:formatCode>0.00%</c:formatCode>
                <c:ptCount val="7"/>
                <c:pt idx="0">
                  <c:v>0.78490000000000004</c:v>
                </c:pt>
                <c:pt idx="1">
                  <c:v>9.1400000000000009E-2</c:v>
                </c:pt>
                <c:pt idx="2">
                  <c:v>4.2100000000000033E-2</c:v>
                </c:pt>
                <c:pt idx="3">
                  <c:v>5.5400000000000039E-2</c:v>
                </c:pt>
                <c:pt idx="4">
                  <c:v>1.9199999999999998E-2</c:v>
                </c:pt>
                <c:pt idx="5">
                  <c:v>4.5000000000000031E-3</c:v>
                </c:pt>
                <c:pt idx="6">
                  <c:v>2.6000000000000055E-3</c:v>
                </c:pt>
              </c:numCache>
            </c:numRef>
          </c:val>
        </c:ser>
        <c:dLbls>
          <c:showVal val="1"/>
          <c:showCatName val="1"/>
        </c:dLbls>
        <c:firstSliceAng val="0"/>
      </c:pieChart>
      <c:spPr>
        <a:noFill/>
        <a:ln w="25378">
          <a:noFill/>
        </a:ln>
      </c:spPr>
    </c:plotArea>
    <c:plotVisOnly val="1"/>
    <c:dispBlanksAs val="zero"/>
  </c:chart>
  <c:spPr>
    <a:noFill/>
    <a:ln w="6344"/>
  </c:sp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Лист1!$A$1</c:f>
              <c:strCache>
                <c:ptCount val="1"/>
                <c:pt idx="0">
                  <c:v>р.</c:v>
                </c:pt>
              </c:strCache>
            </c:strRef>
          </c:tx>
          <c:explosion val="25"/>
          <c:dLbls>
            <c:dLbl>
              <c:idx val="0"/>
              <c:layout>
                <c:manualLayout>
                  <c:x val="5.2291277543795485E-2"/>
                  <c:y val="-6.2050218226970918E-2"/>
                </c:manualLayout>
              </c:layout>
              <c:spPr/>
              <c:txPr>
                <a:bodyPr/>
                <a:lstStyle/>
                <a:p>
                  <a:pPr>
                    <a:defRPr/>
                  </a:pPr>
                  <a:endParaRPr lang="uk-UA"/>
                </a:p>
              </c:txPr>
              <c:dLblPos val="bestFit"/>
              <c:showVal val="1"/>
              <c:showCatName val="1"/>
            </c:dLbl>
            <c:dLbl>
              <c:idx val="1"/>
              <c:layout>
                <c:manualLayout>
                  <c:x val="-3.0292213473315923E-2"/>
                  <c:y val="0.14615273657365066"/>
                </c:manualLayout>
              </c:layout>
              <c:spPr/>
              <c:txPr>
                <a:bodyPr/>
                <a:lstStyle/>
                <a:p>
                  <a:pPr>
                    <a:defRPr/>
                  </a:pPr>
                  <a:endParaRPr lang="uk-UA"/>
                </a:p>
              </c:txPr>
              <c:dLblPos val="bestFit"/>
              <c:showVal val="1"/>
              <c:showCatName val="1"/>
            </c:dLbl>
            <c:dLbl>
              <c:idx val="2"/>
              <c:layout>
                <c:manualLayout>
                  <c:x val="-6.4197928747278823E-2"/>
                  <c:y val="0.1239877168328461"/>
                </c:manualLayout>
              </c:layout>
              <c:spPr/>
              <c:txPr>
                <a:bodyPr/>
                <a:lstStyle/>
                <a:p>
                  <a:pPr>
                    <a:defRPr/>
                  </a:pPr>
                  <a:endParaRPr lang="uk-UA"/>
                </a:p>
              </c:txPr>
              <c:dLblPos val="bestFit"/>
              <c:showVal val="1"/>
              <c:showCatName val="1"/>
            </c:dLbl>
            <c:dLbl>
              <c:idx val="3"/>
              <c:layout>
                <c:manualLayout>
                  <c:x val="-6.4092860485462574E-2"/>
                  <c:y val="7.3761459704222529E-2"/>
                </c:manualLayout>
              </c:layout>
              <c:spPr/>
              <c:txPr>
                <a:bodyPr/>
                <a:lstStyle/>
                <a:p>
                  <a:pPr>
                    <a:defRPr/>
                  </a:pPr>
                  <a:endParaRPr lang="uk-UA"/>
                </a:p>
              </c:txPr>
              <c:dLblPos val="bestFit"/>
              <c:showVal val="1"/>
              <c:showCatName val="1"/>
            </c:dLbl>
            <c:dLbl>
              <c:idx val="5"/>
              <c:layout>
                <c:manualLayout>
                  <c:x val="0.13535762680827687"/>
                  <c:y val="2.2492471727153157E-2"/>
                </c:manualLayout>
              </c:layout>
              <c:spPr/>
              <c:txPr>
                <a:bodyPr/>
                <a:lstStyle/>
                <a:p>
                  <a:pPr>
                    <a:defRPr/>
                  </a:pPr>
                  <a:endParaRPr lang="uk-UA"/>
                </a:p>
              </c:txPr>
              <c:dLblPos val="bestFit"/>
              <c:showVal val="1"/>
              <c:showCatName val="1"/>
            </c:dLbl>
            <c:dLbl>
              <c:idx val="6"/>
              <c:layout>
                <c:manualLayout>
                  <c:x val="8.1315509979857203E-2"/>
                  <c:y val="0.11050984066085218"/>
                </c:manualLayout>
              </c:layout>
              <c:spPr/>
              <c:txPr>
                <a:bodyPr/>
                <a:lstStyle/>
                <a:p>
                  <a:pPr>
                    <a:defRPr/>
                  </a:pPr>
                  <a:endParaRPr lang="uk-UA"/>
                </a:p>
              </c:txPr>
              <c:dLblPos val="bestFit"/>
              <c:showVal val="1"/>
              <c:showCatName val="1"/>
            </c:dLbl>
            <c:showVal val="1"/>
            <c:showCatName val="1"/>
            <c:showLeaderLines val="1"/>
          </c:dLbls>
          <c:cat>
            <c:strRef>
              <c:f>Лист1!$A$2:$A$8</c:f>
              <c:strCache>
                <c:ptCount val="7"/>
                <c:pt idx="0">
                  <c:v>За віком</c:v>
                </c:pt>
                <c:pt idx="1">
                  <c:v>По інвалідності</c:v>
                </c:pt>
                <c:pt idx="2">
                  <c:v>Втрата годувальника</c:v>
                </c:pt>
                <c:pt idx="3">
                  <c:v>Військові пенсінери</c:v>
                </c:pt>
                <c:pt idx="4">
                  <c:v>Вислуга років</c:v>
                </c:pt>
                <c:pt idx="5">
                  <c:v>Соціальні пенсії</c:v>
                </c:pt>
                <c:pt idx="6">
                  <c:v>Судді</c:v>
                </c:pt>
              </c:strCache>
            </c:strRef>
          </c:cat>
          <c:val>
            <c:numRef>
              <c:f>Лист1!$B$2:$B$8</c:f>
              <c:numCache>
                <c:formatCode>0%</c:formatCode>
                <c:ptCount val="7"/>
                <c:pt idx="0" formatCode="0.00%">
                  <c:v>0.75860000000000116</c:v>
                </c:pt>
                <c:pt idx="1">
                  <c:v>9.0000000000000024E-2</c:v>
                </c:pt>
                <c:pt idx="2" formatCode="0.00%">
                  <c:v>3.9800000000000002E-2</c:v>
                </c:pt>
                <c:pt idx="3" formatCode="0.00%">
                  <c:v>8.5500000000000048E-2</c:v>
                </c:pt>
                <c:pt idx="4" formatCode="0.00%">
                  <c:v>1.8700000000000029E-2</c:v>
                </c:pt>
                <c:pt idx="5" formatCode="0.00%">
                  <c:v>4.1999999999999997E-3</c:v>
                </c:pt>
                <c:pt idx="6" formatCode="0.00%">
                  <c:v>3.1000000000000055E-3</c:v>
                </c:pt>
              </c:numCache>
            </c:numRef>
          </c:val>
        </c:ser>
        <c:dLbls>
          <c:showVal val="1"/>
          <c:showCatName val="1"/>
        </c:dLbls>
        <c:firstSliceAng val="0"/>
      </c:pieChart>
      <c:spPr>
        <a:noFill/>
        <a:ln w="25404">
          <a:noFill/>
        </a:ln>
      </c:spPr>
    </c:plotArea>
    <c:plotVisOnly val="1"/>
    <c:dispBlanksAs val="zero"/>
  </c:chart>
  <c:spPr>
    <a:noFill/>
    <a:ln w="6351"/>
  </c:spPr>
  <c:externalData r:id="rId2"/>
  <c:userShapes r:id="rId3"/>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4E80FEF-6D52-427A-97AA-04A90B58C440}"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uk-UA"/>
        </a:p>
      </dgm:t>
    </dgm:pt>
    <dgm:pt modelId="{F631A6FC-61B3-4701-B47B-F7DB2DE6E2EB}">
      <dgm:prSet phldrT="[Текст]" custT="1"/>
      <dgm:spPr>
        <a:xfrm>
          <a:off x="1448911" y="11296"/>
          <a:ext cx="3021506"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100">
              <a:solidFill>
                <a:sysClr val="windowText" lastClr="000000"/>
              </a:solidFill>
              <a:latin typeface="Calibri"/>
              <a:ea typeface="+mn-ea"/>
              <a:cs typeface="+mn-cs"/>
            </a:rPr>
            <a:t>Джерела пенсійного забезпечення</a:t>
          </a:r>
        </a:p>
      </dgm:t>
    </dgm:pt>
    <dgm:pt modelId="{28E01773-FF1C-48A9-A3C8-4E0DC0DA06DC}" type="parTrans" cxnId="{2FE3B7C0-5A87-465D-9556-B1D16DEA05BC}">
      <dgm:prSet/>
      <dgm:spPr/>
      <dgm:t>
        <a:bodyPr/>
        <a:lstStyle/>
        <a:p>
          <a:endParaRPr lang="uk-UA"/>
        </a:p>
      </dgm:t>
    </dgm:pt>
    <dgm:pt modelId="{B36200BB-E170-4065-A3C3-502680CF26DA}" type="sibTrans" cxnId="{2FE3B7C0-5A87-465D-9556-B1D16DEA05BC}">
      <dgm:prSet/>
      <dgm:spPr/>
      <dgm:t>
        <a:bodyPr/>
        <a:lstStyle/>
        <a:p>
          <a:endParaRPr lang="uk-UA"/>
        </a:p>
      </dgm:t>
    </dgm:pt>
    <dgm:pt modelId="{D90AB1B2-B781-48B2-A3E7-B7A0D047C51D}">
      <dgm:prSet phldrT="[Текст]" custT="1"/>
      <dgm:spPr>
        <a:xfrm>
          <a:off x="649936" y="587954"/>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За юридичною силою</a:t>
          </a:r>
        </a:p>
      </dgm:t>
    </dgm:pt>
    <dgm:pt modelId="{930571E2-8AD6-4337-8CB2-962CB59BEBE8}" type="parTrans" cxnId="{C4BA0DBF-E297-425D-9D7E-057C5F54CD54}">
      <dgm:prSet/>
      <dgm:spPr>
        <a:xfrm>
          <a:off x="988501" y="447262"/>
          <a:ext cx="1971163" cy="140692"/>
        </a:xfrm>
        <a:noFill/>
        <a:ln w="25400" cap="flat" cmpd="sng" algn="ctr">
          <a:solidFill>
            <a:srgbClr val="4F81BD">
              <a:shade val="60000"/>
              <a:hueOff val="0"/>
              <a:satOff val="0"/>
              <a:lumOff val="0"/>
              <a:alphaOff val="0"/>
            </a:srgbClr>
          </a:solidFill>
          <a:prstDash val="solid"/>
        </a:ln>
        <a:effectLst/>
      </dgm:spPr>
      <dgm:t>
        <a:bodyPr/>
        <a:lstStyle/>
        <a:p>
          <a:endParaRPr lang="uk-UA" sz="800"/>
        </a:p>
      </dgm:t>
    </dgm:pt>
    <dgm:pt modelId="{2E3A1446-D9A3-4229-97AD-2146B2708F57}" type="sibTrans" cxnId="{C4BA0DBF-E297-425D-9D7E-057C5F54CD54}">
      <dgm:prSet/>
      <dgm:spPr/>
      <dgm:t>
        <a:bodyPr/>
        <a:lstStyle/>
        <a:p>
          <a:endParaRPr lang="uk-UA"/>
        </a:p>
      </dgm:t>
    </dgm:pt>
    <dgm:pt modelId="{A8E06AEE-9B0C-408B-9FCE-26CF58D483D2}">
      <dgm:prSet phldrT="[Текст]" custT="1"/>
      <dgm:spPr>
        <a:xfrm>
          <a:off x="1068922" y="1797518"/>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Підзаконні нормативно-правові акти</a:t>
          </a:r>
        </a:p>
      </dgm:t>
    </dgm:pt>
    <dgm:pt modelId="{D49E0FDA-A72D-419A-B55B-5664DA236AB8}" type="parTrans" cxnId="{F3DF2B1F-64B9-4BDA-B3FA-CB5460884B7B}">
      <dgm:prSet/>
      <dgm:spPr>
        <a:xfrm>
          <a:off x="988501" y="1023920"/>
          <a:ext cx="418985" cy="773597"/>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DE292039-669D-40D8-B986-A45F25E071E0}" type="sibTrans" cxnId="{F3DF2B1F-64B9-4BDA-B3FA-CB5460884B7B}">
      <dgm:prSet/>
      <dgm:spPr/>
      <dgm:t>
        <a:bodyPr/>
        <a:lstStyle/>
        <a:p>
          <a:endParaRPr lang="uk-UA"/>
        </a:p>
      </dgm:t>
    </dgm:pt>
    <dgm:pt modelId="{F5168B47-AB2F-478B-9170-39254546D4A3}">
      <dgm:prSet phldrT="[Текст]" custT="1"/>
      <dgm:spPr>
        <a:xfrm>
          <a:off x="1807860" y="589266"/>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За колом осіб</a:t>
          </a:r>
        </a:p>
      </dgm:t>
    </dgm:pt>
    <dgm:pt modelId="{A39490FE-5E5F-4A81-A6E0-C376716F433C}" type="parTrans" cxnId="{D9014C12-322F-4EB7-9D54-C919122E26C1}">
      <dgm:prSet/>
      <dgm:spPr>
        <a:xfrm>
          <a:off x="2146425" y="447262"/>
          <a:ext cx="813239" cy="142003"/>
        </a:xfrm>
        <a:noFill/>
        <a:ln w="25400" cap="flat" cmpd="sng" algn="ctr">
          <a:solidFill>
            <a:srgbClr val="4F81BD">
              <a:shade val="60000"/>
              <a:hueOff val="0"/>
              <a:satOff val="0"/>
              <a:lumOff val="0"/>
              <a:alphaOff val="0"/>
            </a:srgbClr>
          </a:solidFill>
          <a:prstDash val="solid"/>
        </a:ln>
        <a:effectLst/>
      </dgm:spPr>
      <dgm:t>
        <a:bodyPr/>
        <a:lstStyle/>
        <a:p>
          <a:endParaRPr lang="uk-UA" sz="800"/>
        </a:p>
      </dgm:t>
    </dgm:pt>
    <dgm:pt modelId="{DA8903E0-D5DB-4E0D-B124-6BDCAD17CB60}" type="sibTrans" cxnId="{D9014C12-322F-4EB7-9D54-C919122E26C1}">
      <dgm:prSet/>
      <dgm:spPr/>
      <dgm:t>
        <a:bodyPr/>
        <a:lstStyle/>
        <a:p>
          <a:endParaRPr lang="uk-UA"/>
        </a:p>
      </dgm:t>
    </dgm:pt>
    <dgm:pt modelId="{54D8DFF7-89EB-4690-A56D-43E705459B2B}">
      <dgm:prSet phldrT="[Текст]" custT="1"/>
      <dgm:spPr>
        <a:xfrm>
          <a:off x="2058527" y="1069586"/>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Унівесальне законодавство</a:t>
          </a:r>
        </a:p>
      </dgm:t>
    </dgm:pt>
    <dgm:pt modelId="{2860DC29-0616-4CCA-8FAC-DCE3238C5F97}" type="parTrans" cxnId="{E6D7A799-3EA4-4AE8-A1A1-48F1F8774347}">
      <dgm:prSet/>
      <dgm:spPr>
        <a:xfrm>
          <a:off x="1875573" y="1025231"/>
          <a:ext cx="182953" cy="262337"/>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73735603-D0FD-4952-88A6-2C2BA6A3D055}" type="sibTrans" cxnId="{E6D7A799-3EA4-4AE8-A1A1-48F1F8774347}">
      <dgm:prSet/>
      <dgm:spPr/>
      <dgm:t>
        <a:bodyPr/>
        <a:lstStyle/>
        <a:p>
          <a:endParaRPr lang="uk-UA"/>
        </a:p>
      </dgm:t>
    </dgm:pt>
    <dgm:pt modelId="{8C093C78-A370-45FB-86D9-CC73D8AC6B91}">
      <dgm:prSet custT="1"/>
      <dgm:spPr>
        <a:xfrm>
          <a:off x="4208738" y="643851"/>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За джерелом фінансування</a:t>
          </a:r>
        </a:p>
      </dgm:t>
    </dgm:pt>
    <dgm:pt modelId="{D7B56276-9048-4F2A-A829-DB72F50478BF}" type="parTrans" cxnId="{ACDDBA18-4216-4C3B-81F9-83DA895338A8}">
      <dgm:prSet/>
      <dgm:spPr>
        <a:xfrm>
          <a:off x="2959664" y="447262"/>
          <a:ext cx="1587639" cy="196589"/>
        </a:xfrm>
        <a:noFill/>
        <a:ln w="25400" cap="flat" cmpd="sng" algn="ctr">
          <a:solidFill>
            <a:srgbClr val="4F81BD">
              <a:shade val="60000"/>
              <a:hueOff val="0"/>
              <a:satOff val="0"/>
              <a:lumOff val="0"/>
              <a:alphaOff val="0"/>
            </a:srgbClr>
          </a:solidFill>
          <a:prstDash val="solid"/>
        </a:ln>
        <a:effectLst/>
      </dgm:spPr>
      <dgm:t>
        <a:bodyPr/>
        <a:lstStyle/>
        <a:p>
          <a:endParaRPr lang="uk-UA" sz="800"/>
        </a:p>
      </dgm:t>
    </dgm:pt>
    <dgm:pt modelId="{950B0833-2B22-486E-9F34-392306D45CB9}" type="sibTrans" cxnId="{ACDDBA18-4216-4C3B-81F9-83DA895338A8}">
      <dgm:prSet/>
      <dgm:spPr/>
      <dgm:t>
        <a:bodyPr/>
        <a:lstStyle/>
        <a:p>
          <a:endParaRPr lang="uk-UA"/>
        </a:p>
      </dgm:t>
    </dgm:pt>
    <dgm:pt modelId="{7C4E1E2B-643B-407E-8F50-E7665683BBB2}">
      <dgm:prSet custT="1"/>
      <dgm:spPr>
        <a:xfrm>
          <a:off x="68357" y="2231346"/>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Закони України</a:t>
          </a:r>
        </a:p>
      </dgm:t>
    </dgm:pt>
    <dgm:pt modelId="{34DEB6D6-9CE0-4567-BC95-BDBCF9AE9C8D}" type="parTrans" cxnId="{46D4BE6A-AF07-406C-BE22-6B05F31CAFD4}">
      <dgm:prSet/>
      <dgm:spPr>
        <a:xfrm>
          <a:off x="406922" y="1023920"/>
          <a:ext cx="581579" cy="1207426"/>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AAF8DFCE-07A1-4BBB-B0B7-52613495143D}" type="sibTrans" cxnId="{46D4BE6A-AF07-406C-BE22-6B05F31CAFD4}">
      <dgm:prSet/>
      <dgm:spPr/>
      <dgm:t>
        <a:bodyPr/>
        <a:lstStyle/>
        <a:p>
          <a:endParaRPr lang="uk-UA"/>
        </a:p>
      </dgm:t>
    </dgm:pt>
    <dgm:pt modelId="{5B7D6304-5947-41A6-8CC9-EB701BED9EFA}">
      <dgm:prSet custT="1"/>
      <dgm:spPr>
        <a:xfrm>
          <a:off x="1" y="1111827"/>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Конституція</a:t>
          </a:r>
          <a:r>
            <a:rPr lang="uk-UA" sz="800" baseline="0">
              <a:solidFill>
                <a:sysClr val="windowText" lastClr="000000"/>
              </a:solidFill>
              <a:latin typeface="Calibri"/>
              <a:ea typeface="+mn-ea"/>
              <a:cs typeface="+mn-cs"/>
            </a:rPr>
            <a:t> України</a:t>
          </a:r>
          <a:endParaRPr lang="uk-UA" sz="800">
            <a:solidFill>
              <a:sysClr val="windowText" lastClr="000000"/>
            </a:solidFill>
            <a:latin typeface="Calibri"/>
            <a:ea typeface="+mn-ea"/>
            <a:cs typeface="+mn-cs"/>
          </a:endParaRPr>
        </a:p>
      </dgm:t>
    </dgm:pt>
    <dgm:pt modelId="{B8BDFA7C-8E91-4FDF-895D-2C9D337575D7}" type="parTrans" cxnId="{4036424A-C547-4402-92AC-FC15FD91A314}">
      <dgm:prSet/>
      <dgm:spPr>
        <a:xfrm>
          <a:off x="338566" y="978200"/>
          <a:ext cx="649935" cy="91440"/>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6ACAC7D3-2615-449B-A68C-73DFF40822B0}" type="sibTrans" cxnId="{4036424A-C547-4402-92AC-FC15FD91A314}">
      <dgm:prSet/>
      <dgm:spPr/>
      <dgm:t>
        <a:bodyPr/>
        <a:lstStyle/>
        <a:p>
          <a:endParaRPr lang="uk-UA"/>
        </a:p>
      </dgm:t>
    </dgm:pt>
    <dgm:pt modelId="{0CCCFEB3-D8AF-4549-ACD8-86C03DBAABD1}">
      <dgm:prSet custT="1"/>
      <dgm:spPr>
        <a:xfrm>
          <a:off x="64093" y="1635297"/>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Міжнародні договори</a:t>
          </a:r>
        </a:p>
      </dgm:t>
    </dgm:pt>
    <dgm:pt modelId="{36BA80B6-A8F4-4724-B80F-C46CD72BD26C}" type="parTrans" cxnId="{49BAA18D-77E1-414D-8CF2-0273BE7618C6}">
      <dgm:prSet/>
      <dgm:spPr>
        <a:xfrm>
          <a:off x="402658" y="1023920"/>
          <a:ext cx="585843" cy="611377"/>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C56E5862-DE15-4E0E-827A-BA49A04CE170}" type="sibTrans" cxnId="{49BAA18D-77E1-414D-8CF2-0273BE7618C6}">
      <dgm:prSet/>
      <dgm:spPr/>
      <dgm:t>
        <a:bodyPr/>
        <a:lstStyle/>
        <a:p>
          <a:endParaRPr lang="uk-UA"/>
        </a:p>
      </dgm:t>
    </dgm:pt>
    <dgm:pt modelId="{48487A44-D5A9-46E4-9AA9-46A38207FA98}">
      <dgm:prSet custT="1"/>
      <dgm:spPr>
        <a:xfrm>
          <a:off x="1960967" y="1576688"/>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Спеціальне законодавство</a:t>
          </a:r>
        </a:p>
      </dgm:t>
    </dgm:pt>
    <dgm:pt modelId="{58923229-158D-4DF4-AB41-B915D8725198}" type="parTrans" cxnId="{114EF616-F108-4946-B576-7B6F79303633}">
      <dgm:prSet/>
      <dgm:spPr>
        <a:xfrm>
          <a:off x="1829853" y="1025231"/>
          <a:ext cx="91440" cy="769439"/>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28F777AC-D620-4F6E-B812-18EA8A84B279}" type="sibTrans" cxnId="{114EF616-F108-4946-B576-7B6F79303633}">
      <dgm:prSet/>
      <dgm:spPr/>
      <dgm:t>
        <a:bodyPr/>
        <a:lstStyle/>
        <a:p>
          <a:endParaRPr lang="uk-UA"/>
        </a:p>
      </dgm:t>
    </dgm:pt>
    <dgm:pt modelId="{D4548B17-83F1-46C4-A059-2CE1F073078C}">
      <dgm:prSet custT="1"/>
      <dgm:spPr>
        <a:xfrm>
          <a:off x="1475281" y="2309142"/>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Акти Кабінету Міністрів України</a:t>
          </a:r>
        </a:p>
      </dgm:t>
    </dgm:pt>
    <dgm:pt modelId="{1B684C6B-C560-4E72-95E5-C00637A2AE55}" type="parTrans" cxnId="{C4312F02-F6DB-42DD-A7B3-059F8FA2693B}">
      <dgm:prSet/>
      <dgm:spPr>
        <a:xfrm>
          <a:off x="1136635" y="2233484"/>
          <a:ext cx="338645" cy="293641"/>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7D124145-E828-4405-AF10-4BCE5C86ABC4}" type="sibTrans" cxnId="{C4312F02-F6DB-42DD-A7B3-059F8FA2693B}">
      <dgm:prSet/>
      <dgm:spPr/>
      <dgm:t>
        <a:bodyPr/>
        <a:lstStyle/>
        <a:p>
          <a:endParaRPr lang="uk-UA"/>
        </a:p>
      </dgm:t>
    </dgm:pt>
    <dgm:pt modelId="{F8442743-91EE-4D44-A806-37802E347629}">
      <dgm:prSet custT="1"/>
      <dgm:spPr>
        <a:xfrm>
          <a:off x="330257" y="2859787"/>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Акти Президента України</a:t>
          </a:r>
        </a:p>
      </dgm:t>
    </dgm:pt>
    <dgm:pt modelId="{BCD38E0F-71C9-49AC-9CF0-7A19251FA319}" type="parTrans" cxnId="{0965F992-3FDC-4B24-99E5-162675A6B509}">
      <dgm:prSet/>
      <dgm:spPr>
        <a:xfrm>
          <a:off x="1007387" y="2233484"/>
          <a:ext cx="129248" cy="844286"/>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06A33400-40FB-417F-916F-2800D5C81385}" type="sibTrans" cxnId="{0965F992-3FDC-4B24-99E5-162675A6B509}">
      <dgm:prSet/>
      <dgm:spPr/>
      <dgm:t>
        <a:bodyPr/>
        <a:lstStyle/>
        <a:p>
          <a:endParaRPr lang="uk-UA"/>
        </a:p>
      </dgm:t>
    </dgm:pt>
    <dgm:pt modelId="{20EFE777-2712-4424-B592-1D0B8ED72701}">
      <dgm:prSet custT="1"/>
      <dgm:spPr>
        <a:xfrm>
          <a:off x="1479838" y="2950480"/>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Відомчі нормативно-правові акти</a:t>
          </a:r>
        </a:p>
      </dgm:t>
    </dgm:pt>
    <dgm:pt modelId="{59FD1C5A-EC02-41CD-B2A3-5A301A57C43E}" type="parTrans" cxnId="{6F49661F-662D-422F-8BD5-F3C139E6F67B}">
      <dgm:prSet/>
      <dgm:spPr>
        <a:xfrm>
          <a:off x="1136635" y="2233484"/>
          <a:ext cx="343202" cy="934978"/>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70A6D45B-7C86-4510-9D97-A16E40AABE09}" type="sibTrans" cxnId="{6F49661F-662D-422F-8BD5-F3C139E6F67B}">
      <dgm:prSet/>
      <dgm:spPr/>
      <dgm:t>
        <a:bodyPr/>
        <a:lstStyle/>
        <a:p>
          <a:endParaRPr lang="uk-UA"/>
        </a:p>
      </dgm:t>
    </dgm:pt>
    <dgm:pt modelId="{649EE646-6D0D-46DF-B7C5-1F10B6DE272F}">
      <dgm:prSet custT="1"/>
      <dgm:spPr>
        <a:xfrm>
          <a:off x="364713" y="3474103"/>
          <a:ext cx="67712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Локальні нормативно-правові акти</a:t>
          </a:r>
        </a:p>
      </dgm:t>
    </dgm:pt>
    <dgm:pt modelId="{0A1F47DF-2E68-49DC-B031-3E99B339D622}" type="parTrans" cxnId="{D67DA0B9-8301-437A-B389-FEFDB12164EC}">
      <dgm:prSet/>
      <dgm:spPr>
        <a:xfrm>
          <a:off x="1041843" y="2233484"/>
          <a:ext cx="94791" cy="1458602"/>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31998A8F-27B3-4BDF-95CE-949CA3360896}" type="sibTrans" cxnId="{D67DA0B9-8301-437A-B389-FEFDB12164EC}">
      <dgm:prSet/>
      <dgm:spPr/>
      <dgm:t>
        <a:bodyPr/>
        <a:lstStyle/>
        <a:p>
          <a:endParaRPr lang="uk-UA"/>
        </a:p>
      </dgm:t>
    </dgm:pt>
    <dgm:pt modelId="{930AF05D-C760-4344-9E23-4CABE8A41833}">
      <dgm:prSet custT="1"/>
      <dgm:spPr>
        <a:xfrm>
          <a:off x="3730912" y="1218038"/>
          <a:ext cx="960659" cy="43596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Нормативно-правові акти, що регулюють виплату пенсій за кошти ПФУ</a:t>
          </a:r>
        </a:p>
      </dgm:t>
    </dgm:pt>
    <dgm:pt modelId="{1BB948FE-C933-44C6-B62D-5ADF46575645}" type="parTrans" cxnId="{99F93C8A-5002-4BE6-82BD-7EB00477E70D}">
      <dgm:prSet/>
      <dgm:spPr>
        <a:xfrm>
          <a:off x="4276451" y="1079817"/>
          <a:ext cx="415120" cy="356204"/>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C9B5107E-6D51-43A7-AB5F-D77A184F706E}" type="sibTrans" cxnId="{99F93C8A-5002-4BE6-82BD-7EB00477E70D}">
      <dgm:prSet/>
      <dgm:spPr/>
      <dgm:t>
        <a:bodyPr/>
        <a:lstStyle/>
        <a:p>
          <a:endParaRPr lang="uk-UA"/>
        </a:p>
      </dgm:t>
    </dgm:pt>
    <dgm:pt modelId="{2177AEB7-6653-4F6E-8BC5-A1F49D7F0BF2}">
      <dgm:prSet custT="1"/>
      <dgm:spPr>
        <a:xfrm>
          <a:off x="4251796" y="1784850"/>
          <a:ext cx="854981" cy="608729"/>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700">
              <a:solidFill>
                <a:sysClr val="windowText" lastClr="000000"/>
              </a:solidFill>
              <a:latin typeface="Calibri"/>
              <a:ea typeface="+mn-ea"/>
              <a:cs typeface="+mn-cs"/>
            </a:rPr>
            <a:t>Неормативно-правові акти, що регулюють виплату пенсій за рахунок Державного бюджету</a:t>
          </a:r>
        </a:p>
      </dgm:t>
    </dgm:pt>
    <dgm:pt modelId="{0D55819E-14FF-41D1-8E4E-D68379B6E6BD}" type="parTrans" cxnId="{82C90E81-B073-496E-8022-FE910635B26D}">
      <dgm:prSet/>
      <dgm:spPr>
        <a:xfrm>
          <a:off x="4206076" y="1079817"/>
          <a:ext cx="91440" cy="1009397"/>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0C9C809E-B8C3-4784-955D-12D5611AFF45}" type="sibTrans" cxnId="{82C90E81-B073-496E-8022-FE910635B26D}">
      <dgm:prSet/>
      <dgm:spPr/>
      <dgm:t>
        <a:bodyPr/>
        <a:lstStyle/>
        <a:p>
          <a:endParaRPr lang="uk-UA"/>
        </a:p>
      </dgm:t>
    </dgm:pt>
    <dgm:pt modelId="{2BC80871-9444-4808-BA36-48BBC4D53F63}">
      <dgm:prSet custT="1"/>
      <dgm:spPr>
        <a:xfrm>
          <a:off x="3772009" y="2576996"/>
          <a:ext cx="1143104" cy="621143"/>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НПА, що регулюють виплату пенсій із власних наджень</a:t>
          </a:r>
        </a:p>
        <a:p>
          <a:endParaRPr lang="uk-UA" sz="800">
            <a:solidFill>
              <a:sysClr val="windowText" lastClr="000000"/>
            </a:solidFill>
            <a:latin typeface="Calibri"/>
            <a:ea typeface="+mn-ea"/>
            <a:cs typeface="+mn-cs"/>
          </a:endParaRPr>
        </a:p>
      </dgm:t>
    </dgm:pt>
    <dgm:pt modelId="{AB6EC1E7-258B-40CE-BFE2-B08338F81F0B}" type="parTrans" cxnId="{42DFA86E-CB17-4990-952D-01D8C3D2B9CB}">
      <dgm:prSet/>
      <dgm:spPr>
        <a:xfrm>
          <a:off x="3772009" y="1079817"/>
          <a:ext cx="504442" cy="1807750"/>
        </a:xfrm>
        <a:noFill/>
        <a:ln w="25400" cap="flat" cmpd="sng" algn="ctr">
          <a:solidFill>
            <a:srgbClr val="4F81BD">
              <a:shade val="80000"/>
              <a:hueOff val="0"/>
              <a:satOff val="0"/>
              <a:lumOff val="0"/>
              <a:alphaOff val="0"/>
            </a:srgbClr>
          </a:solidFill>
          <a:prstDash val="solid"/>
        </a:ln>
        <a:effectLst/>
      </dgm:spPr>
      <dgm:t>
        <a:bodyPr/>
        <a:lstStyle/>
        <a:p>
          <a:endParaRPr lang="uk-UA" sz="800"/>
        </a:p>
      </dgm:t>
    </dgm:pt>
    <dgm:pt modelId="{DE27B954-1B3E-450C-B287-A6C8650CB2E3}" type="sibTrans" cxnId="{42DFA86E-CB17-4990-952D-01D8C3D2B9CB}">
      <dgm:prSet/>
      <dgm:spPr/>
      <dgm:t>
        <a:bodyPr/>
        <a:lstStyle/>
        <a:p>
          <a:endParaRPr lang="uk-UA"/>
        </a:p>
      </dgm:t>
    </dgm:pt>
    <dgm:pt modelId="{07BD0FF0-9D14-4017-BA9C-F2A3AE1E4FEA}">
      <dgm:prSet custT="1"/>
      <dgm:spPr>
        <a:xfrm>
          <a:off x="3932290" y="3490894"/>
          <a:ext cx="1005250" cy="516161"/>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800">
              <a:solidFill>
                <a:sysClr val="windowText" lastClr="000000"/>
              </a:solidFill>
              <a:latin typeface="Calibri"/>
              <a:ea typeface="+mn-ea"/>
              <a:cs typeface="+mn-cs"/>
            </a:rPr>
            <a:t>НПА, що регулюють виплату пенсій за кошти роботодавців</a:t>
          </a:r>
        </a:p>
      </dgm:t>
    </dgm:pt>
    <dgm:pt modelId="{67214E47-89FB-4AC6-BF5A-E0FAE6393647}" type="parTrans" cxnId="{242CE722-7614-457F-910C-7BD30ADAF37E}">
      <dgm:prSet/>
      <dgm:spPr>
        <a:xfrm>
          <a:off x="3932290" y="1079817"/>
          <a:ext cx="344161" cy="2669157"/>
        </a:xfrm>
        <a:noFill/>
        <a:ln w="25400" cap="flat" cmpd="sng" algn="ctr">
          <a:solidFill>
            <a:srgbClr val="4F81BD">
              <a:shade val="80000"/>
              <a:hueOff val="0"/>
              <a:satOff val="0"/>
              <a:lumOff val="0"/>
              <a:alphaOff val="0"/>
            </a:srgbClr>
          </a:solidFill>
          <a:prstDash val="solid"/>
        </a:ln>
        <a:effectLst/>
      </dgm:spPr>
      <dgm:t>
        <a:bodyPr/>
        <a:lstStyle/>
        <a:p>
          <a:endParaRPr lang="uk-UA"/>
        </a:p>
      </dgm:t>
    </dgm:pt>
    <dgm:pt modelId="{1142892B-79CE-42F9-AC11-459CA30D9581}" type="sibTrans" cxnId="{242CE722-7614-457F-910C-7BD30ADAF37E}">
      <dgm:prSet/>
      <dgm:spPr/>
      <dgm:t>
        <a:bodyPr/>
        <a:lstStyle/>
        <a:p>
          <a:endParaRPr lang="uk-UA"/>
        </a:p>
      </dgm:t>
    </dgm:pt>
    <dgm:pt modelId="{AFE18B68-E8CB-4FE0-9BA4-05F97EB3EAED}">
      <dgm:prSet/>
      <dgm:spPr>
        <a:xfrm>
          <a:off x="2899241" y="659795"/>
          <a:ext cx="944498" cy="488333"/>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За змістом</a:t>
          </a:r>
        </a:p>
      </dgm:t>
    </dgm:pt>
    <dgm:pt modelId="{950CD0A1-1641-424C-8B6C-C5A293607C57}" type="parTrans" cxnId="{EEB16F7B-5747-4295-BEE2-91BA059F7738}">
      <dgm:prSet/>
      <dgm:spPr>
        <a:xfrm>
          <a:off x="2959664" y="447262"/>
          <a:ext cx="411826" cy="212533"/>
        </a:xfrm>
        <a:noFill/>
        <a:ln w="25400" cap="flat" cmpd="sng" algn="ctr">
          <a:solidFill>
            <a:srgbClr val="4F81BD">
              <a:shade val="60000"/>
              <a:hueOff val="0"/>
              <a:satOff val="0"/>
              <a:lumOff val="0"/>
              <a:alphaOff val="0"/>
            </a:srgbClr>
          </a:solidFill>
          <a:prstDash val="solid"/>
        </a:ln>
        <a:effectLst/>
      </dgm:spPr>
      <dgm:t>
        <a:bodyPr/>
        <a:lstStyle/>
        <a:p>
          <a:endParaRPr lang="uk-UA"/>
        </a:p>
      </dgm:t>
    </dgm:pt>
    <dgm:pt modelId="{21BA232A-22AB-4879-908D-8B0DA4C13AD4}" type="sibTrans" cxnId="{EEB16F7B-5747-4295-BEE2-91BA059F7738}">
      <dgm:prSet/>
      <dgm:spPr/>
      <dgm:t>
        <a:bodyPr/>
        <a:lstStyle/>
        <a:p>
          <a:endParaRPr lang="uk-UA"/>
        </a:p>
      </dgm:t>
    </dgm:pt>
    <dgm:pt modelId="{31AB9DBA-34DF-4084-8C36-D766D3DC350B}">
      <dgm:prSet/>
      <dgm:spPr>
        <a:xfrm>
          <a:off x="2924324" y="1713659"/>
          <a:ext cx="779935" cy="291017"/>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Галузеве законодавство</a:t>
          </a:r>
        </a:p>
      </dgm:t>
    </dgm:pt>
    <dgm:pt modelId="{F972C456-156E-4815-A785-294665F6670F}" type="parTrans" cxnId="{E5643255-AE34-49D6-8232-FD563BF3D84E}">
      <dgm:prSet/>
      <dgm:spPr>
        <a:xfrm>
          <a:off x="2878604" y="1148128"/>
          <a:ext cx="91440" cy="711039"/>
        </a:xfrm>
        <a:noFill/>
        <a:ln w="25400" cap="flat" cmpd="sng" algn="ctr">
          <a:solidFill>
            <a:srgbClr val="4F81BD">
              <a:shade val="80000"/>
              <a:hueOff val="0"/>
              <a:satOff val="0"/>
              <a:lumOff val="0"/>
              <a:alphaOff val="0"/>
            </a:srgbClr>
          </a:solidFill>
          <a:prstDash val="solid"/>
        </a:ln>
        <a:effectLst/>
      </dgm:spPr>
      <dgm:t>
        <a:bodyPr/>
        <a:lstStyle/>
        <a:p>
          <a:endParaRPr lang="uk-UA"/>
        </a:p>
      </dgm:t>
    </dgm:pt>
    <dgm:pt modelId="{C9F2B902-7B65-46FC-9A81-070A4C926211}" type="sibTrans" cxnId="{E5643255-AE34-49D6-8232-FD563BF3D84E}">
      <dgm:prSet/>
      <dgm:spPr/>
      <dgm:t>
        <a:bodyPr/>
        <a:lstStyle/>
        <a:p>
          <a:endParaRPr lang="uk-UA"/>
        </a:p>
      </dgm:t>
    </dgm:pt>
    <dgm:pt modelId="{0B7C2513-2710-41A3-8504-DCBD40686B4B}">
      <dgm:prSet/>
      <dgm:spPr>
        <a:xfrm>
          <a:off x="2617604" y="2353064"/>
          <a:ext cx="912650" cy="351289"/>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Комплексне законодавство</a:t>
          </a:r>
        </a:p>
      </dgm:t>
    </dgm:pt>
    <dgm:pt modelId="{BFB0BD74-1E28-4D55-A196-C1937D054022}" type="parTrans" cxnId="{5E4A557E-9890-458A-984B-9193D8E42123}">
      <dgm:prSet/>
      <dgm:spPr>
        <a:xfrm>
          <a:off x="2617604" y="1148128"/>
          <a:ext cx="376087" cy="1380580"/>
        </a:xfrm>
        <a:noFill/>
        <a:ln w="25400" cap="flat" cmpd="sng" algn="ctr">
          <a:solidFill>
            <a:srgbClr val="4F81BD">
              <a:shade val="80000"/>
              <a:hueOff val="0"/>
              <a:satOff val="0"/>
              <a:lumOff val="0"/>
              <a:alphaOff val="0"/>
            </a:srgbClr>
          </a:solidFill>
          <a:prstDash val="solid"/>
        </a:ln>
        <a:effectLst/>
      </dgm:spPr>
      <dgm:t>
        <a:bodyPr/>
        <a:lstStyle/>
        <a:p>
          <a:endParaRPr lang="uk-UA"/>
        </a:p>
      </dgm:t>
    </dgm:pt>
    <dgm:pt modelId="{59741A06-EAD9-4941-866F-485E2F9249BC}" type="sibTrans" cxnId="{5E4A557E-9890-458A-984B-9193D8E42123}">
      <dgm:prSet/>
      <dgm:spPr/>
      <dgm:t>
        <a:bodyPr/>
        <a:lstStyle/>
        <a:p>
          <a:endParaRPr lang="uk-UA"/>
        </a:p>
      </dgm:t>
    </dgm:pt>
    <dgm:pt modelId="{025C21EB-18B5-4FC1-8E67-6E564E84450B}" type="pres">
      <dgm:prSet presAssocID="{C4E80FEF-6D52-427A-97AA-04A90B58C440}" presName="hierChild1" presStyleCnt="0">
        <dgm:presLayoutVars>
          <dgm:orgChart val="1"/>
          <dgm:chPref val="1"/>
          <dgm:dir/>
          <dgm:animOne val="branch"/>
          <dgm:animLvl val="lvl"/>
          <dgm:resizeHandles/>
        </dgm:presLayoutVars>
      </dgm:prSet>
      <dgm:spPr/>
      <dgm:t>
        <a:bodyPr/>
        <a:lstStyle/>
        <a:p>
          <a:endParaRPr lang="uk-UA"/>
        </a:p>
      </dgm:t>
    </dgm:pt>
    <dgm:pt modelId="{1B96DB07-FCB3-4A2B-B14E-739760C515E7}" type="pres">
      <dgm:prSet presAssocID="{F631A6FC-61B3-4701-B47B-F7DB2DE6E2EB}" presName="hierRoot1" presStyleCnt="0">
        <dgm:presLayoutVars>
          <dgm:hierBranch val="init"/>
        </dgm:presLayoutVars>
      </dgm:prSet>
      <dgm:spPr/>
    </dgm:pt>
    <dgm:pt modelId="{84B2FC11-1254-4A4A-9385-817AC3ECE5BD}" type="pres">
      <dgm:prSet presAssocID="{F631A6FC-61B3-4701-B47B-F7DB2DE6E2EB}" presName="rootComposite1" presStyleCnt="0"/>
      <dgm:spPr/>
    </dgm:pt>
    <dgm:pt modelId="{EAFCB5AA-E7D3-45E1-BCD7-28DFFAEE6842}" type="pres">
      <dgm:prSet presAssocID="{F631A6FC-61B3-4701-B47B-F7DB2DE6E2EB}" presName="rootText1" presStyleLbl="node0" presStyleIdx="0" presStyleCnt="1" custScaleX="846743" custScaleY="244349" custLinFactX="-24385" custLinFactY="-117873" custLinFactNeighborX="-100000" custLinFactNeighborY="-200000">
        <dgm:presLayoutVars>
          <dgm:chPref val="3"/>
        </dgm:presLayoutVars>
      </dgm:prSet>
      <dgm:spPr>
        <a:prstGeom prst="rect">
          <a:avLst/>
        </a:prstGeom>
      </dgm:spPr>
      <dgm:t>
        <a:bodyPr/>
        <a:lstStyle/>
        <a:p>
          <a:endParaRPr lang="uk-UA"/>
        </a:p>
      </dgm:t>
    </dgm:pt>
    <dgm:pt modelId="{AFDE417F-49CD-4031-ABAE-525E2FC79083}" type="pres">
      <dgm:prSet presAssocID="{F631A6FC-61B3-4701-B47B-F7DB2DE6E2EB}" presName="rootConnector1" presStyleLbl="node1" presStyleIdx="0" presStyleCnt="0"/>
      <dgm:spPr/>
      <dgm:t>
        <a:bodyPr/>
        <a:lstStyle/>
        <a:p>
          <a:endParaRPr lang="uk-UA"/>
        </a:p>
      </dgm:t>
    </dgm:pt>
    <dgm:pt modelId="{FB103ED6-60F6-4A31-B2BC-0E10CB63177E}" type="pres">
      <dgm:prSet presAssocID="{F631A6FC-61B3-4701-B47B-F7DB2DE6E2EB}" presName="hierChild2" presStyleCnt="0"/>
      <dgm:spPr/>
    </dgm:pt>
    <dgm:pt modelId="{505F8F75-3B2B-490B-B222-7D4D9F291B24}" type="pres">
      <dgm:prSet presAssocID="{930571E2-8AD6-4337-8CB2-962CB59BEBE8}" presName="Name37" presStyleLbl="parChTrans1D2" presStyleIdx="0" presStyleCnt="4" custSzX="2785645" custSzY="362744"/>
      <dgm:spPr>
        <a:custGeom>
          <a:avLst/>
          <a:gdLst/>
          <a:ahLst/>
          <a:cxnLst/>
          <a:rect l="0" t="0" r="0" b="0"/>
          <a:pathLst>
            <a:path>
              <a:moveTo>
                <a:pt x="1971163" y="0"/>
              </a:moveTo>
              <a:lnTo>
                <a:pt x="1971163" y="103224"/>
              </a:lnTo>
              <a:lnTo>
                <a:pt x="0" y="103224"/>
              </a:lnTo>
              <a:lnTo>
                <a:pt x="0" y="140692"/>
              </a:lnTo>
            </a:path>
          </a:pathLst>
        </a:custGeom>
      </dgm:spPr>
      <dgm:t>
        <a:bodyPr/>
        <a:lstStyle/>
        <a:p>
          <a:endParaRPr lang="uk-UA"/>
        </a:p>
      </dgm:t>
    </dgm:pt>
    <dgm:pt modelId="{1CD0B271-D310-42A1-9042-73ED37D60033}" type="pres">
      <dgm:prSet presAssocID="{D90AB1B2-B781-48B2-A3E7-B7A0D047C51D}" presName="hierRoot2" presStyleCnt="0">
        <dgm:presLayoutVars>
          <dgm:hierBranch val="init"/>
        </dgm:presLayoutVars>
      </dgm:prSet>
      <dgm:spPr/>
    </dgm:pt>
    <dgm:pt modelId="{2EB920EC-6CF6-46F5-860A-B40E023D7311}" type="pres">
      <dgm:prSet presAssocID="{D90AB1B2-B781-48B2-A3E7-B7A0D047C51D}" presName="rootComposite" presStyleCnt="0"/>
      <dgm:spPr/>
    </dgm:pt>
    <dgm:pt modelId="{52ECC300-5B7E-4592-99DB-03FDC900AFB5}" type="pres">
      <dgm:prSet presAssocID="{D90AB1B2-B781-48B2-A3E7-B7A0D047C51D}" presName="rootText" presStyleLbl="node2" presStyleIdx="0" presStyleCnt="4" custScaleX="189758" custScaleY="244349" custLinFactX="-34750" custLinFactY="-100000" custLinFactNeighborX="-100000" custLinFactNeighborY="-181018">
        <dgm:presLayoutVars>
          <dgm:chPref val="3"/>
        </dgm:presLayoutVars>
      </dgm:prSet>
      <dgm:spPr>
        <a:prstGeom prst="rect">
          <a:avLst/>
        </a:prstGeom>
      </dgm:spPr>
      <dgm:t>
        <a:bodyPr/>
        <a:lstStyle/>
        <a:p>
          <a:endParaRPr lang="uk-UA"/>
        </a:p>
      </dgm:t>
    </dgm:pt>
    <dgm:pt modelId="{832BB4FF-1201-41FF-8289-475A61C0C18D}" type="pres">
      <dgm:prSet presAssocID="{D90AB1B2-B781-48B2-A3E7-B7A0D047C51D}" presName="rootConnector" presStyleLbl="node2" presStyleIdx="0" presStyleCnt="4"/>
      <dgm:spPr/>
      <dgm:t>
        <a:bodyPr/>
        <a:lstStyle/>
        <a:p>
          <a:endParaRPr lang="uk-UA"/>
        </a:p>
      </dgm:t>
    </dgm:pt>
    <dgm:pt modelId="{B1AF117C-2309-46DB-BC3B-9157515BB854}" type="pres">
      <dgm:prSet presAssocID="{D90AB1B2-B781-48B2-A3E7-B7A0D047C51D}" presName="hierChild4" presStyleCnt="0"/>
      <dgm:spPr/>
    </dgm:pt>
    <dgm:pt modelId="{C0C5ED55-4404-4989-B55A-6672903CD22D}" type="pres">
      <dgm:prSet presAssocID="{36BA80B6-A8F4-4724-B80F-C46CD72BD26C}" presName="Name37" presStyleLbl="parChTrans1D3" presStyleIdx="0" presStyleCnt="12" custSzX="680123" custSzY="564070"/>
      <dgm:spPr>
        <a:custGeom>
          <a:avLst/>
          <a:gdLst/>
          <a:ahLst/>
          <a:cxnLst/>
          <a:rect l="0" t="0" r="0" b="0"/>
          <a:pathLst>
            <a:path>
              <a:moveTo>
                <a:pt x="585843" y="0"/>
              </a:moveTo>
              <a:lnTo>
                <a:pt x="585843" y="573908"/>
              </a:lnTo>
              <a:lnTo>
                <a:pt x="0" y="573908"/>
              </a:lnTo>
              <a:lnTo>
                <a:pt x="0" y="611377"/>
              </a:lnTo>
            </a:path>
          </a:pathLst>
        </a:custGeom>
      </dgm:spPr>
      <dgm:t>
        <a:bodyPr/>
        <a:lstStyle/>
        <a:p>
          <a:endParaRPr lang="uk-UA"/>
        </a:p>
      </dgm:t>
    </dgm:pt>
    <dgm:pt modelId="{F5EFDAF3-6829-4C72-8C67-15CD649EF259}" type="pres">
      <dgm:prSet presAssocID="{0CCCFEB3-D8AF-4549-ACD8-86C03DBAABD1}" presName="hierRoot2" presStyleCnt="0">
        <dgm:presLayoutVars>
          <dgm:hierBranch val="init"/>
        </dgm:presLayoutVars>
      </dgm:prSet>
      <dgm:spPr/>
    </dgm:pt>
    <dgm:pt modelId="{CD6BE412-C4BB-4601-A25F-0983E70729AD}" type="pres">
      <dgm:prSet presAssocID="{0CCCFEB3-D8AF-4549-ACD8-86C03DBAABD1}" presName="rootComposite" presStyleCnt="0"/>
      <dgm:spPr/>
    </dgm:pt>
    <dgm:pt modelId="{50785707-6B2C-4573-A534-494EA0EC2D5C}" type="pres">
      <dgm:prSet presAssocID="{0CCCFEB3-D8AF-4549-ACD8-86C03DBAABD1}" presName="rootText" presStyleLbl="node3" presStyleIdx="0" presStyleCnt="12" custScaleX="189758" custScaleY="244349" custLinFactNeighborX="17211" custLinFactNeighborY="19645">
        <dgm:presLayoutVars>
          <dgm:chPref val="3"/>
        </dgm:presLayoutVars>
      </dgm:prSet>
      <dgm:spPr>
        <a:prstGeom prst="rect">
          <a:avLst/>
        </a:prstGeom>
      </dgm:spPr>
      <dgm:t>
        <a:bodyPr/>
        <a:lstStyle/>
        <a:p>
          <a:endParaRPr lang="uk-UA"/>
        </a:p>
      </dgm:t>
    </dgm:pt>
    <dgm:pt modelId="{2EBFC6E2-DC62-4249-BED0-375245B77FE3}" type="pres">
      <dgm:prSet presAssocID="{0CCCFEB3-D8AF-4549-ACD8-86C03DBAABD1}" presName="rootConnector" presStyleLbl="node3" presStyleIdx="0" presStyleCnt="12"/>
      <dgm:spPr/>
      <dgm:t>
        <a:bodyPr/>
        <a:lstStyle/>
        <a:p>
          <a:endParaRPr lang="uk-UA"/>
        </a:p>
      </dgm:t>
    </dgm:pt>
    <dgm:pt modelId="{2E78CD71-E4DB-4230-AE06-A9C53C5B1567}" type="pres">
      <dgm:prSet presAssocID="{0CCCFEB3-D8AF-4549-ACD8-86C03DBAABD1}" presName="hierChild4" presStyleCnt="0"/>
      <dgm:spPr/>
    </dgm:pt>
    <dgm:pt modelId="{6A6E2860-C9B3-4519-BF42-AE9EE0FFCB43}" type="pres">
      <dgm:prSet presAssocID="{0CCCFEB3-D8AF-4549-ACD8-86C03DBAABD1}" presName="hierChild5" presStyleCnt="0"/>
      <dgm:spPr/>
    </dgm:pt>
    <dgm:pt modelId="{986BBCFF-DDD0-4E89-82BE-F50244E59574}" type="pres">
      <dgm:prSet presAssocID="{B8BDFA7C-8E91-4FDF-895D-2C9D337575D7}" presName="Name37" presStyleLbl="parChTrans1D3" presStyleIdx="1" presStyleCnt="12" custSzX="122556" custSzY="1252818"/>
      <dgm:spPr>
        <a:custGeom>
          <a:avLst/>
          <a:gdLst/>
          <a:ahLst/>
          <a:cxnLst/>
          <a:rect l="0" t="0" r="0" b="0"/>
          <a:pathLst>
            <a:path>
              <a:moveTo>
                <a:pt x="649935" y="45720"/>
              </a:moveTo>
              <a:lnTo>
                <a:pt x="649935" y="96159"/>
              </a:lnTo>
              <a:lnTo>
                <a:pt x="0" y="96159"/>
              </a:lnTo>
              <a:lnTo>
                <a:pt x="0" y="133627"/>
              </a:lnTo>
            </a:path>
          </a:pathLst>
        </a:custGeom>
      </dgm:spPr>
      <dgm:t>
        <a:bodyPr/>
        <a:lstStyle/>
        <a:p>
          <a:endParaRPr lang="uk-UA"/>
        </a:p>
      </dgm:t>
    </dgm:pt>
    <dgm:pt modelId="{77F617C6-766D-4A02-B0B7-50FB04F4DFB7}" type="pres">
      <dgm:prSet presAssocID="{5B7D6304-5947-41A6-8CC9-EB701BED9EFA}" presName="hierRoot2" presStyleCnt="0">
        <dgm:presLayoutVars>
          <dgm:hierBranch val="init"/>
        </dgm:presLayoutVars>
      </dgm:prSet>
      <dgm:spPr/>
    </dgm:pt>
    <dgm:pt modelId="{C48B7FD3-9D1F-4BB6-96B6-EB3D61249552}" type="pres">
      <dgm:prSet presAssocID="{5B7D6304-5947-41A6-8CC9-EB701BED9EFA}" presName="rootComposite" presStyleCnt="0"/>
      <dgm:spPr/>
    </dgm:pt>
    <dgm:pt modelId="{A6F39B28-5868-485D-9956-C16C96635ED2}" type="pres">
      <dgm:prSet presAssocID="{5B7D6304-5947-41A6-8CC9-EB701BED9EFA}" presName="rootText" presStyleLbl="node3" presStyleIdx="1" presStyleCnt="12" custScaleX="189758" custScaleY="244349" custLinFactX="-100000" custLinFactY="-100000" custLinFactNeighborX="-111508" custLinFactNeighborY="-173748">
        <dgm:presLayoutVars>
          <dgm:chPref val="3"/>
        </dgm:presLayoutVars>
      </dgm:prSet>
      <dgm:spPr>
        <a:prstGeom prst="rect">
          <a:avLst/>
        </a:prstGeom>
      </dgm:spPr>
      <dgm:t>
        <a:bodyPr/>
        <a:lstStyle/>
        <a:p>
          <a:endParaRPr lang="uk-UA"/>
        </a:p>
      </dgm:t>
    </dgm:pt>
    <dgm:pt modelId="{6235E452-D029-4528-8109-F8EFB00EE152}" type="pres">
      <dgm:prSet presAssocID="{5B7D6304-5947-41A6-8CC9-EB701BED9EFA}" presName="rootConnector" presStyleLbl="node3" presStyleIdx="1" presStyleCnt="12"/>
      <dgm:spPr/>
      <dgm:t>
        <a:bodyPr/>
        <a:lstStyle/>
        <a:p>
          <a:endParaRPr lang="uk-UA"/>
        </a:p>
      </dgm:t>
    </dgm:pt>
    <dgm:pt modelId="{E9D3A3B1-7F95-4526-90BD-B99BFC40D4B7}" type="pres">
      <dgm:prSet presAssocID="{5B7D6304-5947-41A6-8CC9-EB701BED9EFA}" presName="hierChild4" presStyleCnt="0"/>
      <dgm:spPr/>
    </dgm:pt>
    <dgm:pt modelId="{774000F5-C57F-4A0C-96A5-F23016D3FB01}" type="pres">
      <dgm:prSet presAssocID="{5B7D6304-5947-41A6-8CC9-EB701BED9EFA}" presName="hierChild5" presStyleCnt="0"/>
      <dgm:spPr/>
    </dgm:pt>
    <dgm:pt modelId="{ABA7CB08-B09A-4A4A-BFFD-F5BD2ACF2B71}" type="pres">
      <dgm:prSet presAssocID="{34DEB6D6-9CE0-4567-BC95-BDBCF9AE9C8D}" presName="Name37" presStyleLbl="parChTrans1D3" presStyleIdx="2" presStyleCnt="12" custSzX="567859" custSzY="1899180"/>
      <dgm:spPr>
        <a:custGeom>
          <a:avLst/>
          <a:gdLst/>
          <a:ahLst/>
          <a:cxnLst/>
          <a:rect l="0" t="0" r="0" b="0"/>
          <a:pathLst>
            <a:path>
              <a:moveTo>
                <a:pt x="581579" y="0"/>
              </a:moveTo>
              <a:lnTo>
                <a:pt x="581579" y="1169958"/>
              </a:lnTo>
              <a:lnTo>
                <a:pt x="0" y="1169958"/>
              </a:lnTo>
              <a:lnTo>
                <a:pt x="0" y="1207426"/>
              </a:lnTo>
            </a:path>
          </a:pathLst>
        </a:custGeom>
      </dgm:spPr>
      <dgm:t>
        <a:bodyPr/>
        <a:lstStyle/>
        <a:p>
          <a:endParaRPr lang="uk-UA"/>
        </a:p>
      </dgm:t>
    </dgm:pt>
    <dgm:pt modelId="{A0B3E75C-BBBF-422E-9363-964E14B6BE2D}" type="pres">
      <dgm:prSet presAssocID="{7C4E1E2B-643B-407E-8F50-E7665683BBB2}" presName="hierRoot2" presStyleCnt="0">
        <dgm:presLayoutVars>
          <dgm:hierBranch val="init"/>
        </dgm:presLayoutVars>
      </dgm:prSet>
      <dgm:spPr/>
    </dgm:pt>
    <dgm:pt modelId="{D283FC95-C08D-4767-BB30-578957BA32FB}" type="pres">
      <dgm:prSet presAssocID="{7C4E1E2B-643B-407E-8F50-E7665683BBB2}" presName="rootComposite" presStyleCnt="0"/>
      <dgm:spPr/>
    </dgm:pt>
    <dgm:pt modelId="{58580CF1-951E-46AB-9C3F-EA4AAA390B91}" type="pres">
      <dgm:prSet presAssocID="{7C4E1E2B-643B-407E-8F50-E7665683BBB2}" presName="rootText" presStyleLbl="node3" presStyleIdx="2" presStyleCnt="12" custScaleX="189758" custScaleY="244349" custLinFactX="-200000" custLinFactY="153717" custLinFactNeighborX="-203110" custLinFactNeighborY="200000">
        <dgm:presLayoutVars>
          <dgm:chPref val="3"/>
        </dgm:presLayoutVars>
      </dgm:prSet>
      <dgm:spPr>
        <a:prstGeom prst="rect">
          <a:avLst/>
        </a:prstGeom>
      </dgm:spPr>
      <dgm:t>
        <a:bodyPr/>
        <a:lstStyle/>
        <a:p>
          <a:endParaRPr lang="uk-UA"/>
        </a:p>
      </dgm:t>
    </dgm:pt>
    <dgm:pt modelId="{8EBF1C0E-6529-4875-80FE-8EBBAAB59EBB}" type="pres">
      <dgm:prSet presAssocID="{7C4E1E2B-643B-407E-8F50-E7665683BBB2}" presName="rootConnector" presStyleLbl="node3" presStyleIdx="2" presStyleCnt="12"/>
      <dgm:spPr/>
      <dgm:t>
        <a:bodyPr/>
        <a:lstStyle/>
        <a:p>
          <a:endParaRPr lang="uk-UA"/>
        </a:p>
      </dgm:t>
    </dgm:pt>
    <dgm:pt modelId="{1286E5E1-C377-44A5-9300-1F7BC76BEAD8}" type="pres">
      <dgm:prSet presAssocID="{7C4E1E2B-643B-407E-8F50-E7665683BBB2}" presName="hierChild4" presStyleCnt="0"/>
      <dgm:spPr/>
    </dgm:pt>
    <dgm:pt modelId="{211C89F6-B736-421E-85BE-5F1EABB204DA}" type="pres">
      <dgm:prSet presAssocID="{7C4E1E2B-643B-407E-8F50-E7665683BBB2}" presName="hierChild5" presStyleCnt="0"/>
      <dgm:spPr/>
    </dgm:pt>
    <dgm:pt modelId="{7AAA3DC1-FF09-471F-800A-200935F4B67A}" type="pres">
      <dgm:prSet presAssocID="{D49E0FDA-A72D-419A-B55B-5664DA236AB8}" presName="Name37" presStyleLbl="parChTrans1D3" presStyleIdx="3" presStyleCnt="12" custSzX="1822980" custSzY="1390565"/>
      <dgm:spPr>
        <a:custGeom>
          <a:avLst/>
          <a:gdLst/>
          <a:ahLst/>
          <a:cxnLst/>
          <a:rect l="0" t="0" r="0" b="0"/>
          <a:pathLst>
            <a:path>
              <a:moveTo>
                <a:pt x="0" y="0"/>
              </a:moveTo>
              <a:lnTo>
                <a:pt x="0" y="736129"/>
              </a:lnTo>
              <a:lnTo>
                <a:pt x="418985" y="736129"/>
              </a:lnTo>
              <a:lnTo>
                <a:pt x="418985" y="773597"/>
              </a:lnTo>
            </a:path>
          </a:pathLst>
        </a:custGeom>
      </dgm:spPr>
      <dgm:t>
        <a:bodyPr/>
        <a:lstStyle/>
        <a:p>
          <a:endParaRPr lang="uk-UA"/>
        </a:p>
      </dgm:t>
    </dgm:pt>
    <dgm:pt modelId="{C22F5367-2FC7-482E-BDEF-183022865605}" type="pres">
      <dgm:prSet presAssocID="{A8E06AEE-9B0C-408B-9FCE-26CF58D483D2}" presName="hierRoot2" presStyleCnt="0">
        <dgm:presLayoutVars>
          <dgm:hierBranch val="init"/>
        </dgm:presLayoutVars>
      </dgm:prSet>
      <dgm:spPr/>
    </dgm:pt>
    <dgm:pt modelId="{FE7DBF27-9398-4FB7-B04F-AC27AC321B3E}" type="pres">
      <dgm:prSet presAssocID="{A8E06AEE-9B0C-408B-9FCE-26CF58D483D2}" presName="rootComposite" presStyleCnt="0"/>
      <dgm:spPr/>
    </dgm:pt>
    <dgm:pt modelId="{2D23B2EF-C081-4EB4-8B4A-C797F3FA0951}" type="pres">
      <dgm:prSet presAssocID="{A8E06AEE-9B0C-408B-9FCE-26CF58D483D2}" presName="rootText" presStyleLbl="node3" presStyleIdx="3" presStyleCnt="12" custScaleX="189758" custScaleY="244349" custLinFactX="-133471" custLinFactY="10566" custLinFactNeighborX="-200000" custLinFactNeighborY="100000">
        <dgm:presLayoutVars>
          <dgm:chPref val="3"/>
        </dgm:presLayoutVars>
      </dgm:prSet>
      <dgm:spPr>
        <a:prstGeom prst="rect">
          <a:avLst/>
        </a:prstGeom>
      </dgm:spPr>
      <dgm:t>
        <a:bodyPr/>
        <a:lstStyle/>
        <a:p>
          <a:endParaRPr lang="uk-UA"/>
        </a:p>
      </dgm:t>
    </dgm:pt>
    <dgm:pt modelId="{B0722BA9-B1C3-4BBD-9E03-4B4311E621CD}" type="pres">
      <dgm:prSet presAssocID="{A8E06AEE-9B0C-408B-9FCE-26CF58D483D2}" presName="rootConnector" presStyleLbl="node3" presStyleIdx="3" presStyleCnt="12"/>
      <dgm:spPr/>
      <dgm:t>
        <a:bodyPr/>
        <a:lstStyle/>
        <a:p>
          <a:endParaRPr lang="uk-UA"/>
        </a:p>
      </dgm:t>
    </dgm:pt>
    <dgm:pt modelId="{2134A012-705E-402C-AD72-4028F9D87A92}" type="pres">
      <dgm:prSet presAssocID="{A8E06AEE-9B0C-408B-9FCE-26CF58D483D2}" presName="hierChild4" presStyleCnt="0"/>
      <dgm:spPr/>
    </dgm:pt>
    <dgm:pt modelId="{6C7A6220-D773-4280-934D-1BD4F212476A}" type="pres">
      <dgm:prSet presAssocID="{1B684C6B-C560-4E72-95E5-C00637A2AE55}" presName="Name37" presStyleLbl="parChTrans1D4" presStyleIdx="0" presStyleCnt="4" custSzX="481359" custSzY="551914"/>
      <dgm:spPr>
        <a:custGeom>
          <a:avLst/>
          <a:gdLst/>
          <a:ahLst/>
          <a:cxnLst/>
          <a:rect l="0" t="0" r="0" b="0"/>
          <a:pathLst>
            <a:path>
              <a:moveTo>
                <a:pt x="0" y="0"/>
              </a:moveTo>
              <a:lnTo>
                <a:pt x="0" y="293641"/>
              </a:lnTo>
              <a:lnTo>
                <a:pt x="338645" y="293641"/>
              </a:lnTo>
            </a:path>
          </a:pathLst>
        </a:custGeom>
      </dgm:spPr>
      <dgm:t>
        <a:bodyPr/>
        <a:lstStyle/>
        <a:p>
          <a:endParaRPr lang="uk-UA"/>
        </a:p>
      </dgm:t>
    </dgm:pt>
    <dgm:pt modelId="{2738EA0B-0FD5-47AE-A6BB-E0D6C91B4990}" type="pres">
      <dgm:prSet presAssocID="{D4548B17-83F1-46C4-A059-2CE1F073078C}" presName="hierRoot2" presStyleCnt="0">
        <dgm:presLayoutVars>
          <dgm:hierBranch val="init"/>
        </dgm:presLayoutVars>
      </dgm:prSet>
      <dgm:spPr/>
    </dgm:pt>
    <dgm:pt modelId="{0654CCA0-0C38-48BE-B084-263A56BCA901}" type="pres">
      <dgm:prSet presAssocID="{D4548B17-83F1-46C4-A059-2CE1F073078C}" presName="rootComposite" presStyleCnt="0"/>
      <dgm:spPr/>
    </dgm:pt>
    <dgm:pt modelId="{05730017-7369-4B0A-84B2-AAF86DB8313C}" type="pres">
      <dgm:prSet presAssocID="{D4548B17-83F1-46C4-A059-2CE1F073078C}" presName="rootText" presStyleLbl="node4" presStyleIdx="0" presStyleCnt="4" custScaleX="189758" custScaleY="244349" custLinFactX="-100000" custLinFactY="10971" custLinFactNeighborX="-167033" custLinFactNeighborY="100000">
        <dgm:presLayoutVars>
          <dgm:chPref val="3"/>
        </dgm:presLayoutVars>
      </dgm:prSet>
      <dgm:spPr>
        <a:prstGeom prst="rect">
          <a:avLst/>
        </a:prstGeom>
      </dgm:spPr>
      <dgm:t>
        <a:bodyPr/>
        <a:lstStyle/>
        <a:p>
          <a:endParaRPr lang="uk-UA"/>
        </a:p>
      </dgm:t>
    </dgm:pt>
    <dgm:pt modelId="{5C0C9AA6-B657-44FA-BCE6-23DDE5395F1C}" type="pres">
      <dgm:prSet presAssocID="{D4548B17-83F1-46C4-A059-2CE1F073078C}" presName="rootConnector" presStyleLbl="node4" presStyleIdx="0" presStyleCnt="4"/>
      <dgm:spPr/>
      <dgm:t>
        <a:bodyPr/>
        <a:lstStyle/>
        <a:p>
          <a:endParaRPr lang="uk-UA"/>
        </a:p>
      </dgm:t>
    </dgm:pt>
    <dgm:pt modelId="{0AC3BB61-9342-4624-BF33-36E4ABC82F07}" type="pres">
      <dgm:prSet presAssocID="{D4548B17-83F1-46C4-A059-2CE1F073078C}" presName="hierChild4" presStyleCnt="0"/>
      <dgm:spPr/>
    </dgm:pt>
    <dgm:pt modelId="{097EA768-4CE6-44AB-B52B-F595A744DC2C}" type="pres">
      <dgm:prSet presAssocID="{D4548B17-83F1-46C4-A059-2CE1F073078C}" presName="hierChild5" presStyleCnt="0"/>
      <dgm:spPr/>
    </dgm:pt>
    <dgm:pt modelId="{459D0AFF-E5AC-4B9A-8B72-F75C8FD0E47D}" type="pres">
      <dgm:prSet presAssocID="{BCD38E0F-71C9-49AC-9CF0-7A19251FA319}" presName="Name37" presStyleLbl="parChTrans1D4" presStyleIdx="1" presStyleCnt="4" custSzX="481359" custSzY="1483729"/>
      <dgm:spPr>
        <a:custGeom>
          <a:avLst/>
          <a:gdLst/>
          <a:ahLst/>
          <a:cxnLst/>
          <a:rect l="0" t="0" r="0" b="0"/>
          <a:pathLst>
            <a:path>
              <a:moveTo>
                <a:pt x="129248" y="0"/>
              </a:moveTo>
              <a:lnTo>
                <a:pt x="129248" y="844286"/>
              </a:lnTo>
              <a:lnTo>
                <a:pt x="0" y="844286"/>
              </a:lnTo>
            </a:path>
          </a:pathLst>
        </a:custGeom>
      </dgm:spPr>
      <dgm:t>
        <a:bodyPr/>
        <a:lstStyle/>
        <a:p>
          <a:endParaRPr lang="uk-UA"/>
        </a:p>
      </dgm:t>
    </dgm:pt>
    <dgm:pt modelId="{E2B5138E-3A33-45D6-9CE1-449B507AF136}" type="pres">
      <dgm:prSet presAssocID="{F8442743-91EE-4D44-A806-37802E347629}" presName="hierRoot2" presStyleCnt="0">
        <dgm:presLayoutVars>
          <dgm:hierBranch val="init"/>
        </dgm:presLayoutVars>
      </dgm:prSet>
      <dgm:spPr/>
    </dgm:pt>
    <dgm:pt modelId="{84D9E768-07C4-4479-A0F2-2881F6CB78FA}" type="pres">
      <dgm:prSet presAssocID="{F8442743-91EE-4D44-A806-37802E347629}" presName="rootComposite" presStyleCnt="0"/>
      <dgm:spPr/>
    </dgm:pt>
    <dgm:pt modelId="{0BA95627-9D31-45A2-9425-0375E5F2DDB0}" type="pres">
      <dgm:prSet presAssocID="{F8442743-91EE-4D44-A806-37802E347629}" presName="rootText" presStyleLbl="node4" presStyleIdx="1" presStyleCnt="4" custScaleX="189758" custScaleY="244349" custLinFactX="-287913" custLinFactY="33246" custLinFactNeighborX="-300000" custLinFactNeighborY="100000">
        <dgm:presLayoutVars>
          <dgm:chPref val="3"/>
        </dgm:presLayoutVars>
      </dgm:prSet>
      <dgm:spPr>
        <a:prstGeom prst="rect">
          <a:avLst/>
        </a:prstGeom>
      </dgm:spPr>
      <dgm:t>
        <a:bodyPr/>
        <a:lstStyle/>
        <a:p>
          <a:endParaRPr lang="uk-UA"/>
        </a:p>
      </dgm:t>
    </dgm:pt>
    <dgm:pt modelId="{576AB9F2-5476-4682-9391-A7CAB21C31B0}" type="pres">
      <dgm:prSet presAssocID="{F8442743-91EE-4D44-A806-37802E347629}" presName="rootConnector" presStyleLbl="node4" presStyleIdx="1" presStyleCnt="4"/>
      <dgm:spPr/>
      <dgm:t>
        <a:bodyPr/>
        <a:lstStyle/>
        <a:p>
          <a:endParaRPr lang="uk-UA"/>
        </a:p>
      </dgm:t>
    </dgm:pt>
    <dgm:pt modelId="{2EA4837B-C733-4B95-86AB-E81894F843E2}" type="pres">
      <dgm:prSet presAssocID="{F8442743-91EE-4D44-A806-37802E347629}" presName="hierChild4" presStyleCnt="0"/>
      <dgm:spPr/>
    </dgm:pt>
    <dgm:pt modelId="{4A438703-8C74-4ABC-A6A0-A4CEC46B2A25}" type="pres">
      <dgm:prSet presAssocID="{F8442743-91EE-4D44-A806-37802E347629}" presName="hierChild5" presStyleCnt="0"/>
      <dgm:spPr/>
    </dgm:pt>
    <dgm:pt modelId="{35E4514E-FAD4-4B25-82D0-1E1F58B82BF8}" type="pres">
      <dgm:prSet presAssocID="{59FD1C5A-EC02-41CD-B2A3-5A301A57C43E}" presName="Name37" presStyleLbl="parChTrans1D4" presStyleIdx="2" presStyleCnt="4" custSzX="506945" custSzY="2351966"/>
      <dgm:spPr>
        <a:custGeom>
          <a:avLst/>
          <a:gdLst/>
          <a:ahLst/>
          <a:cxnLst/>
          <a:rect l="0" t="0" r="0" b="0"/>
          <a:pathLst>
            <a:path>
              <a:moveTo>
                <a:pt x="0" y="0"/>
              </a:moveTo>
              <a:lnTo>
                <a:pt x="0" y="934978"/>
              </a:lnTo>
              <a:lnTo>
                <a:pt x="343202" y="934978"/>
              </a:lnTo>
            </a:path>
          </a:pathLst>
        </a:custGeom>
      </dgm:spPr>
      <dgm:t>
        <a:bodyPr/>
        <a:lstStyle/>
        <a:p>
          <a:endParaRPr lang="uk-UA"/>
        </a:p>
      </dgm:t>
    </dgm:pt>
    <dgm:pt modelId="{61F16566-88A2-4ABC-ADEF-DBFB5BA9338C}" type="pres">
      <dgm:prSet presAssocID="{20EFE777-2712-4424-B592-1D0B8ED72701}" presName="hierRoot2" presStyleCnt="0">
        <dgm:presLayoutVars>
          <dgm:hierBranch val="init"/>
        </dgm:presLayoutVars>
      </dgm:prSet>
      <dgm:spPr/>
    </dgm:pt>
    <dgm:pt modelId="{8A3268D6-EC67-4257-950A-B371BCAC306F}" type="pres">
      <dgm:prSet presAssocID="{20EFE777-2712-4424-B592-1D0B8ED72701}" presName="rootComposite" presStyleCnt="0"/>
      <dgm:spPr/>
    </dgm:pt>
    <dgm:pt modelId="{ADA27FF7-7741-4FD1-9AC1-404E94D11090}" type="pres">
      <dgm:prSet presAssocID="{20EFE777-2712-4424-B592-1D0B8ED72701}" presName="rootText" presStyleLbl="node4" presStyleIdx="2" presStyleCnt="4" custScaleX="189758" custScaleY="244349" custLinFactX="-100000" custLinFactY="-2272" custLinFactNeighborX="-165756" custLinFactNeighborY="-100000">
        <dgm:presLayoutVars>
          <dgm:chPref val="3"/>
        </dgm:presLayoutVars>
      </dgm:prSet>
      <dgm:spPr>
        <a:prstGeom prst="rect">
          <a:avLst/>
        </a:prstGeom>
      </dgm:spPr>
      <dgm:t>
        <a:bodyPr/>
        <a:lstStyle/>
        <a:p>
          <a:endParaRPr lang="uk-UA"/>
        </a:p>
      </dgm:t>
    </dgm:pt>
    <dgm:pt modelId="{F313B8A6-2E85-4AAF-BAB6-25C467870D2B}" type="pres">
      <dgm:prSet presAssocID="{20EFE777-2712-4424-B592-1D0B8ED72701}" presName="rootConnector" presStyleLbl="node4" presStyleIdx="2" presStyleCnt="4"/>
      <dgm:spPr/>
      <dgm:t>
        <a:bodyPr/>
        <a:lstStyle/>
        <a:p>
          <a:endParaRPr lang="uk-UA"/>
        </a:p>
      </dgm:t>
    </dgm:pt>
    <dgm:pt modelId="{26871B6B-1B9F-415D-A2BA-4CAB0EF314A5}" type="pres">
      <dgm:prSet presAssocID="{20EFE777-2712-4424-B592-1D0B8ED72701}" presName="hierChild4" presStyleCnt="0"/>
      <dgm:spPr/>
    </dgm:pt>
    <dgm:pt modelId="{A7CFB734-FE7F-4E05-80F9-442A160D39F3}" type="pres">
      <dgm:prSet presAssocID="{20EFE777-2712-4424-B592-1D0B8ED72701}" presName="hierChild5" presStyleCnt="0"/>
      <dgm:spPr/>
    </dgm:pt>
    <dgm:pt modelId="{188B6FCF-1FFE-4D5B-B8D8-6032357441F3}" type="pres">
      <dgm:prSet presAssocID="{0A1F47DF-2E68-49DC-B031-3E99B339D622}" presName="Name37" presStyleLbl="parChTrans1D4" presStyleIdx="3" presStyleCnt="4" custSzX="276669" custSzY="3230796"/>
      <dgm:spPr>
        <a:custGeom>
          <a:avLst/>
          <a:gdLst/>
          <a:ahLst/>
          <a:cxnLst/>
          <a:rect l="0" t="0" r="0" b="0"/>
          <a:pathLst>
            <a:path>
              <a:moveTo>
                <a:pt x="94791" y="0"/>
              </a:moveTo>
              <a:lnTo>
                <a:pt x="94791" y="1458602"/>
              </a:lnTo>
              <a:lnTo>
                <a:pt x="0" y="1458602"/>
              </a:lnTo>
            </a:path>
          </a:pathLst>
        </a:custGeom>
      </dgm:spPr>
      <dgm:t>
        <a:bodyPr/>
        <a:lstStyle/>
        <a:p>
          <a:endParaRPr lang="uk-UA"/>
        </a:p>
      </dgm:t>
    </dgm:pt>
    <dgm:pt modelId="{FECE1AF4-EDB4-4A27-A8D2-24F557B07F0D}" type="pres">
      <dgm:prSet presAssocID="{649EE646-6D0D-46DF-B7C5-1F10B6DE272F}" presName="hierRoot2" presStyleCnt="0">
        <dgm:presLayoutVars>
          <dgm:hierBranch val="init"/>
        </dgm:presLayoutVars>
      </dgm:prSet>
      <dgm:spPr/>
    </dgm:pt>
    <dgm:pt modelId="{DBA6BD00-F7D3-4240-B146-8C1A1B57464E}" type="pres">
      <dgm:prSet presAssocID="{649EE646-6D0D-46DF-B7C5-1F10B6DE272F}" presName="rootComposite" presStyleCnt="0"/>
      <dgm:spPr/>
    </dgm:pt>
    <dgm:pt modelId="{BE043F6E-87D0-485D-8120-705CE8265EFC}" type="pres">
      <dgm:prSet presAssocID="{649EE646-6D0D-46DF-B7C5-1F10B6DE272F}" presName="rootText" presStyleLbl="node4" presStyleIdx="3" presStyleCnt="4" custScaleX="189758" custScaleY="244349" custLinFactX="-278257" custLinFactNeighborX="-300000" custLinFactNeighborY="-95142">
        <dgm:presLayoutVars>
          <dgm:chPref val="3"/>
        </dgm:presLayoutVars>
      </dgm:prSet>
      <dgm:spPr>
        <a:prstGeom prst="rect">
          <a:avLst/>
        </a:prstGeom>
      </dgm:spPr>
      <dgm:t>
        <a:bodyPr/>
        <a:lstStyle/>
        <a:p>
          <a:endParaRPr lang="uk-UA"/>
        </a:p>
      </dgm:t>
    </dgm:pt>
    <dgm:pt modelId="{70410CB3-1CDF-41D7-891B-0A19B9DDBFA4}" type="pres">
      <dgm:prSet presAssocID="{649EE646-6D0D-46DF-B7C5-1F10B6DE272F}" presName="rootConnector" presStyleLbl="node4" presStyleIdx="3" presStyleCnt="4"/>
      <dgm:spPr/>
      <dgm:t>
        <a:bodyPr/>
        <a:lstStyle/>
        <a:p>
          <a:endParaRPr lang="uk-UA"/>
        </a:p>
      </dgm:t>
    </dgm:pt>
    <dgm:pt modelId="{0BC41F94-DED2-4EA6-831F-BBEC8CDDA831}" type="pres">
      <dgm:prSet presAssocID="{649EE646-6D0D-46DF-B7C5-1F10B6DE272F}" presName="hierChild4" presStyleCnt="0"/>
      <dgm:spPr/>
    </dgm:pt>
    <dgm:pt modelId="{F8444425-9B1C-4695-B326-06E97CF72579}" type="pres">
      <dgm:prSet presAssocID="{649EE646-6D0D-46DF-B7C5-1F10B6DE272F}" presName="hierChild5" presStyleCnt="0"/>
      <dgm:spPr/>
    </dgm:pt>
    <dgm:pt modelId="{9E979B75-3874-4045-B8DC-7EDA1169E6BB}" type="pres">
      <dgm:prSet presAssocID="{A8E06AEE-9B0C-408B-9FCE-26CF58D483D2}" presName="hierChild5" presStyleCnt="0"/>
      <dgm:spPr/>
    </dgm:pt>
    <dgm:pt modelId="{ADCFFE64-B112-49A0-8545-E3E524DBF9DE}" type="pres">
      <dgm:prSet presAssocID="{D90AB1B2-B781-48B2-A3E7-B7A0D047C51D}" presName="hierChild5" presStyleCnt="0"/>
      <dgm:spPr/>
    </dgm:pt>
    <dgm:pt modelId="{F0665375-C35D-4BA1-9257-ACA77A359A90}" type="pres">
      <dgm:prSet presAssocID="{A39490FE-5E5F-4A81-A6E0-C376716F433C}" presName="Name37" presStyleLbl="parChTrans1D2" presStyleIdx="1" presStyleCnt="4" custSzX="817675" custSzY="447511"/>
      <dgm:spPr>
        <a:custGeom>
          <a:avLst/>
          <a:gdLst/>
          <a:ahLst/>
          <a:cxnLst/>
          <a:rect l="0" t="0" r="0" b="0"/>
          <a:pathLst>
            <a:path>
              <a:moveTo>
                <a:pt x="813239" y="0"/>
              </a:moveTo>
              <a:lnTo>
                <a:pt x="813239" y="104535"/>
              </a:lnTo>
              <a:lnTo>
                <a:pt x="0" y="104535"/>
              </a:lnTo>
              <a:lnTo>
                <a:pt x="0" y="142003"/>
              </a:lnTo>
            </a:path>
          </a:pathLst>
        </a:custGeom>
      </dgm:spPr>
      <dgm:t>
        <a:bodyPr/>
        <a:lstStyle/>
        <a:p>
          <a:endParaRPr lang="uk-UA"/>
        </a:p>
      </dgm:t>
    </dgm:pt>
    <dgm:pt modelId="{40530F51-A4B7-41DC-85CC-62F9EFF7E215}" type="pres">
      <dgm:prSet presAssocID="{F5168B47-AB2F-478B-9170-39254546D4A3}" presName="hierRoot2" presStyleCnt="0">
        <dgm:presLayoutVars>
          <dgm:hierBranch val="init"/>
        </dgm:presLayoutVars>
      </dgm:prSet>
      <dgm:spPr/>
    </dgm:pt>
    <dgm:pt modelId="{7170644F-BC2E-4C1F-89C9-49B0E04DAC7B}" type="pres">
      <dgm:prSet presAssocID="{F5168B47-AB2F-478B-9170-39254546D4A3}" presName="rootComposite" presStyleCnt="0"/>
      <dgm:spPr/>
    </dgm:pt>
    <dgm:pt modelId="{10FA8AB2-535A-4B38-A593-8F395CB92D49}" type="pres">
      <dgm:prSet presAssocID="{F5168B47-AB2F-478B-9170-39254546D4A3}" presName="rootText" presStyleLbl="node2" presStyleIdx="1" presStyleCnt="4" custScaleX="189758" custScaleY="244349" custLinFactX="-137150" custLinFactY="-100000" custLinFactNeighborX="-200000" custLinFactNeighborY="-180283">
        <dgm:presLayoutVars>
          <dgm:chPref val="3"/>
        </dgm:presLayoutVars>
      </dgm:prSet>
      <dgm:spPr>
        <a:prstGeom prst="rect">
          <a:avLst/>
        </a:prstGeom>
      </dgm:spPr>
      <dgm:t>
        <a:bodyPr/>
        <a:lstStyle/>
        <a:p>
          <a:endParaRPr lang="uk-UA"/>
        </a:p>
      </dgm:t>
    </dgm:pt>
    <dgm:pt modelId="{18A3F3E4-0A94-49E7-9688-620DA1619923}" type="pres">
      <dgm:prSet presAssocID="{F5168B47-AB2F-478B-9170-39254546D4A3}" presName="rootConnector" presStyleLbl="node2" presStyleIdx="1" presStyleCnt="4"/>
      <dgm:spPr/>
      <dgm:t>
        <a:bodyPr/>
        <a:lstStyle/>
        <a:p>
          <a:endParaRPr lang="uk-UA"/>
        </a:p>
      </dgm:t>
    </dgm:pt>
    <dgm:pt modelId="{27785E86-AC50-4F88-AFF7-D95BB75E824D}" type="pres">
      <dgm:prSet presAssocID="{F5168B47-AB2F-478B-9170-39254546D4A3}" presName="hierChild4" presStyleCnt="0"/>
      <dgm:spPr/>
    </dgm:pt>
    <dgm:pt modelId="{DF61AD34-EA02-439F-AA4D-A3F0C5C6B4F0}" type="pres">
      <dgm:prSet presAssocID="{2860DC29-0616-4CCA-8FAC-DCE3238C5F97}" presName="Name37" presStyleLbl="parChTrans1D3" presStyleIdx="4" presStyleCnt="12" custSzX="678739" custSzY="256784"/>
      <dgm:spPr>
        <a:custGeom>
          <a:avLst/>
          <a:gdLst/>
          <a:ahLst/>
          <a:cxnLst/>
          <a:rect l="0" t="0" r="0" b="0"/>
          <a:pathLst>
            <a:path>
              <a:moveTo>
                <a:pt x="0" y="0"/>
              </a:moveTo>
              <a:lnTo>
                <a:pt x="0" y="262337"/>
              </a:lnTo>
              <a:lnTo>
                <a:pt x="182953" y="262337"/>
              </a:lnTo>
            </a:path>
          </a:pathLst>
        </a:custGeom>
      </dgm:spPr>
      <dgm:t>
        <a:bodyPr/>
        <a:lstStyle/>
        <a:p>
          <a:endParaRPr lang="uk-UA"/>
        </a:p>
      </dgm:t>
    </dgm:pt>
    <dgm:pt modelId="{105F2E3A-789C-46A8-80C8-E1438B1634B7}" type="pres">
      <dgm:prSet presAssocID="{54D8DFF7-89EB-4690-A56D-43E705459B2B}" presName="hierRoot2" presStyleCnt="0">
        <dgm:presLayoutVars>
          <dgm:hierBranch val="init"/>
        </dgm:presLayoutVars>
      </dgm:prSet>
      <dgm:spPr/>
    </dgm:pt>
    <dgm:pt modelId="{0B5966D9-E437-42AE-8FC4-E3D0F4B7B9AB}" type="pres">
      <dgm:prSet presAssocID="{54D8DFF7-89EB-4690-A56D-43E705459B2B}" presName="rootComposite" presStyleCnt="0"/>
      <dgm:spPr/>
    </dgm:pt>
    <dgm:pt modelId="{DD4F3836-34FB-4A76-867E-D7E013CA0F50}" type="pres">
      <dgm:prSet presAssocID="{54D8DFF7-89EB-4690-A56D-43E705459B2B}" presName="rootText" presStyleLbl="node3" presStyleIdx="4" presStyleCnt="12" custScaleX="189758" custScaleY="244349" custLinFactX="-114343" custLinFactY="-100000" custLinFactNeighborX="-200000" custLinFactNeighborY="-197423">
        <dgm:presLayoutVars>
          <dgm:chPref val="3"/>
        </dgm:presLayoutVars>
      </dgm:prSet>
      <dgm:spPr>
        <a:prstGeom prst="rect">
          <a:avLst/>
        </a:prstGeom>
      </dgm:spPr>
      <dgm:t>
        <a:bodyPr/>
        <a:lstStyle/>
        <a:p>
          <a:endParaRPr lang="uk-UA"/>
        </a:p>
      </dgm:t>
    </dgm:pt>
    <dgm:pt modelId="{F712A0A9-3A99-4625-9AD1-9388DCA7467E}" type="pres">
      <dgm:prSet presAssocID="{54D8DFF7-89EB-4690-A56D-43E705459B2B}" presName="rootConnector" presStyleLbl="node3" presStyleIdx="4" presStyleCnt="12"/>
      <dgm:spPr/>
      <dgm:t>
        <a:bodyPr/>
        <a:lstStyle/>
        <a:p>
          <a:endParaRPr lang="uk-UA"/>
        </a:p>
      </dgm:t>
    </dgm:pt>
    <dgm:pt modelId="{449490D0-1F95-47E4-8525-3DC16732871E}" type="pres">
      <dgm:prSet presAssocID="{54D8DFF7-89EB-4690-A56D-43E705459B2B}" presName="hierChild4" presStyleCnt="0"/>
      <dgm:spPr/>
    </dgm:pt>
    <dgm:pt modelId="{07635A34-37F3-4ADE-A585-01E2DF4FA323}" type="pres">
      <dgm:prSet presAssocID="{54D8DFF7-89EB-4690-A56D-43E705459B2B}" presName="hierChild5" presStyleCnt="0"/>
      <dgm:spPr/>
    </dgm:pt>
    <dgm:pt modelId="{A90118A8-35F3-4E16-A3C9-53D93F7FFA90}" type="pres">
      <dgm:prSet presAssocID="{58923229-158D-4DF4-AB41-B915D8725198}" presName="Name37" presStyleLbl="parChTrans1D3" presStyleIdx="5" presStyleCnt="12" custSzX="866367" custSzY="152263"/>
      <dgm:spPr>
        <a:custGeom>
          <a:avLst/>
          <a:gdLst/>
          <a:ahLst/>
          <a:cxnLst/>
          <a:rect l="0" t="0" r="0" b="0"/>
          <a:pathLst>
            <a:path>
              <a:moveTo>
                <a:pt x="45720" y="0"/>
              </a:moveTo>
              <a:lnTo>
                <a:pt x="45720" y="769439"/>
              </a:lnTo>
              <a:lnTo>
                <a:pt x="131113" y="769439"/>
              </a:lnTo>
            </a:path>
          </a:pathLst>
        </a:custGeom>
      </dgm:spPr>
      <dgm:t>
        <a:bodyPr/>
        <a:lstStyle/>
        <a:p>
          <a:endParaRPr lang="uk-UA"/>
        </a:p>
      </dgm:t>
    </dgm:pt>
    <dgm:pt modelId="{0CFF3A07-5BF7-4CA4-BB63-04E6577602D2}" type="pres">
      <dgm:prSet presAssocID="{48487A44-D5A9-46E4-9AA9-46A38207FA98}" presName="hierRoot2" presStyleCnt="0">
        <dgm:presLayoutVars>
          <dgm:hierBranch val="init"/>
        </dgm:presLayoutVars>
      </dgm:prSet>
      <dgm:spPr/>
    </dgm:pt>
    <dgm:pt modelId="{3E233E3D-F94C-4ABD-BEA6-A9B8F6752434}" type="pres">
      <dgm:prSet presAssocID="{48487A44-D5A9-46E4-9AA9-46A38207FA98}" presName="rootComposite" presStyleCnt="0"/>
      <dgm:spPr/>
    </dgm:pt>
    <dgm:pt modelId="{F9C06685-270B-4F24-814F-48BCCEFE8695}" type="pres">
      <dgm:prSet presAssocID="{48487A44-D5A9-46E4-9AA9-46A38207FA98}" presName="rootText" presStyleLbl="node3" presStyleIdx="5" presStyleCnt="12" custScaleX="189758" custScaleY="244349" custLinFactX="-141683" custLinFactY="-100000" custLinFactNeighborX="-200000" custLinFactNeighborY="-199553">
        <dgm:presLayoutVars>
          <dgm:chPref val="3"/>
        </dgm:presLayoutVars>
      </dgm:prSet>
      <dgm:spPr>
        <a:prstGeom prst="rect">
          <a:avLst/>
        </a:prstGeom>
      </dgm:spPr>
      <dgm:t>
        <a:bodyPr/>
        <a:lstStyle/>
        <a:p>
          <a:endParaRPr lang="uk-UA"/>
        </a:p>
      </dgm:t>
    </dgm:pt>
    <dgm:pt modelId="{A44F0538-2B58-45CE-9947-77F29BF6E667}" type="pres">
      <dgm:prSet presAssocID="{48487A44-D5A9-46E4-9AA9-46A38207FA98}" presName="rootConnector" presStyleLbl="node3" presStyleIdx="5" presStyleCnt="12"/>
      <dgm:spPr/>
      <dgm:t>
        <a:bodyPr/>
        <a:lstStyle/>
        <a:p>
          <a:endParaRPr lang="uk-UA"/>
        </a:p>
      </dgm:t>
    </dgm:pt>
    <dgm:pt modelId="{4151C8E6-A656-4800-B382-B6269BBCD5DB}" type="pres">
      <dgm:prSet presAssocID="{48487A44-D5A9-46E4-9AA9-46A38207FA98}" presName="hierChild4" presStyleCnt="0"/>
      <dgm:spPr/>
    </dgm:pt>
    <dgm:pt modelId="{756BDCFE-8FDC-4C1F-A835-3EC0728038D7}" type="pres">
      <dgm:prSet presAssocID="{48487A44-D5A9-46E4-9AA9-46A38207FA98}" presName="hierChild5" presStyleCnt="0"/>
      <dgm:spPr/>
    </dgm:pt>
    <dgm:pt modelId="{E1A1C1E4-211C-48AD-9481-F9C9ED4526CA}" type="pres">
      <dgm:prSet presAssocID="{F5168B47-AB2F-478B-9170-39254546D4A3}" presName="hierChild5" presStyleCnt="0"/>
      <dgm:spPr/>
    </dgm:pt>
    <dgm:pt modelId="{940172B6-576F-4BB0-8C0D-53DBFE1F56C3}" type="pres">
      <dgm:prSet presAssocID="{D7B56276-9048-4F2A-A829-DB72F50478BF}" presName="Name37" presStyleLbl="parChTrans1D2" presStyleIdx="2" presStyleCnt="4" custSzX="3212088" custSzY="405125"/>
      <dgm:spPr>
        <a:custGeom>
          <a:avLst/>
          <a:gdLst/>
          <a:ahLst/>
          <a:cxnLst/>
          <a:rect l="0" t="0" r="0" b="0"/>
          <a:pathLst>
            <a:path>
              <a:moveTo>
                <a:pt x="0" y="0"/>
              </a:moveTo>
              <a:lnTo>
                <a:pt x="0" y="159121"/>
              </a:lnTo>
              <a:lnTo>
                <a:pt x="1587639" y="159121"/>
              </a:lnTo>
              <a:lnTo>
                <a:pt x="1587639" y="196589"/>
              </a:lnTo>
            </a:path>
          </a:pathLst>
        </a:custGeom>
      </dgm:spPr>
      <dgm:t>
        <a:bodyPr/>
        <a:lstStyle/>
        <a:p>
          <a:endParaRPr lang="uk-UA"/>
        </a:p>
      </dgm:t>
    </dgm:pt>
    <dgm:pt modelId="{BB4292CF-0B11-4B44-9D9D-BE583300EFDB}" type="pres">
      <dgm:prSet presAssocID="{8C093C78-A370-45FB-86D9-CC73D8AC6B91}" presName="hierRoot2" presStyleCnt="0">
        <dgm:presLayoutVars>
          <dgm:hierBranch val="init"/>
        </dgm:presLayoutVars>
      </dgm:prSet>
      <dgm:spPr/>
    </dgm:pt>
    <dgm:pt modelId="{F71464E5-5BAC-4267-9272-C885721D3A65}" type="pres">
      <dgm:prSet presAssocID="{8C093C78-A370-45FB-86D9-CC73D8AC6B91}" presName="rootComposite" presStyleCnt="0"/>
      <dgm:spPr/>
    </dgm:pt>
    <dgm:pt modelId="{EBF998CC-1764-4617-90C4-5DE1130C5535}" type="pres">
      <dgm:prSet presAssocID="{8C093C78-A370-45FB-86D9-CC73D8AC6B91}" presName="rootText" presStyleLbl="node2" presStyleIdx="2" presStyleCnt="4" custScaleX="189758" custScaleY="244349" custLinFactX="24911" custLinFactY="-100000" custLinFactNeighborX="100000" custLinFactNeighborY="-149689">
        <dgm:presLayoutVars>
          <dgm:chPref val="3"/>
        </dgm:presLayoutVars>
      </dgm:prSet>
      <dgm:spPr>
        <a:prstGeom prst="rect">
          <a:avLst/>
        </a:prstGeom>
      </dgm:spPr>
      <dgm:t>
        <a:bodyPr/>
        <a:lstStyle/>
        <a:p>
          <a:endParaRPr lang="uk-UA"/>
        </a:p>
      </dgm:t>
    </dgm:pt>
    <dgm:pt modelId="{870CC81A-8C42-42C0-8A46-931322ACB2AE}" type="pres">
      <dgm:prSet presAssocID="{8C093C78-A370-45FB-86D9-CC73D8AC6B91}" presName="rootConnector" presStyleLbl="node2" presStyleIdx="2" presStyleCnt="4"/>
      <dgm:spPr/>
      <dgm:t>
        <a:bodyPr/>
        <a:lstStyle/>
        <a:p>
          <a:endParaRPr lang="uk-UA"/>
        </a:p>
      </dgm:t>
    </dgm:pt>
    <dgm:pt modelId="{FE3D5F08-09CB-4B3D-8895-FF2D8D5207E5}" type="pres">
      <dgm:prSet presAssocID="{8C093C78-A370-45FB-86D9-CC73D8AC6B91}" presName="hierChild4" presStyleCnt="0"/>
      <dgm:spPr/>
    </dgm:pt>
    <dgm:pt modelId="{A01D13BF-CEF6-49F5-8A1A-1927A94CF3E3}" type="pres">
      <dgm:prSet presAssocID="{1BB948FE-C933-44C6-B62D-5ADF46575645}" presName="Name37" presStyleLbl="parChTrans1D3" presStyleIdx="6" presStyleCnt="12" custSzX="157265" custSzY="795625"/>
      <dgm:spPr>
        <a:custGeom>
          <a:avLst/>
          <a:gdLst/>
          <a:ahLst/>
          <a:cxnLst/>
          <a:rect l="0" t="0" r="0" b="0"/>
          <a:pathLst>
            <a:path>
              <a:moveTo>
                <a:pt x="0" y="0"/>
              </a:moveTo>
              <a:lnTo>
                <a:pt x="415120" y="356204"/>
              </a:lnTo>
            </a:path>
          </a:pathLst>
        </a:custGeom>
      </dgm:spPr>
      <dgm:t>
        <a:bodyPr/>
        <a:lstStyle/>
        <a:p>
          <a:endParaRPr lang="uk-UA"/>
        </a:p>
      </dgm:t>
    </dgm:pt>
    <dgm:pt modelId="{B548F4D8-616C-4442-B143-9793C2261D8D}" type="pres">
      <dgm:prSet presAssocID="{930AF05D-C760-4344-9E23-4CABE8A41833}" presName="hierRoot2" presStyleCnt="0">
        <dgm:presLayoutVars>
          <dgm:hierBranch val="init"/>
        </dgm:presLayoutVars>
      </dgm:prSet>
      <dgm:spPr/>
    </dgm:pt>
    <dgm:pt modelId="{7788022F-8540-4686-9E4C-EF31E2B41C09}" type="pres">
      <dgm:prSet presAssocID="{930AF05D-C760-4344-9E23-4CABE8A41833}" presName="rootComposite" presStyleCnt="0"/>
      <dgm:spPr/>
    </dgm:pt>
    <dgm:pt modelId="{3A9BED26-E7CC-458F-BD32-F6B8F431C178}" type="pres">
      <dgm:prSet presAssocID="{930AF05D-C760-4344-9E23-4CABE8A41833}" presName="rootText" presStyleLbl="node3" presStyleIdx="6" presStyleCnt="12" custScaleX="269214" custScaleY="244349" custLinFactY="-100000" custLinFactNeighborX="-56434" custLinFactNeighborY="-114219">
        <dgm:presLayoutVars>
          <dgm:chPref val="3"/>
        </dgm:presLayoutVars>
      </dgm:prSet>
      <dgm:spPr>
        <a:prstGeom prst="rect">
          <a:avLst/>
        </a:prstGeom>
      </dgm:spPr>
      <dgm:t>
        <a:bodyPr/>
        <a:lstStyle/>
        <a:p>
          <a:endParaRPr lang="uk-UA"/>
        </a:p>
      </dgm:t>
    </dgm:pt>
    <dgm:pt modelId="{2D170C0C-E154-4F54-AAAE-250C38165DD2}" type="pres">
      <dgm:prSet presAssocID="{930AF05D-C760-4344-9E23-4CABE8A41833}" presName="rootConnector" presStyleLbl="node3" presStyleIdx="6" presStyleCnt="12"/>
      <dgm:spPr/>
      <dgm:t>
        <a:bodyPr/>
        <a:lstStyle/>
        <a:p>
          <a:endParaRPr lang="uk-UA"/>
        </a:p>
      </dgm:t>
    </dgm:pt>
    <dgm:pt modelId="{EF8CA803-521C-4649-81A0-1132AC62E937}" type="pres">
      <dgm:prSet presAssocID="{930AF05D-C760-4344-9E23-4CABE8A41833}" presName="hierChild4" presStyleCnt="0"/>
      <dgm:spPr/>
    </dgm:pt>
    <dgm:pt modelId="{4528E47D-B728-4A29-86B4-344B68D434EE}" type="pres">
      <dgm:prSet presAssocID="{930AF05D-C760-4344-9E23-4CABE8A41833}" presName="hierChild5" presStyleCnt="0"/>
      <dgm:spPr/>
    </dgm:pt>
    <dgm:pt modelId="{272B4852-7C5F-4B9C-9539-F44A4E69FA6A}" type="pres">
      <dgm:prSet presAssocID="{0D55819E-14FF-41D1-8E4E-D68379B6E6BD}" presName="Name37" presStyleLbl="parChTrans1D3" presStyleIdx="7" presStyleCnt="12" custSzX="199913" custSzY="1896974"/>
      <dgm:spPr>
        <a:custGeom>
          <a:avLst/>
          <a:gdLst/>
          <a:ahLst/>
          <a:cxnLst/>
          <a:rect l="0" t="0" r="0" b="0"/>
          <a:pathLst>
            <a:path>
              <a:moveTo>
                <a:pt x="70375" y="0"/>
              </a:moveTo>
              <a:lnTo>
                <a:pt x="45720" y="1009397"/>
              </a:lnTo>
            </a:path>
          </a:pathLst>
        </a:custGeom>
      </dgm:spPr>
      <dgm:t>
        <a:bodyPr/>
        <a:lstStyle/>
        <a:p>
          <a:endParaRPr lang="uk-UA"/>
        </a:p>
      </dgm:t>
    </dgm:pt>
    <dgm:pt modelId="{3544D5B0-42A1-4853-BA12-1B3BA71212E8}" type="pres">
      <dgm:prSet presAssocID="{2177AEB7-6653-4F6E-8BC5-A1F49D7F0BF2}" presName="hierRoot2" presStyleCnt="0">
        <dgm:presLayoutVars>
          <dgm:hierBranch val="init"/>
        </dgm:presLayoutVars>
      </dgm:prSet>
      <dgm:spPr/>
    </dgm:pt>
    <dgm:pt modelId="{2F5930FB-77DE-4F73-A2E5-1F13EDEB1E6B}" type="pres">
      <dgm:prSet presAssocID="{2177AEB7-6653-4F6E-8BC5-A1F49D7F0BF2}" presName="rootComposite" presStyleCnt="0"/>
      <dgm:spPr/>
    </dgm:pt>
    <dgm:pt modelId="{7E37D66E-E650-4020-8B41-2358B22F1568}" type="pres">
      <dgm:prSet presAssocID="{2177AEB7-6653-4F6E-8BC5-A1F49D7F0BF2}" presName="rootText" presStyleLbl="node3" presStyleIdx="7" presStyleCnt="12" custScaleX="239599" custScaleY="341179" custLinFactY="-82883" custLinFactNeighborX="89538" custLinFactNeighborY="-100000">
        <dgm:presLayoutVars>
          <dgm:chPref val="3"/>
        </dgm:presLayoutVars>
      </dgm:prSet>
      <dgm:spPr>
        <a:prstGeom prst="rect">
          <a:avLst/>
        </a:prstGeom>
      </dgm:spPr>
      <dgm:t>
        <a:bodyPr/>
        <a:lstStyle/>
        <a:p>
          <a:endParaRPr lang="uk-UA"/>
        </a:p>
      </dgm:t>
    </dgm:pt>
    <dgm:pt modelId="{2F5F9CAE-429D-4114-8AF7-A68D74677F11}" type="pres">
      <dgm:prSet presAssocID="{2177AEB7-6653-4F6E-8BC5-A1F49D7F0BF2}" presName="rootConnector" presStyleLbl="node3" presStyleIdx="7" presStyleCnt="12"/>
      <dgm:spPr/>
      <dgm:t>
        <a:bodyPr/>
        <a:lstStyle/>
        <a:p>
          <a:endParaRPr lang="uk-UA"/>
        </a:p>
      </dgm:t>
    </dgm:pt>
    <dgm:pt modelId="{59CD0626-9092-4662-81AC-44B17EBA15BC}" type="pres">
      <dgm:prSet presAssocID="{2177AEB7-6653-4F6E-8BC5-A1F49D7F0BF2}" presName="hierChild4" presStyleCnt="0"/>
      <dgm:spPr/>
    </dgm:pt>
    <dgm:pt modelId="{B84B2FB5-8F3C-4955-86EF-1DE3926B4261}" type="pres">
      <dgm:prSet presAssocID="{2177AEB7-6653-4F6E-8BC5-A1F49D7F0BF2}" presName="hierChild5" presStyleCnt="0"/>
      <dgm:spPr/>
    </dgm:pt>
    <dgm:pt modelId="{294F90E7-86EF-4FF7-BB7F-7A587FD9824F}" type="pres">
      <dgm:prSet presAssocID="{AB6EC1E7-258B-40CE-BFE2-B08338F81F0B}" presName="Name37" presStyleLbl="parChTrans1D3" presStyleIdx="8" presStyleCnt="12" custSzX="242552" custSzY="2955942"/>
      <dgm:spPr>
        <a:custGeom>
          <a:avLst/>
          <a:gdLst/>
          <a:ahLst/>
          <a:cxnLst/>
          <a:rect l="0" t="0" r="0" b="0"/>
          <a:pathLst>
            <a:path>
              <a:moveTo>
                <a:pt x="504442" y="0"/>
              </a:moveTo>
              <a:lnTo>
                <a:pt x="0" y="1807750"/>
              </a:lnTo>
            </a:path>
          </a:pathLst>
        </a:custGeom>
      </dgm:spPr>
      <dgm:t>
        <a:bodyPr/>
        <a:lstStyle/>
        <a:p>
          <a:endParaRPr lang="uk-UA"/>
        </a:p>
      </dgm:t>
    </dgm:pt>
    <dgm:pt modelId="{68FC736B-4F3E-4640-8BC3-87368855C78D}" type="pres">
      <dgm:prSet presAssocID="{2BC80871-9444-4808-BA36-48BBC4D53F63}" presName="hierRoot2" presStyleCnt="0">
        <dgm:presLayoutVars>
          <dgm:hierBranch val="init"/>
        </dgm:presLayoutVars>
      </dgm:prSet>
      <dgm:spPr/>
    </dgm:pt>
    <dgm:pt modelId="{793D08E5-4518-4F33-9ACE-68725E6F7558}" type="pres">
      <dgm:prSet presAssocID="{2BC80871-9444-4808-BA36-48BBC4D53F63}" presName="rootComposite" presStyleCnt="0"/>
      <dgm:spPr/>
    </dgm:pt>
    <dgm:pt modelId="{01EEBCC4-4FA1-413B-B18D-410844F6A10D}" type="pres">
      <dgm:prSet presAssocID="{2BC80871-9444-4808-BA36-48BBC4D53F63}" presName="rootText" presStyleLbl="node3" presStyleIdx="8" presStyleCnt="12" custScaleX="320342" custScaleY="348137" custLinFactY="-22082" custLinFactNeighborX="-44917" custLinFactNeighborY="-100000">
        <dgm:presLayoutVars>
          <dgm:chPref val="3"/>
        </dgm:presLayoutVars>
      </dgm:prSet>
      <dgm:spPr>
        <a:prstGeom prst="rect">
          <a:avLst/>
        </a:prstGeom>
      </dgm:spPr>
      <dgm:t>
        <a:bodyPr/>
        <a:lstStyle/>
        <a:p>
          <a:endParaRPr lang="uk-UA"/>
        </a:p>
      </dgm:t>
    </dgm:pt>
    <dgm:pt modelId="{E80E6534-E78B-41B8-AFCD-82085CA62144}" type="pres">
      <dgm:prSet presAssocID="{2BC80871-9444-4808-BA36-48BBC4D53F63}" presName="rootConnector" presStyleLbl="node3" presStyleIdx="8" presStyleCnt="12"/>
      <dgm:spPr/>
      <dgm:t>
        <a:bodyPr/>
        <a:lstStyle/>
        <a:p>
          <a:endParaRPr lang="uk-UA"/>
        </a:p>
      </dgm:t>
    </dgm:pt>
    <dgm:pt modelId="{F9252421-B3A5-43F2-9CB7-DD63BCAEFBF5}" type="pres">
      <dgm:prSet presAssocID="{2BC80871-9444-4808-BA36-48BBC4D53F63}" presName="hierChild4" presStyleCnt="0"/>
      <dgm:spPr/>
    </dgm:pt>
    <dgm:pt modelId="{B30B77C2-1CA8-48AD-B20B-612E52D64805}" type="pres">
      <dgm:prSet presAssocID="{2BC80871-9444-4808-BA36-48BBC4D53F63}" presName="hierChild5" presStyleCnt="0"/>
      <dgm:spPr/>
    </dgm:pt>
    <dgm:pt modelId="{479D3446-62B7-48EC-9B0F-3F85F7A35E44}" type="pres">
      <dgm:prSet presAssocID="{67214E47-89FB-4AC6-BF5A-E0FAE6393647}" presName="Name37" presStyleLbl="parChTrans1D3" presStyleIdx="9" presStyleCnt="12"/>
      <dgm:spPr>
        <a:custGeom>
          <a:avLst/>
          <a:gdLst/>
          <a:ahLst/>
          <a:cxnLst/>
          <a:rect l="0" t="0" r="0" b="0"/>
          <a:pathLst>
            <a:path>
              <a:moveTo>
                <a:pt x="344161" y="0"/>
              </a:moveTo>
              <a:lnTo>
                <a:pt x="0" y="2669157"/>
              </a:lnTo>
            </a:path>
          </a:pathLst>
        </a:custGeom>
      </dgm:spPr>
      <dgm:t>
        <a:bodyPr/>
        <a:lstStyle/>
        <a:p>
          <a:endParaRPr lang="uk-UA"/>
        </a:p>
      </dgm:t>
    </dgm:pt>
    <dgm:pt modelId="{42A6F428-41BF-4CCA-90B2-7516BDBCEB41}" type="pres">
      <dgm:prSet presAssocID="{07BD0FF0-9D14-4017-BA9C-F2A3AE1E4FEA}" presName="hierRoot2" presStyleCnt="0">
        <dgm:presLayoutVars>
          <dgm:hierBranch val="init"/>
        </dgm:presLayoutVars>
      </dgm:prSet>
      <dgm:spPr/>
    </dgm:pt>
    <dgm:pt modelId="{FC0A8DDD-482D-4063-8563-477D860B40A4}" type="pres">
      <dgm:prSet presAssocID="{07BD0FF0-9D14-4017-BA9C-F2A3AE1E4FEA}" presName="rootComposite" presStyleCnt="0"/>
      <dgm:spPr/>
    </dgm:pt>
    <dgm:pt modelId="{64C81C5F-57FE-497B-8B49-1F735C70D787}" type="pres">
      <dgm:prSet presAssocID="{07BD0FF0-9D14-4017-BA9C-F2A3AE1E4FEA}" presName="rootText" presStyleLbl="node3" presStyleIdx="9" presStyleCnt="12" custScaleX="281710" custScaleY="289297">
        <dgm:presLayoutVars>
          <dgm:chPref val="3"/>
        </dgm:presLayoutVars>
      </dgm:prSet>
      <dgm:spPr>
        <a:prstGeom prst="rect">
          <a:avLst/>
        </a:prstGeom>
      </dgm:spPr>
      <dgm:t>
        <a:bodyPr/>
        <a:lstStyle/>
        <a:p>
          <a:endParaRPr lang="uk-UA"/>
        </a:p>
      </dgm:t>
    </dgm:pt>
    <dgm:pt modelId="{38D8DFC9-6F35-4E5F-8F18-1E0E4ABE7F3C}" type="pres">
      <dgm:prSet presAssocID="{07BD0FF0-9D14-4017-BA9C-F2A3AE1E4FEA}" presName="rootConnector" presStyleLbl="node3" presStyleIdx="9" presStyleCnt="12"/>
      <dgm:spPr/>
      <dgm:t>
        <a:bodyPr/>
        <a:lstStyle/>
        <a:p>
          <a:endParaRPr lang="uk-UA"/>
        </a:p>
      </dgm:t>
    </dgm:pt>
    <dgm:pt modelId="{903FF867-7A41-432B-856E-940347C8BE85}" type="pres">
      <dgm:prSet presAssocID="{07BD0FF0-9D14-4017-BA9C-F2A3AE1E4FEA}" presName="hierChild4" presStyleCnt="0"/>
      <dgm:spPr/>
    </dgm:pt>
    <dgm:pt modelId="{CD10B0A3-2111-4C03-BD59-29001B7FB13E}" type="pres">
      <dgm:prSet presAssocID="{07BD0FF0-9D14-4017-BA9C-F2A3AE1E4FEA}" presName="hierChild5" presStyleCnt="0"/>
      <dgm:spPr/>
    </dgm:pt>
    <dgm:pt modelId="{8A628A21-DC96-4DE1-9342-500FA8E6EDA8}" type="pres">
      <dgm:prSet presAssocID="{8C093C78-A370-45FB-86D9-CC73D8AC6B91}" presName="hierChild5" presStyleCnt="0"/>
      <dgm:spPr/>
    </dgm:pt>
    <dgm:pt modelId="{8C6DFB2B-33C8-4972-A93B-FF919D6FEAFF}" type="pres">
      <dgm:prSet presAssocID="{950CD0A1-1641-424C-8B6C-C5A293607C57}" presName="Name37" presStyleLbl="parChTrans1D2" presStyleIdx="3" presStyleCnt="4"/>
      <dgm:spPr>
        <a:custGeom>
          <a:avLst/>
          <a:gdLst/>
          <a:ahLst/>
          <a:cxnLst/>
          <a:rect l="0" t="0" r="0" b="0"/>
          <a:pathLst>
            <a:path>
              <a:moveTo>
                <a:pt x="0" y="0"/>
              </a:moveTo>
              <a:lnTo>
                <a:pt x="0" y="175065"/>
              </a:lnTo>
              <a:lnTo>
                <a:pt x="411826" y="175065"/>
              </a:lnTo>
              <a:lnTo>
                <a:pt x="411826" y="212533"/>
              </a:lnTo>
            </a:path>
          </a:pathLst>
        </a:custGeom>
      </dgm:spPr>
      <dgm:t>
        <a:bodyPr/>
        <a:lstStyle/>
        <a:p>
          <a:endParaRPr lang="uk-UA"/>
        </a:p>
      </dgm:t>
    </dgm:pt>
    <dgm:pt modelId="{97632A35-EE50-4A2C-8F23-A5A15DD0C103}" type="pres">
      <dgm:prSet presAssocID="{AFE18B68-E8CB-4FE0-9BA4-05F97EB3EAED}" presName="hierRoot2" presStyleCnt="0">
        <dgm:presLayoutVars>
          <dgm:hierBranch val="init"/>
        </dgm:presLayoutVars>
      </dgm:prSet>
      <dgm:spPr/>
    </dgm:pt>
    <dgm:pt modelId="{38B242C0-FABD-4D1E-ADDA-5FD5C8E8D4BC}" type="pres">
      <dgm:prSet presAssocID="{AFE18B68-E8CB-4FE0-9BA4-05F97EB3EAED}" presName="rootComposite" presStyleCnt="0"/>
      <dgm:spPr/>
    </dgm:pt>
    <dgm:pt modelId="{8B967B3F-7859-4C4A-9FE1-23F6FAB892E2}" type="pres">
      <dgm:prSet presAssocID="{AFE18B68-E8CB-4FE0-9BA4-05F97EB3EAED}" presName="rootText" presStyleLbl="node2" presStyleIdx="3" presStyleCnt="4" custScaleX="264685" custScaleY="273700" custLinFactX="-213543" custLinFactY="-100000" custLinFactNeighborX="-300000" custLinFactNeighborY="-140753">
        <dgm:presLayoutVars>
          <dgm:chPref val="3"/>
        </dgm:presLayoutVars>
      </dgm:prSet>
      <dgm:spPr>
        <a:prstGeom prst="rect">
          <a:avLst/>
        </a:prstGeom>
      </dgm:spPr>
      <dgm:t>
        <a:bodyPr/>
        <a:lstStyle/>
        <a:p>
          <a:endParaRPr lang="uk-UA"/>
        </a:p>
      </dgm:t>
    </dgm:pt>
    <dgm:pt modelId="{BC5F09FC-3B0C-4154-82D2-0CED3E9014E0}" type="pres">
      <dgm:prSet presAssocID="{AFE18B68-E8CB-4FE0-9BA4-05F97EB3EAED}" presName="rootConnector" presStyleLbl="node2" presStyleIdx="3" presStyleCnt="4"/>
      <dgm:spPr/>
      <dgm:t>
        <a:bodyPr/>
        <a:lstStyle/>
        <a:p>
          <a:endParaRPr lang="uk-UA"/>
        </a:p>
      </dgm:t>
    </dgm:pt>
    <dgm:pt modelId="{79824566-671C-45DA-A8A4-A0DD6D0B7639}" type="pres">
      <dgm:prSet presAssocID="{AFE18B68-E8CB-4FE0-9BA4-05F97EB3EAED}" presName="hierChild4" presStyleCnt="0"/>
      <dgm:spPr/>
    </dgm:pt>
    <dgm:pt modelId="{94C27036-147D-41AE-95AA-BEEAB4038428}" type="pres">
      <dgm:prSet presAssocID="{F972C456-156E-4815-A785-294665F6670F}" presName="Name37" presStyleLbl="parChTrans1D3" presStyleIdx="10" presStyleCnt="12"/>
      <dgm:spPr>
        <a:custGeom>
          <a:avLst/>
          <a:gdLst/>
          <a:ahLst/>
          <a:cxnLst/>
          <a:rect l="0" t="0" r="0" b="0"/>
          <a:pathLst>
            <a:path>
              <a:moveTo>
                <a:pt x="115086" y="0"/>
              </a:moveTo>
              <a:lnTo>
                <a:pt x="45720" y="711039"/>
              </a:lnTo>
            </a:path>
          </a:pathLst>
        </a:custGeom>
      </dgm:spPr>
      <dgm:t>
        <a:bodyPr/>
        <a:lstStyle/>
        <a:p>
          <a:endParaRPr lang="uk-UA"/>
        </a:p>
      </dgm:t>
    </dgm:pt>
    <dgm:pt modelId="{128A6E14-49E9-4917-8701-068B9FFF3EFC}" type="pres">
      <dgm:prSet presAssocID="{31AB9DBA-34DF-4084-8C36-D766D3DC350B}" presName="hierRoot2" presStyleCnt="0">
        <dgm:presLayoutVars>
          <dgm:hierBranch val="init"/>
        </dgm:presLayoutVars>
      </dgm:prSet>
      <dgm:spPr/>
    </dgm:pt>
    <dgm:pt modelId="{083F1FD8-7C74-4673-967E-E4A41DC3B6C3}" type="pres">
      <dgm:prSet presAssocID="{31AB9DBA-34DF-4084-8C36-D766D3DC350B}" presName="rootComposite" presStyleCnt="0"/>
      <dgm:spPr/>
    </dgm:pt>
    <dgm:pt modelId="{D4446C36-1173-4222-8C3E-0F7F1973D6BB}" type="pres">
      <dgm:prSet presAssocID="{31AB9DBA-34DF-4084-8C36-D766D3DC350B}" presName="rootText" presStyleLbl="node3" presStyleIdx="10" presStyleCnt="12" custScaleX="218568" custScaleY="163109" custLinFactX="-272685" custLinFactNeighborX="-300000" custLinFactNeighborY="34214">
        <dgm:presLayoutVars>
          <dgm:chPref val="3"/>
        </dgm:presLayoutVars>
      </dgm:prSet>
      <dgm:spPr>
        <a:prstGeom prst="rect">
          <a:avLst/>
        </a:prstGeom>
      </dgm:spPr>
      <dgm:t>
        <a:bodyPr/>
        <a:lstStyle/>
        <a:p>
          <a:endParaRPr lang="uk-UA"/>
        </a:p>
      </dgm:t>
    </dgm:pt>
    <dgm:pt modelId="{174AB3F6-AC50-4BFD-B14C-4ED9FDAA11C8}" type="pres">
      <dgm:prSet presAssocID="{31AB9DBA-34DF-4084-8C36-D766D3DC350B}" presName="rootConnector" presStyleLbl="node3" presStyleIdx="10" presStyleCnt="12"/>
      <dgm:spPr/>
      <dgm:t>
        <a:bodyPr/>
        <a:lstStyle/>
        <a:p>
          <a:endParaRPr lang="uk-UA"/>
        </a:p>
      </dgm:t>
    </dgm:pt>
    <dgm:pt modelId="{7E5CBC09-87CF-4566-AEF4-99CC175B8B7D}" type="pres">
      <dgm:prSet presAssocID="{31AB9DBA-34DF-4084-8C36-D766D3DC350B}" presName="hierChild4" presStyleCnt="0"/>
      <dgm:spPr/>
    </dgm:pt>
    <dgm:pt modelId="{881C5D48-5E86-4AEF-92AE-197ADF5AB96E}" type="pres">
      <dgm:prSet presAssocID="{31AB9DBA-34DF-4084-8C36-D766D3DC350B}" presName="hierChild5" presStyleCnt="0"/>
      <dgm:spPr/>
    </dgm:pt>
    <dgm:pt modelId="{48BD6940-9A28-4387-83A6-684BA416A6AD}" type="pres">
      <dgm:prSet presAssocID="{BFB0BD74-1E28-4D55-A196-C1937D054022}" presName="Name37" presStyleLbl="parChTrans1D3" presStyleIdx="11" presStyleCnt="12"/>
      <dgm:spPr>
        <a:custGeom>
          <a:avLst/>
          <a:gdLst/>
          <a:ahLst/>
          <a:cxnLst/>
          <a:rect l="0" t="0" r="0" b="0"/>
          <a:pathLst>
            <a:path>
              <a:moveTo>
                <a:pt x="376087" y="0"/>
              </a:moveTo>
              <a:lnTo>
                <a:pt x="0" y="1380580"/>
              </a:lnTo>
            </a:path>
          </a:pathLst>
        </a:custGeom>
      </dgm:spPr>
      <dgm:t>
        <a:bodyPr/>
        <a:lstStyle/>
        <a:p>
          <a:endParaRPr lang="uk-UA"/>
        </a:p>
      </dgm:t>
    </dgm:pt>
    <dgm:pt modelId="{E20A4B36-D209-4CD6-B959-58E6BF634B8B}" type="pres">
      <dgm:prSet presAssocID="{0B7C2513-2710-41A3-8504-DCBD40686B4B}" presName="hierRoot2" presStyleCnt="0">
        <dgm:presLayoutVars>
          <dgm:hierBranch val="init"/>
        </dgm:presLayoutVars>
      </dgm:prSet>
      <dgm:spPr/>
    </dgm:pt>
    <dgm:pt modelId="{74F8CF1D-97E7-40B6-B20B-DB64697932E9}" type="pres">
      <dgm:prSet presAssocID="{0B7C2513-2710-41A3-8504-DCBD40686B4B}" presName="rootComposite" presStyleCnt="0"/>
      <dgm:spPr/>
    </dgm:pt>
    <dgm:pt modelId="{60153118-864C-4EA4-B435-159143C15803}" type="pres">
      <dgm:prSet presAssocID="{0B7C2513-2710-41A3-8504-DCBD40686B4B}" presName="rootText" presStyleLbl="node3" presStyleIdx="11" presStyleCnt="12" custScaleX="255760" custScaleY="196890" custLinFactX="-300000" custLinFactY="87477" custLinFactNeighborX="-358640" custLinFactNeighborY="100000">
        <dgm:presLayoutVars>
          <dgm:chPref val="3"/>
        </dgm:presLayoutVars>
      </dgm:prSet>
      <dgm:spPr>
        <a:prstGeom prst="rect">
          <a:avLst/>
        </a:prstGeom>
      </dgm:spPr>
      <dgm:t>
        <a:bodyPr/>
        <a:lstStyle/>
        <a:p>
          <a:endParaRPr lang="uk-UA"/>
        </a:p>
      </dgm:t>
    </dgm:pt>
    <dgm:pt modelId="{259C8858-F8DC-41F5-8BC6-A02D737EB36F}" type="pres">
      <dgm:prSet presAssocID="{0B7C2513-2710-41A3-8504-DCBD40686B4B}" presName="rootConnector" presStyleLbl="node3" presStyleIdx="11" presStyleCnt="12"/>
      <dgm:spPr/>
      <dgm:t>
        <a:bodyPr/>
        <a:lstStyle/>
        <a:p>
          <a:endParaRPr lang="uk-UA"/>
        </a:p>
      </dgm:t>
    </dgm:pt>
    <dgm:pt modelId="{1EA9215C-36FF-4DB9-9C13-39813791153E}" type="pres">
      <dgm:prSet presAssocID="{0B7C2513-2710-41A3-8504-DCBD40686B4B}" presName="hierChild4" presStyleCnt="0"/>
      <dgm:spPr/>
    </dgm:pt>
    <dgm:pt modelId="{9A133FE4-E8C6-4537-9B3F-3624D7F9F5B8}" type="pres">
      <dgm:prSet presAssocID="{0B7C2513-2710-41A3-8504-DCBD40686B4B}" presName="hierChild5" presStyleCnt="0"/>
      <dgm:spPr/>
    </dgm:pt>
    <dgm:pt modelId="{EC2B3B28-07B6-408E-B321-FEBAD5F99C93}" type="pres">
      <dgm:prSet presAssocID="{AFE18B68-E8CB-4FE0-9BA4-05F97EB3EAED}" presName="hierChild5" presStyleCnt="0"/>
      <dgm:spPr/>
    </dgm:pt>
    <dgm:pt modelId="{CD3DDB90-0AC1-400B-8A86-8E5FA1DF69B4}" type="pres">
      <dgm:prSet presAssocID="{F631A6FC-61B3-4701-B47B-F7DB2DE6E2EB}" presName="hierChild3" presStyleCnt="0"/>
      <dgm:spPr/>
    </dgm:pt>
  </dgm:ptLst>
  <dgm:cxnLst>
    <dgm:cxn modelId="{114EF616-F108-4946-B576-7B6F79303633}" srcId="{F5168B47-AB2F-478B-9170-39254546D4A3}" destId="{48487A44-D5A9-46E4-9AA9-46A38207FA98}" srcOrd="1" destOrd="0" parTransId="{58923229-158D-4DF4-AB41-B915D8725198}" sibTransId="{28F777AC-D620-4F6E-B812-18EA8A84B279}"/>
    <dgm:cxn modelId="{3F6BE87A-709B-46FA-94FE-0436EFBB291A}" type="presOf" srcId="{0CCCFEB3-D8AF-4549-ACD8-86C03DBAABD1}" destId="{50785707-6B2C-4573-A534-494EA0EC2D5C}" srcOrd="0" destOrd="0" presId="urn:microsoft.com/office/officeart/2005/8/layout/orgChart1"/>
    <dgm:cxn modelId="{8C0F1EDA-FB8B-4E89-8589-AC4A27EC5659}" type="presOf" srcId="{BFB0BD74-1E28-4D55-A196-C1937D054022}" destId="{48BD6940-9A28-4387-83A6-684BA416A6AD}" srcOrd="0" destOrd="0" presId="urn:microsoft.com/office/officeart/2005/8/layout/orgChart1"/>
    <dgm:cxn modelId="{E5643255-AE34-49D6-8232-FD563BF3D84E}" srcId="{AFE18B68-E8CB-4FE0-9BA4-05F97EB3EAED}" destId="{31AB9DBA-34DF-4084-8C36-D766D3DC350B}" srcOrd="0" destOrd="0" parTransId="{F972C456-156E-4815-A785-294665F6670F}" sibTransId="{C9F2B902-7B65-46FC-9A81-070A4C926211}"/>
    <dgm:cxn modelId="{82C90E81-B073-496E-8022-FE910635B26D}" srcId="{8C093C78-A370-45FB-86D9-CC73D8AC6B91}" destId="{2177AEB7-6653-4F6E-8BC5-A1F49D7F0BF2}" srcOrd="1" destOrd="0" parTransId="{0D55819E-14FF-41D1-8E4E-D68379B6E6BD}" sibTransId="{0C9C809E-B8C3-4784-955D-12D5611AFF45}"/>
    <dgm:cxn modelId="{88B68E76-8C2C-44B6-B962-50952BE32B0E}" type="presOf" srcId="{2177AEB7-6653-4F6E-8BC5-A1F49D7F0BF2}" destId="{2F5F9CAE-429D-4114-8AF7-A68D74677F11}" srcOrd="1" destOrd="0" presId="urn:microsoft.com/office/officeart/2005/8/layout/orgChart1"/>
    <dgm:cxn modelId="{3A183B43-2950-483D-9BD9-5140EB25D5CA}" type="presOf" srcId="{F631A6FC-61B3-4701-B47B-F7DB2DE6E2EB}" destId="{AFDE417F-49CD-4031-ABAE-525E2FC79083}" srcOrd="1" destOrd="0" presId="urn:microsoft.com/office/officeart/2005/8/layout/orgChart1"/>
    <dgm:cxn modelId="{D0B5F98B-72A7-4A0C-B6EA-4283F1B6F409}" type="presOf" srcId="{0D55819E-14FF-41D1-8E4E-D68379B6E6BD}" destId="{272B4852-7C5F-4B9C-9539-F44A4E69FA6A}" srcOrd="0" destOrd="0" presId="urn:microsoft.com/office/officeart/2005/8/layout/orgChart1"/>
    <dgm:cxn modelId="{ACDDBA18-4216-4C3B-81F9-83DA895338A8}" srcId="{F631A6FC-61B3-4701-B47B-F7DB2DE6E2EB}" destId="{8C093C78-A370-45FB-86D9-CC73D8AC6B91}" srcOrd="2" destOrd="0" parTransId="{D7B56276-9048-4F2A-A829-DB72F50478BF}" sibTransId="{950B0833-2B22-486E-9F34-392306D45CB9}"/>
    <dgm:cxn modelId="{0965F992-3FDC-4B24-99E5-162675A6B509}" srcId="{A8E06AEE-9B0C-408B-9FCE-26CF58D483D2}" destId="{F8442743-91EE-4D44-A806-37802E347629}" srcOrd="1" destOrd="0" parTransId="{BCD38E0F-71C9-49AC-9CF0-7A19251FA319}" sibTransId="{06A33400-40FB-417F-916F-2800D5C81385}"/>
    <dgm:cxn modelId="{B92877D7-A930-47E0-9DC1-C622D3B35C20}" type="presOf" srcId="{D90AB1B2-B781-48B2-A3E7-B7A0D047C51D}" destId="{832BB4FF-1201-41FF-8289-475A61C0C18D}" srcOrd="1" destOrd="0" presId="urn:microsoft.com/office/officeart/2005/8/layout/orgChart1"/>
    <dgm:cxn modelId="{C4312F02-F6DB-42DD-A7B3-059F8FA2693B}" srcId="{A8E06AEE-9B0C-408B-9FCE-26CF58D483D2}" destId="{D4548B17-83F1-46C4-A059-2CE1F073078C}" srcOrd="0" destOrd="0" parTransId="{1B684C6B-C560-4E72-95E5-C00637A2AE55}" sibTransId="{7D124145-E828-4405-AF10-4BCE5C86ABC4}"/>
    <dgm:cxn modelId="{9E51A5F1-BD3B-46D5-8691-66329B938A49}" type="presOf" srcId="{67214E47-89FB-4AC6-BF5A-E0FAE6393647}" destId="{479D3446-62B7-48EC-9B0F-3F85F7A35E44}" srcOrd="0" destOrd="0" presId="urn:microsoft.com/office/officeart/2005/8/layout/orgChart1"/>
    <dgm:cxn modelId="{4B517325-FA7A-4DD1-8ADD-574CCE483C66}" type="presOf" srcId="{649EE646-6D0D-46DF-B7C5-1F10B6DE272F}" destId="{BE043F6E-87D0-485D-8120-705CE8265EFC}" srcOrd="0" destOrd="0" presId="urn:microsoft.com/office/officeart/2005/8/layout/orgChart1"/>
    <dgm:cxn modelId="{F72BF6FC-D7E8-4335-BD1D-2916638308E7}" type="presOf" srcId="{2177AEB7-6653-4F6E-8BC5-A1F49D7F0BF2}" destId="{7E37D66E-E650-4020-8B41-2358B22F1568}" srcOrd="0" destOrd="0" presId="urn:microsoft.com/office/officeart/2005/8/layout/orgChart1"/>
    <dgm:cxn modelId="{FA40C632-37E6-4C6B-A4CD-F6317E13326E}" type="presOf" srcId="{D7B56276-9048-4F2A-A829-DB72F50478BF}" destId="{940172B6-576F-4BB0-8C0D-53DBFE1F56C3}" srcOrd="0" destOrd="0" presId="urn:microsoft.com/office/officeart/2005/8/layout/orgChart1"/>
    <dgm:cxn modelId="{5E6D682A-0033-46A8-86C6-78A5FFD550B2}" type="presOf" srcId="{48487A44-D5A9-46E4-9AA9-46A38207FA98}" destId="{A44F0538-2B58-45CE-9947-77F29BF6E667}" srcOrd="1" destOrd="0" presId="urn:microsoft.com/office/officeart/2005/8/layout/orgChart1"/>
    <dgm:cxn modelId="{CD076319-2918-438E-A747-4AB3AB22974F}" type="presOf" srcId="{A39490FE-5E5F-4A81-A6E0-C376716F433C}" destId="{F0665375-C35D-4BA1-9257-ACA77A359A90}" srcOrd="0" destOrd="0" presId="urn:microsoft.com/office/officeart/2005/8/layout/orgChart1"/>
    <dgm:cxn modelId="{7C9EA99F-7A29-4777-A1BA-DCE03F2A0D21}" type="presOf" srcId="{48487A44-D5A9-46E4-9AA9-46A38207FA98}" destId="{F9C06685-270B-4F24-814F-48BCCEFE8695}" srcOrd="0" destOrd="0" presId="urn:microsoft.com/office/officeart/2005/8/layout/orgChart1"/>
    <dgm:cxn modelId="{EACF668B-888F-4E30-8592-DB209F582CE5}" type="presOf" srcId="{0B7C2513-2710-41A3-8504-DCBD40686B4B}" destId="{60153118-864C-4EA4-B435-159143C15803}" srcOrd="0" destOrd="0" presId="urn:microsoft.com/office/officeart/2005/8/layout/orgChart1"/>
    <dgm:cxn modelId="{837F4865-8D83-4B9D-82F1-285B150F5C8E}" type="presOf" srcId="{F5168B47-AB2F-478B-9170-39254546D4A3}" destId="{18A3F3E4-0A94-49E7-9688-620DA1619923}" srcOrd="1" destOrd="0" presId="urn:microsoft.com/office/officeart/2005/8/layout/orgChart1"/>
    <dgm:cxn modelId="{D9014C12-322F-4EB7-9D54-C919122E26C1}" srcId="{F631A6FC-61B3-4701-B47B-F7DB2DE6E2EB}" destId="{F5168B47-AB2F-478B-9170-39254546D4A3}" srcOrd="1" destOrd="0" parTransId="{A39490FE-5E5F-4A81-A6E0-C376716F433C}" sibTransId="{DA8903E0-D5DB-4E0D-B124-6BDCAD17CB60}"/>
    <dgm:cxn modelId="{D1D73BAE-9CED-4ED8-BE4E-219E670E9C0A}" type="presOf" srcId="{20EFE777-2712-4424-B592-1D0B8ED72701}" destId="{F313B8A6-2E85-4AAF-BAB6-25C467870D2B}" srcOrd="1" destOrd="0" presId="urn:microsoft.com/office/officeart/2005/8/layout/orgChart1"/>
    <dgm:cxn modelId="{F9EC0F93-325C-49F9-9DC3-DDECEB108C04}" type="presOf" srcId="{D4548B17-83F1-46C4-A059-2CE1F073078C}" destId="{5C0C9AA6-B657-44FA-BCE6-23DDE5395F1C}" srcOrd="1" destOrd="0" presId="urn:microsoft.com/office/officeart/2005/8/layout/orgChart1"/>
    <dgm:cxn modelId="{E6AE6E3D-D8D1-40B4-A0FF-5FA52C7C5A98}" type="presOf" srcId="{1B684C6B-C560-4E72-95E5-C00637A2AE55}" destId="{6C7A6220-D773-4280-934D-1BD4F212476A}" srcOrd="0" destOrd="0" presId="urn:microsoft.com/office/officeart/2005/8/layout/orgChart1"/>
    <dgm:cxn modelId="{3315BD0B-06B9-445A-BF55-50E39B993E83}" type="presOf" srcId="{B8BDFA7C-8E91-4FDF-895D-2C9D337575D7}" destId="{986BBCFF-DDD0-4E89-82BE-F50244E59574}" srcOrd="0" destOrd="0" presId="urn:microsoft.com/office/officeart/2005/8/layout/orgChart1"/>
    <dgm:cxn modelId="{597DDD92-84DB-4499-9937-EA017D4613B4}" type="presOf" srcId="{20EFE777-2712-4424-B592-1D0B8ED72701}" destId="{ADA27FF7-7741-4FD1-9AC1-404E94D11090}" srcOrd="0" destOrd="0" presId="urn:microsoft.com/office/officeart/2005/8/layout/orgChart1"/>
    <dgm:cxn modelId="{A42ECAB9-6020-420C-99FF-BF540911DFEB}" type="presOf" srcId="{F5168B47-AB2F-478B-9170-39254546D4A3}" destId="{10FA8AB2-535A-4B38-A593-8F395CB92D49}" srcOrd="0" destOrd="0" presId="urn:microsoft.com/office/officeart/2005/8/layout/orgChart1"/>
    <dgm:cxn modelId="{C911739C-EA36-4685-AEBA-B42A494CDDAF}" type="presOf" srcId="{649EE646-6D0D-46DF-B7C5-1F10B6DE272F}" destId="{70410CB3-1CDF-41D7-891B-0A19B9DDBFA4}" srcOrd="1" destOrd="0" presId="urn:microsoft.com/office/officeart/2005/8/layout/orgChart1"/>
    <dgm:cxn modelId="{E6D7A799-3EA4-4AE8-A1A1-48F1F8774347}" srcId="{F5168B47-AB2F-478B-9170-39254546D4A3}" destId="{54D8DFF7-89EB-4690-A56D-43E705459B2B}" srcOrd="0" destOrd="0" parTransId="{2860DC29-0616-4CCA-8FAC-DCE3238C5F97}" sibTransId="{73735603-D0FD-4952-88A6-2C2BA6A3D055}"/>
    <dgm:cxn modelId="{42DFA86E-CB17-4990-952D-01D8C3D2B9CB}" srcId="{8C093C78-A370-45FB-86D9-CC73D8AC6B91}" destId="{2BC80871-9444-4808-BA36-48BBC4D53F63}" srcOrd="2" destOrd="0" parTransId="{AB6EC1E7-258B-40CE-BFE2-B08338F81F0B}" sibTransId="{DE27B954-1B3E-450C-B287-A6C8650CB2E3}"/>
    <dgm:cxn modelId="{E11267DB-C43F-4796-831C-86B71603C5BC}" type="presOf" srcId="{7C4E1E2B-643B-407E-8F50-E7665683BBB2}" destId="{58580CF1-951E-46AB-9C3F-EA4AAA390B91}" srcOrd="0" destOrd="0" presId="urn:microsoft.com/office/officeart/2005/8/layout/orgChart1"/>
    <dgm:cxn modelId="{51E91520-BA5C-43E8-9957-D14042B55D4E}" type="presOf" srcId="{2BC80871-9444-4808-BA36-48BBC4D53F63}" destId="{01EEBCC4-4FA1-413B-B18D-410844F6A10D}" srcOrd="0" destOrd="0" presId="urn:microsoft.com/office/officeart/2005/8/layout/orgChart1"/>
    <dgm:cxn modelId="{C142AD18-FB90-490B-AEFD-A63D70FBB88F}" type="presOf" srcId="{5B7D6304-5947-41A6-8CC9-EB701BED9EFA}" destId="{A6F39B28-5868-485D-9956-C16C96635ED2}" srcOrd="0" destOrd="0" presId="urn:microsoft.com/office/officeart/2005/8/layout/orgChart1"/>
    <dgm:cxn modelId="{016D7D74-8719-4245-898D-CBC485EC4A58}" type="presOf" srcId="{0A1F47DF-2E68-49DC-B031-3E99B339D622}" destId="{188B6FCF-1FFE-4D5B-B8D8-6032357441F3}" srcOrd="0" destOrd="0" presId="urn:microsoft.com/office/officeart/2005/8/layout/orgChart1"/>
    <dgm:cxn modelId="{72766B0C-D59C-4B68-B88B-7CE3F4A1E691}" type="presOf" srcId="{54D8DFF7-89EB-4690-A56D-43E705459B2B}" destId="{F712A0A9-3A99-4625-9AD1-9388DCA7467E}" srcOrd="1" destOrd="0" presId="urn:microsoft.com/office/officeart/2005/8/layout/orgChart1"/>
    <dgm:cxn modelId="{91AF624A-9B27-4234-B98C-CE5879D6CE9F}" type="presOf" srcId="{F8442743-91EE-4D44-A806-37802E347629}" destId="{0BA95627-9D31-45A2-9425-0375E5F2DDB0}" srcOrd="0" destOrd="0" presId="urn:microsoft.com/office/officeart/2005/8/layout/orgChart1"/>
    <dgm:cxn modelId="{26A3DDEA-1E61-41B1-943E-A50B12B69F0F}" type="presOf" srcId="{59FD1C5A-EC02-41CD-B2A3-5A301A57C43E}" destId="{35E4514E-FAD4-4B25-82D0-1E1F58B82BF8}" srcOrd="0" destOrd="0" presId="urn:microsoft.com/office/officeart/2005/8/layout/orgChart1"/>
    <dgm:cxn modelId="{46D4BE6A-AF07-406C-BE22-6B05F31CAFD4}" srcId="{D90AB1B2-B781-48B2-A3E7-B7A0D047C51D}" destId="{7C4E1E2B-643B-407E-8F50-E7665683BBB2}" srcOrd="2" destOrd="0" parTransId="{34DEB6D6-9CE0-4567-BC95-BDBCF9AE9C8D}" sibTransId="{AAF8DFCE-07A1-4BBB-B0B7-52613495143D}"/>
    <dgm:cxn modelId="{8DAC3ECF-B4B2-423B-9ACE-428907640E5F}" type="presOf" srcId="{930AF05D-C760-4344-9E23-4CABE8A41833}" destId="{3A9BED26-E7CC-458F-BD32-F6B8F431C178}" srcOrd="0" destOrd="0" presId="urn:microsoft.com/office/officeart/2005/8/layout/orgChart1"/>
    <dgm:cxn modelId="{F3DF2B1F-64B9-4BDA-B3FA-CB5460884B7B}" srcId="{D90AB1B2-B781-48B2-A3E7-B7A0D047C51D}" destId="{A8E06AEE-9B0C-408B-9FCE-26CF58D483D2}" srcOrd="3" destOrd="0" parTransId="{D49E0FDA-A72D-419A-B55B-5664DA236AB8}" sibTransId="{DE292039-669D-40D8-B986-A45F25E071E0}"/>
    <dgm:cxn modelId="{4036424A-C547-4402-92AC-FC15FD91A314}" srcId="{D90AB1B2-B781-48B2-A3E7-B7A0D047C51D}" destId="{5B7D6304-5947-41A6-8CC9-EB701BED9EFA}" srcOrd="1" destOrd="0" parTransId="{B8BDFA7C-8E91-4FDF-895D-2C9D337575D7}" sibTransId="{6ACAC7D3-2615-449B-A68C-73DFF40822B0}"/>
    <dgm:cxn modelId="{D67DA0B9-8301-437A-B389-FEFDB12164EC}" srcId="{A8E06AEE-9B0C-408B-9FCE-26CF58D483D2}" destId="{649EE646-6D0D-46DF-B7C5-1F10B6DE272F}" srcOrd="3" destOrd="0" parTransId="{0A1F47DF-2E68-49DC-B031-3E99B339D622}" sibTransId="{31998A8F-27B3-4BDF-95CE-949CA3360896}"/>
    <dgm:cxn modelId="{B142EE0C-E1BB-4FCA-B1E7-EDD48E85CE99}" type="presOf" srcId="{930AF05D-C760-4344-9E23-4CABE8A41833}" destId="{2D170C0C-E154-4F54-AAAE-250C38165DD2}" srcOrd="1" destOrd="0" presId="urn:microsoft.com/office/officeart/2005/8/layout/orgChart1"/>
    <dgm:cxn modelId="{B98BD274-3B7A-4DBA-A917-A2DDF216EA60}" type="presOf" srcId="{07BD0FF0-9D14-4017-BA9C-F2A3AE1E4FEA}" destId="{64C81C5F-57FE-497B-8B49-1F735C70D787}" srcOrd="0" destOrd="0" presId="urn:microsoft.com/office/officeart/2005/8/layout/orgChart1"/>
    <dgm:cxn modelId="{0433CAEA-A4C1-4F40-9EFC-35278CA43E40}" type="presOf" srcId="{C4E80FEF-6D52-427A-97AA-04A90B58C440}" destId="{025C21EB-18B5-4FC1-8E67-6E564E84450B}" srcOrd="0" destOrd="0" presId="urn:microsoft.com/office/officeart/2005/8/layout/orgChart1"/>
    <dgm:cxn modelId="{64326DEE-DBEA-4BBC-AFC1-2F6F3AC245E3}" type="presOf" srcId="{8C093C78-A370-45FB-86D9-CC73D8AC6B91}" destId="{EBF998CC-1764-4617-90C4-5DE1130C5535}" srcOrd="0" destOrd="0" presId="urn:microsoft.com/office/officeart/2005/8/layout/orgChart1"/>
    <dgm:cxn modelId="{E2975F9F-1A24-4557-8F10-D7CC1BC3D0B1}" type="presOf" srcId="{54D8DFF7-89EB-4690-A56D-43E705459B2B}" destId="{DD4F3836-34FB-4A76-867E-D7E013CA0F50}" srcOrd="0" destOrd="0" presId="urn:microsoft.com/office/officeart/2005/8/layout/orgChart1"/>
    <dgm:cxn modelId="{2A78E0ED-9DCA-4EA5-BC76-84B519FAB99B}" type="presOf" srcId="{58923229-158D-4DF4-AB41-B915D8725198}" destId="{A90118A8-35F3-4E16-A3C9-53D93F7FFA90}" srcOrd="0" destOrd="0" presId="urn:microsoft.com/office/officeart/2005/8/layout/orgChart1"/>
    <dgm:cxn modelId="{5D8D326C-A540-436E-BD8C-2DB4B4D15BA8}" type="presOf" srcId="{5B7D6304-5947-41A6-8CC9-EB701BED9EFA}" destId="{6235E452-D029-4528-8109-F8EFB00EE152}" srcOrd="1" destOrd="0" presId="urn:microsoft.com/office/officeart/2005/8/layout/orgChart1"/>
    <dgm:cxn modelId="{EEB16F7B-5747-4295-BEE2-91BA059F7738}" srcId="{F631A6FC-61B3-4701-B47B-F7DB2DE6E2EB}" destId="{AFE18B68-E8CB-4FE0-9BA4-05F97EB3EAED}" srcOrd="3" destOrd="0" parTransId="{950CD0A1-1641-424C-8B6C-C5A293607C57}" sibTransId="{21BA232A-22AB-4879-908D-8B0DA4C13AD4}"/>
    <dgm:cxn modelId="{2FE3B7C0-5A87-465D-9556-B1D16DEA05BC}" srcId="{C4E80FEF-6D52-427A-97AA-04A90B58C440}" destId="{F631A6FC-61B3-4701-B47B-F7DB2DE6E2EB}" srcOrd="0" destOrd="0" parTransId="{28E01773-FF1C-48A9-A3C8-4E0DC0DA06DC}" sibTransId="{B36200BB-E170-4065-A3C3-502680CF26DA}"/>
    <dgm:cxn modelId="{6F49661F-662D-422F-8BD5-F3C139E6F67B}" srcId="{A8E06AEE-9B0C-408B-9FCE-26CF58D483D2}" destId="{20EFE777-2712-4424-B592-1D0B8ED72701}" srcOrd="2" destOrd="0" parTransId="{59FD1C5A-EC02-41CD-B2A3-5A301A57C43E}" sibTransId="{70A6D45B-7C86-4510-9D97-A16E40AABE09}"/>
    <dgm:cxn modelId="{CFBF8AD1-3D66-4FAE-9DAC-7420166E72CD}" type="presOf" srcId="{D90AB1B2-B781-48B2-A3E7-B7A0D047C51D}" destId="{52ECC300-5B7E-4592-99DB-03FDC900AFB5}" srcOrd="0" destOrd="0" presId="urn:microsoft.com/office/officeart/2005/8/layout/orgChart1"/>
    <dgm:cxn modelId="{1B035703-6DD5-428C-9198-1C30A50AE6D0}" type="presOf" srcId="{0B7C2513-2710-41A3-8504-DCBD40686B4B}" destId="{259C8858-F8DC-41F5-8BC6-A02D737EB36F}" srcOrd="1" destOrd="0" presId="urn:microsoft.com/office/officeart/2005/8/layout/orgChart1"/>
    <dgm:cxn modelId="{7B5DB796-DD28-44F3-8AA2-5CDD8797C074}" type="presOf" srcId="{1BB948FE-C933-44C6-B62D-5ADF46575645}" destId="{A01D13BF-CEF6-49F5-8A1A-1927A94CF3E3}" srcOrd="0" destOrd="0" presId="urn:microsoft.com/office/officeart/2005/8/layout/orgChart1"/>
    <dgm:cxn modelId="{6F96A5B5-61C1-4D78-97E4-31E3CFE7F427}" type="presOf" srcId="{F8442743-91EE-4D44-A806-37802E347629}" destId="{576AB9F2-5476-4682-9391-A7CAB21C31B0}" srcOrd="1" destOrd="0" presId="urn:microsoft.com/office/officeart/2005/8/layout/orgChart1"/>
    <dgm:cxn modelId="{242CE722-7614-457F-910C-7BD30ADAF37E}" srcId="{8C093C78-A370-45FB-86D9-CC73D8AC6B91}" destId="{07BD0FF0-9D14-4017-BA9C-F2A3AE1E4FEA}" srcOrd="3" destOrd="0" parTransId="{67214E47-89FB-4AC6-BF5A-E0FAE6393647}" sibTransId="{1142892B-79CE-42F9-AC11-459CA30D9581}"/>
    <dgm:cxn modelId="{4EF3C959-A410-4DDE-9BEA-0CC619EFF00D}" type="presOf" srcId="{AFE18B68-E8CB-4FE0-9BA4-05F97EB3EAED}" destId="{BC5F09FC-3B0C-4154-82D2-0CED3E9014E0}" srcOrd="1" destOrd="0" presId="urn:microsoft.com/office/officeart/2005/8/layout/orgChart1"/>
    <dgm:cxn modelId="{0DCC77C9-697C-4C4A-BE9B-5B8AAE444540}" type="presOf" srcId="{950CD0A1-1641-424C-8B6C-C5A293607C57}" destId="{8C6DFB2B-33C8-4972-A93B-FF919D6FEAFF}" srcOrd="0" destOrd="0" presId="urn:microsoft.com/office/officeart/2005/8/layout/orgChart1"/>
    <dgm:cxn modelId="{6D09D749-2210-4D4B-8073-B3E4DB3BB232}" type="presOf" srcId="{7C4E1E2B-643B-407E-8F50-E7665683BBB2}" destId="{8EBF1C0E-6529-4875-80FE-8EBBAAB59EBB}" srcOrd="1" destOrd="0" presId="urn:microsoft.com/office/officeart/2005/8/layout/orgChart1"/>
    <dgm:cxn modelId="{92DAD8CB-3B44-41E4-BFC4-4CE0747804EA}" type="presOf" srcId="{07BD0FF0-9D14-4017-BA9C-F2A3AE1E4FEA}" destId="{38D8DFC9-6F35-4E5F-8F18-1E0E4ABE7F3C}" srcOrd="1" destOrd="0" presId="urn:microsoft.com/office/officeart/2005/8/layout/orgChart1"/>
    <dgm:cxn modelId="{DD9130B9-424D-4FB2-AF7C-FD5BE0BD080F}" type="presOf" srcId="{BCD38E0F-71C9-49AC-9CF0-7A19251FA319}" destId="{459D0AFF-E5AC-4B9A-8B72-F75C8FD0E47D}" srcOrd="0" destOrd="0" presId="urn:microsoft.com/office/officeart/2005/8/layout/orgChart1"/>
    <dgm:cxn modelId="{60ADE7F8-D07E-408A-B24D-027E2F46435C}" type="presOf" srcId="{A8E06AEE-9B0C-408B-9FCE-26CF58D483D2}" destId="{2D23B2EF-C081-4EB4-8B4A-C797F3FA0951}" srcOrd="0" destOrd="0" presId="urn:microsoft.com/office/officeart/2005/8/layout/orgChart1"/>
    <dgm:cxn modelId="{68261FAB-94A6-4B22-B8DB-5831D02E153D}" type="presOf" srcId="{31AB9DBA-34DF-4084-8C36-D766D3DC350B}" destId="{174AB3F6-AC50-4BFD-B14C-4ED9FDAA11C8}" srcOrd="1" destOrd="0" presId="urn:microsoft.com/office/officeart/2005/8/layout/orgChart1"/>
    <dgm:cxn modelId="{73668488-C6D7-4CE1-A50C-BE96274383A2}" type="presOf" srcId="{F972C456-156E-4815-A785-294665F6670F}" destId="{94C27036-147D-41AE-95AA-BEEAB4038428}" srcOrd="0" destOrd="0" presId="urn:microsoft.com/office/officeart/2005/8/layout/orgChart1"/>
    <dgm:cxn modelId="{BF339043-D413-4D18-9FE7-5554C2F67A32}" type="presOf" srcId="{930571E2-8AD6-4337-8CB2-962CB59BEBE8}" destId="{505F8F75-3B2B-490B-B222-7D4D9F291B24}" srcOrd="0" destOrd="0" presId="urn:microsoft.com/office/officeart/2005/8/layout/orgChart1"/>
    <dgm:cxn modelId="{210B5C5F-CB8C-4E59-8748-B1E66617249B}" type="presOf" srcId="{D4548B17-83F1-46C4-A059-2CE1F073078C}" destId="{05730017-7369-4B0A-84B2-AAF86DB8313C}" srcOrd="0" destOrd="0" presId="urn:microsoft.com/office/officeart/2005/8/layout/orgChart1"/>
    <dgm:cxn modelId="{99F93C8A-5002-4BE6-82BD-7EB00477E70D}" srcId="{8C093C78-A370-45FB-86D9-CC73D8AC6B91}" destId="{930AF05D-C760-4344-9E23-4CABE8A41833}" srcOrd="0" destOrd="0" parTransId="{1BB948FE-C933-44C6-B62D-5ADF46575645}" sibTransId="{C9B5107E-6D51-43A7-AB5F-D77A184F706E}"/>
    <dgm:cxn modelId="{AAFABFAB-4C4F-4C39-BDDB-8B99CC658608}" type="presOf" srcId="{31AB9DBA-34DF-4084-8C36-D766D3DC350B}" destId="{D4446C36-1173-4222-8C3E-0F7F1973D6BB}" srcOrd="0" destOrd="0" presId="urn:microsoft.com/office/officeart/2005/8/layout/orgChart1"/>
    <dgm:cxn modelId="{26125F0D-D774-4E30-9F1D-2DE7124F2C2A}" type="presOf" srcId="{A8E06AEE-9B0C-408B-9FCE-26CF58D483D2}" destId="{B0722BA9-B1C3-4BBD-9E03-4B4311E621CD}" srcOrd="1" destOrd="0" presId="urn:microsoft.com/office/officeart/2005/8/layout/orgChart1"/>
    <dgm:cxn modelId="{17E3E091-F61D-4574-8265-14328B30C040}" type="presOf" srcId="{2860DC29-0616-4CCA-8FAC-DCE3238C5F97}" destId="{DF61AD34-EA02-439F-AA4D-A3F0C5C6B4F0}" srcOrd="0" destOrd="0" presId="urn:microsoft.com/office/officeart/2005/8/layout/orgChart1"/>
    <dgm:cxn modelId="{50DEACEF-83E0-4754-8F3C-1E745296D446}" type="presOf" srcId="{2BC80871-9444-4808-BA36-48BBC4D53F63}" destId="{E80E6534-E78B-41B8-AFCD-82085CA62144}" srcOrd="1" destOrd="0" presId="urn:microsoft.com/office/officeart/2005/8/layout/orgChart1"/>
    <dgm:cxn modelId="{89CFE44E-5311-44AB-BB36-C3CA7AC13721}" type="presOf" srcId="{AB6EC1E7-258B-40CE-BFE2-B08338F81F0B}" destId="{294F90E7-86EF-4FF7-BB7F-7A587FD9824F}" srcOrd="0" destOrd="0" presId="urn:microsoft.com/office/officeart/2005/8/layout/orgChart1"/>
    <dgm:cxn modelId="{5E4A557E-9890-458A-984B-9193D8E42123}" srcId="{AFE18B68-E8CB-4FE0-9BA4-05F97EB3EAED}" destId="{0B7C2513-2710-41A3-8504-DCBD40686B4B}" srcOrd="1" destOrd="0" parTransId="{BFB0BD74-1E28-4D55-A196-C1937D054022}" sibTransId="{59741A06-EAD9-4941-866F-485E2F9249BC}"/>
    <dgm:cxn modelId="{1FA5639E-FDD8-4FA4-8833-E554E4BD5A29}" type="presOf" srcId="{AFE18B68-E8CB-4FE0-9BA4-05F97EB3EAED}" destId="{8B967B3F-7859-4C4A-9FE1-23F6FAB892E2}" srcOrd="0" destOrd="0" presId="urn:microsoft.com/office/officeart/2005/8/layout/orgChart1"/>
    <dgm:cxn modelId="{F151F38A-7689-42E9-A2C1-C37E0B6437B0}" type="presOf" srcId="{36BA80B6-A8F4-4724-B80F-C46CD72BD26C}" destId="{C0C5ED55-4404-4989-B55A-6672903CD22D}" srcOrd="0" destOrd="0" presId="urn:microsoft.com/office/officeart/2005/8/layout/orgChart1"/>
    <dgm:cxn modelId="{49BAA18D-77E1-414D-8CF2-0273BE7618C6}" srcId="{D90AB1B2-B781-48B2-A3E7-B7A0D047C51D}" destId="{0CCCFEB3-D8AF-4549-ACD8-86C03DBAABD1}" srcOrd="0" destOrd="0" parTransId="{36BA80B6-A8F4-4724-B80F-C46CD72BD26C}" sibTransId="{C56E5862-DE15-4E0E-827A-BA49A04CE170}"/>
    <dgm:cxn modelId="{FE061236-6FDA-4346-B127-A577DAF4B2A3}" type="presOf" srcId="{0CCCFEB3-D8AF-4549-ACD8-86C03DBAABD1}" destId="{2EBFC6E2-DC62-4249-BED0-375245B77FE3}" srcOrd="1" destOrd="0" presId="urn:microsoft.com/office/officeart/2005/8/layout/orgChart1"/>
    <dgm:cxn modelId="{DFA8F45D-BBA1-4860-8690-CA6B3395F455}" type="presOf" srcId="{34DEB6D6-9CE0-4567-BC95-BDBCF9AE9C8D}" destId="{ABA7CB08-B09A-4A4A-BFFD-F5BD2ACF2B71}" srcOrd="0" destOrd="0" presId="urn:microsoft.com/office/officeart/2005/8/layout/orgChart1"/>
    <dgm:cxn modelId="{3F21D2FB-135D-4263-9B83-F4841A45642B}" type="presOf" srcId="{8C093C78-A370-45FB-86D9-CC73D8AC6B91}" destId="{870CC81A-8C42-42C0-8A46-931322ACB2AE}" srcOrd="1" destOrd="0" presId="urn:microsoft.com/office/officeart/2005/8/layout/orgChart1"/>
    <dgm:cxn modelId="{14392C0A-671B-4901-9DAB-2A827C3E6863}" type="presOf" srcId="{F631A6FC-61B3-4701-B47B-F7DB2DE6E2EB}" destId="{EAFCB5AA-E7D3-45E1-BCD7-28DFFAEE6842}" srcOrd="0" destOrd="0" presId="urn:microsoft.com/office/officeart/2005/8/layout/orgChart1"/>
    <dgm:cxn modelId="{C4BA0DBF-E297-425D-9D7E-057C5F54CD54}" srcId="{F631A6FC-61B3-4701-B47B-F7DB2DE6E2EB}" destId="{D90AB1B2-B781-48B2-A3E7-B7A0D047C51D}" srcOrd="0" destOrd="0" parTransId="{930571E2-8AD6-4337-8CB2-962CB59BEBE8}" sibTransId="{2E3A1446-D9A3-4229-97AD-2146B2708F57}"/>
    <dgm:cxn modelId="{46D12987-C76C-491F-934A-A632DB2E18A3}" type="presOf" srcId="{D49E0FDA-A72D-419A-B55B-5664DA236AB8}" destId="{7AAA3DC1-FF09-471F-800A-200935F4B67A}" srcOrd="0" destOrd="0" presId="urn:microsoft.com/office/officeart/2005/8/layout/orgChart1"/>
    <dgm:cxn modelId="{0312F5FD-7ED5-4948-A8F6-05E897192287}" type="presParOf" srcId="{025C21EB-18B5-4FC1-8E67-6E564E84450B}" destId="{1B96DB07-FCB3-4A2B-B14E-739760C515E7}" srcOrd="0" destOrd="0" presId="urn:microsoft.com/office/officeart/2005/8/layout/orgChart1"/>
    <dgm:cxn modelId="{796A4C92-5837-4AA2-8192-328C6229A0C8}" type="presParOf" srcId="{1B96DB07-FCB3-4A2B-B14E-739760C515E7}" destId="{84B2FC11-1254-4A4A-9385-817AC3ECE5BD}" srcOrd="0" destOrd="0" presId="urn:microsoft.com/office/officeart/2005/8/layout/orgChart1"/>
    <dgm:cxn modelId="{67779CE9-C3C9-4A8E-AEB6-596C85E7B105}" type="presParOf" srcId="{84B2FC11-1254-4A4A-9385-817AC3ECE5BD}" destId="{EAFCB5AA-E7D3-45E1-BCD7-28DFFAEE6842}" srcOrd="0" destOrd="0" presId="urn:microsoft.com/office/officeart/2005/8/layout/orgChart1"/>
    <dgm:cxn modelId="{09D5AEE2-5FF3-4959-9AC7-F5FA235C04C1}" type="presParOf" srcId="{84B2FC11-1254-4A4A-9385-817AC3ECE5BD}" destId="{AFDE417F-49CD-4031-ABAE-525E2FC79083}" srcOrd="1" destOrd="0" presId="urn:microsoft.com/office/officeart/2005/8/layout/orgChart1"/>
    <dgm:cxn modelId="{83F60389-E8F4-4840-9086-0C0602DD044A}" type="presParOf" srcId="{1B96DB07-FCB3-4A2B-B14E-739760C515E7}" destId="{FB103ED6-60F6-4A31-B2BC-0E10CB63177E}" srcOrd="1" destOrd="0" presId="urn:microsoft.com/office/officeart/2005/8/layout/orgChart1"/>
    <dgm:cxn modelId="{927F9B67-FAF4-4BC9-A88E-4AE93CD26522}" type="presParOf" srcId="{FB103ED6-60F6-4A31-B2BC-0E10CB63177E}" destId="{505F8F75-3B2B-490B-B222-7D4D9F291B24}" srcOrd="0" destOrd="0" presId="urn:microsoft.com/office/officeart/2005/8/layout/orgChart1"/>
    <dgm:cxn modelId="{4C892E5B-0A8F-4E63-81B2-2269E4DDA9D7}" type="presParOf" srcId="{FB103ED6-60F6-4A31-B2BC-0E10CB63177E}" destId="{1CD0B271-D310-42A1-9042-73ED37D60033}" srcOrd="1" destOrd="0" presId="urn:microsoft.com/office/officeart/2005/8/layout/orgChart1"/>
    <dgm:cxn modelId="{A9406B8F-D20B-43F2-A48F-B12E9639177C}" type="presParOf" srcId="{1CD0B271-D310-42A1-9042-73ED37D60033}" destId="{2EB920EC-6CF6-46F5-860A-B40E023D7311}" srcOrd="0" destOrd="0" presId="urn:microsoft.com/office/officeart/2005/8/layout/orgChart1"/>
    <dgm:cxn modelId="{5FD90EBE-D33B-4B4D-9E8B-CA14665CFF51}" type="presParOf" srcId="{2EB920EC-6CF6-46F5-860A-B40E023D7311}" destId="{52ECC300-5B7E-4592-99DB-03FDC900AFB5}" srcOrd="0" destOrd="0" presId="urn:microsoft.com/office/officeart/2005/8/layout/orgChart1"/>
    <dgm:cxn modelId="{F7AFBBEE-E6D8-4255-829B-EC0037204AC4}" type="presParOf" srcId="{2EB920EC-6CF6-46F5-860A-B40E023D7311}" destId="{832BB4FF-1201-41FF-8289-475A61C0C18D}" srcOrd="1" destOrd="0" presId="urn:microsoft.com/office/officeart/2005/8/layout/orgChart1"/>
    <dgm:cxn modelId="{1486AA47-3A60-4169-B265-4D893CC76BE8}" type="presParOf" srcId="{1CD0B271-D310-42A1-9042-73ED37D60033}" destId="{B1AF117C-2309-46DB-BC3B-9157515BB854}" srcOrd="1" destOrd="0" presId="urn:microsoft.com/office/officeart/2005/8/layout/orgChart1"/>
    <dgm:cxn modelId="{3B411633-774E-4FEF-ACF8-CC5A6ACAC21F}" type="presParOf" srcId="{B1AF117C-2309-46DB-BC3B-9157515BB854}" destId="{C0C5ED55-4404-4989-B55A-6672903CD22D}" srcOrd="0" destOrd="0" presId="urn:microsoft.com/office/officeart/2005/8/layout/orgChart1"/>
    <dgm:cxn modelId="{D513E28A-0E85-46D8-B385-A1BD1B509E90}" type="presParOf" srcId="{B1AF117C-2309-46DB-BC3B-9157515BB854}" destId="{F5EFDAF3-6829-4C72-8C67-15CD649EF259}" srcOrd="1" destOrd="0" presId="urn:microsoft.com/office/officeart/2005/8/layout/orgChart1"/>
    <dgm:cxn modelId="{4E6825A2-55B1-43AC-BF9C-19A3DDBE46D8}" type="presParOf" srcId="{F5EFDAF3-6829-4C72-8C67-15CD649EF259}" destId="{CD6BE412-C4BB-4601-A25F-0983E70729AD}" srcOrd="0" destOrd="0" presId="urn:microsoft.com/office/officeart/2005/8/layout/orgChart1"/>
    <dgm:cxn modelId="{E386DF7C-3A5E-4A7B-B31C-5174E130E79E}" type="presParOf" srcId="{CD6BE412-C4BB-4601-A25F-0983E70729AD}" destId="{50785707-6B2C-4573-A534-494EA0EC2D5C}" srcOrd="0" destOrd="0" presId="urn:microsoft.com/office/officeart/2005/8/layout/orgChart1"/>
    <dgm:cxn modelId="{FA1018D2-E816-4496-9F04-40172D804EC5}" type="presParOf" srcId="{CD6BE412-C4BB-4601-A25F-0983E70729AD}" destId="{2EBFC6E2-DC62-4249-BED0-375245B77FE3}" srcOrd="1" destOrd="0" presId="urn:microsoft.com/office/officeart/2005/8/layout/orgChart1"/>
    <dgm:cxn modelId="{DB54BC38-9767-4AFA-9FEF-366B22998836}" type="presParOf" srcId="{F5EFDAF3-6829-4C72-8C67-15CD649EF259}" destId="{2E78CD71-E4DB-4230-AE06-A9C53C5B1567}" srcOrd="1" destOrd="0" presId="urn:microsoft.com/office/officeart/2005/8/layout/orgChart1"/>
    <dgm:cxn modelId="{89C69616-5AC7-446F-8CFC-4E2EBABF54B9}" type="presParOf" srcId="{F5EFDAF3-6829-4C72-8C67-15CD649EF259}" destId="{6A6E2860-C9B3-4519-BF42-AE9EE0FFCB43}" srcOrd="2" destOrd="0" presId="urn:microsoft.com/office/officeart/2005/8/layout/orgChart1"/>
    <dgm:cxn modelId="{23C3E064-B89D-43C7-B7EF-A9E32BD82642}" type="presParOf" srcId="{B1AF117C-2309-46DB-BC3B-9157515BB854}" destId="{986BBCFF-DDD0-4E89-82BE-F50244E59574}" srcOrd="2" destOrd="0" presId="urn:microsoft.com/office/officeart/2005/8/layout/orgChart1"/>
    <dgm:cxn modelId="{33BD9BB8-C404-4DC3-B9B8-32D4C2211F45}" type="presParOf" srcId="{B1AF117C-2309-46DB-BC3B-9157515BB854}" destId="{77F617C6-766D-4A02-B0B7-50FB04F4DFB7}" srcOrd="3" destOrd="0" presId="urn:microsoft.com/office/officeart/2005/8/layout/orgChart1"/>
    <dgm:cxn modelId="{EBC7C1EB-38A4-4DDF-8690-D5EDEEE2AC9A}" type="presParOf" srcId="{77F617C6-766D-4A02-B0B7-50FB04F4DFB7}" destId="{C48B7FD3-9D1F-4BB6-96B6-EB3D61249552}" srcOrd="0" destOrd="0" presId="urn:microsoft.com/office/officeart/2005/8/layout/orgChart1"/>
    <dgm:cxn modelId="{11D1F54F-E0B1-4446-B832-9DF9B5E6E9EF}" type="presParOf" srcId="{C48B7FD3-9D1F-4BB6-96B6-EB3D61249552}" destId="{A6F39B28-5868-485D-9956-C16C96635ED2}" srcOrd="0" destOrd="0" presId="urn:microsoft.com/office/officeart/2005/8/layout/orgChart1"/>
    <dgm:cxn modelId="{6A2A586A-286D-4297-8901-FCFC5FD198FD}" type="presParOf" srcId="{C48B7FD3-9D1F-4BB6-96B6-EB3D61249552}" destId="{6235E452-D029-4528-8109-F8EFB00EE152}" srcOrd="1" destOrd="0" presId="urn:microsoft.com/office/officeart/2005/8/layout/orgChart1"/>
    <dgm:cxn modelId="{D3F107F7-965B-4467-9D80-29FA8EB4BD9B}" type="presParOf" srcId="{77F617C6-766D-4A02-B0B7-50FB04F4DFB7}" destId="{E9D3A3B1-7F95-4526-90BD-B99BFC40D4B7}" srcOrd="1" destOrd="0" presId="urn:microsoft.com/office/officeart/2005/8/layout/orgChart1"/>
    <dgm:cxn modelId="{D911926E-0341-4E52-A31D-E255D185F7DD}" type="presParOf" srcId="{77F617C6-766D-4A02-B0B7-50FB04F4DFB7}" destId="{774000F5-C57F-4A0C-96A5-F23016D3FB01}" srcOrd="2" destOrd="0" presId="urn:microsoft.com/office/officeart/2005/8/layout/orgChart1"/>
    <dgm:cxn modelId="{01327B3C-B2CB-4643-A167-4E51B6DD680A}" type="presParOf" srcId="{B1AF117C-2309-46DB-BC3B-9157515BB854}" destId="{ABA7CB08-B09A-4A4A-BFFD-F5BD2ACF2B71}" srcOrd="4" destOrd="0" presId="urn:microsoft.com/office/officeart/2005/8/layout/orgChart1"/>
    <dgm:cxn modelId="{BD4DF4FB-9AF8-4CCC-A9F8-DCB942B74469}" type="presParOf" srcId="{B1AF117C-2309-46DB-BC3B-9157515BB854}" destId="{A0B3E75C-BBBF-422E-9363-964E14B6BE2D}" srcOrd="5" destOrd="0" presId="urn:microsoft.com/office/officeart/2005/8/layout/orgChart1"/>
    <dgm:cxn modelId="{AE44F0F2-1B5A-4818-82AA-4B78300DD030}" type="presParOf" srcId="{A0B3E75C-BBBF-422E-9363-964E14B6BE2D}" destId="{D283FC95-C08D-4767-BB30-578957BA32FB}" srcOrd="0" destOrd="0" presId="urn:microsoft.com/office/officeart/2005/8/layout/orgChart1"/>
    <dgm:cxn modelId="{309EE398-9B70-4574-BE7A-17FD8311E274}" type="presParOf" srcId="{D283FC95-C08D-4767-BB30-578957BA32FB}" destId="{58580CF1-951E-46AB-9C3F-EA4AAA390B91}" srcOrd="0" destOrd="0" presId="urn:microsoft.com/office/officeart/2005/8/layout/orgChart1"/>
    <dgm:cxn modelId="{E2A5912D-7EB2-4F43-B54A-EE2142CB20D5}" type="presParOf" srcId="{D283FC95-C08D-4767-BB30-578957BA32FB}" destId="{8EBF1C0E-6529-4875-80FE-8EBBAAB59EBB}" srcOrd="1" destOrd="0" presId="urn:microsoft.com/office/officeart/2005/8/layout/orgChart1"/>
    <dgm:cxn modelId="{BA07CCB5-3BFE-4B8B-A985-73D6C188D564}" type="presParOf" srcId="{A0B3E75C-BBBF-422E-9363-964E14B6BE2D}" destId="{1286E5E1-C377-44A5-9300-1F7BC76BEAD8}" srcOrd="1" destOrd="0" presId="urn:microsoft.com/office/officeart/2005/8/layout/orgChart1"/>
    <dgm:cxn modelId="{1EE3F6D4-B605-4347-BB51-6F45F1A805C1}" type="presParOf" srcId="{A0B3E75C-BBBF-422E-9363-964E14B6BE2D}" destId="{211C89F6-B736-421E-85BE-5F1EABB204DA}" srcOrd="2" destOrd="0" presId="urn:microsoft.com/office/officeart/2005/8/layout/orgChart1"/>
    <dgm:cxn modelId="{D6D0D023-F235-405B-9608-34603FE8A7E6}" type="presParOf" srcId="{B1AF117C-2309-46DB-BC3B-9157515BB854}" destId="{7AAA3DC1-FF09-471F-800A-200935F4B67A}" srcOrd="6" destOrd="0" presId="urn:microsoft.com/office/officeart/2005/8/layout/orgChart1"/>
    <dgm:cxn modelId="{0E564F0A-CC98-4799-BAE2-1F38D9FF95BD}" type="presParOf" srcId="{B1AF117C-2309-46DB-BC3B-9157515BB854}" destId="{C22F5367-2FC7-482E-BDEF-183022865605}" srcOrd="7" destOrd="0" presId="urn:microsoft.com/office/officeart/2005/8/layout/orgChart1"/>
    <dgm:cxn modelId="{03200D8A-A6A3-47C7-92D1-376AFB310AD1}" type="presParOf" srcId="{C22F5367-2FC7-482E-BDEF-183022865605}" destId="{FE7DBF27-9398-4FB7-B04F-AC27AC321B3E}" srcOrd="0" destOrd="0" presId="urn:microsoft.com/office/officeart/2005/8/layout/orgChart1"/>
    <dgm:cxn modelId="{426DDB16-FDB7-41B7-AC7B-FC7855D7C361}" type="presParOf" srcId="{FE7DBF27-9398-4FB7-B04F-AC27AC321B3E}" destId="{2D23B2EF-C081-4EB4-8B4A-C797F3FA0951}" srcOrd="0" destOrd="0" presId="urn:microsoft.com/office/officeart/2005/8/layout/orgChart1"/>
    <dgm:cxn modelId="{7FEA0DA1-3114-4C5D-9F7F-FA3291190E81}" type="presParOf" srcId="{FE7DBF27-9398-4FB7-B04F-AC27AC321B3E}" destId="{B0722BA9-B1C3-4BBD-9E03-4B4311E621CD}" srcOrd="1" destOrd="0" presId="urn:microsoft.com/office/officeart/2005/8/layout/orgChart1"/>
    <dgm:cxn modelId="{F5122BC7-9696-482F-9E47-F40F400696DA}" type="presParOf" srcId="{C22F5367-2FC7-482E-BDEF-183022865605}" destId="{2134A012-705E-402C-AD72-4028F9D87A92}" srcOrd="1" destOrd="0" presId="urn:microsoft.com/office/officeart/2005/8/layout/orgChart1"/>
    <dgm:cxn modelId="{199EEE4E-5501-4290-811C-B2BB11F16F53}" type="presParOf" srcId="{2134A012-705E-402C-AD72-4028F9D87A92}" destId="{6C7A6220-D773-4280-934D-1BD4F212476A}" srcOrd="0" destOrd="0" presId="urn:microsoft.com/office/officeart/2005/8/layout/orgChart1"/>
    <dgm:cxn modelId="{57429D80-B72B-456B-B354-10E6E5DD2B41}" type="presParOf" srcId="{2134A012-705E-402C-AD72-4028F9D87A92}" destId="{2738EA0B-0FD5-47AE-A6BB-E0D6C91B4990}" srcOrd="1" destOrd="0" presId="urn:microsoft.com/office/officeart/2005/8/layout/orgChart1"/>
    <dgm:cxn modelId="{DDA88FEF-6BFB-49F5-9931-98FB8824B0DB}" type="presParOf" srcId="{2738EA0B-0FD5-47AE-A6BB-E0D6C91B4990}" destId="{0654CCA0-0C38-48BE-B084-263A56BCA901}" srcOrd="0" destOrd="0" presId="urn:microsoft.com/office/officeart/2005/8/layout/orgChart1"/>
    <dgm:cxn modelId="{7891738A-AFF3-4581-913D-0EE894D19746}" type="presParOf" srcId="{0654CCA0-0C38-48BE-B084-263A56BCA901}" destId="{05730017-7369-4B0A-84B2-AAF86DB8313C}" srcOrd="0" destOrd="0" presId="urn:microsoft.com/office/officeart/2005/8/layout/orgChart1"/>
    <dgm:cxn modelId="{B4CCC961-2AC9-44B4-BB23-98B81BB3A43A}" type="presParOf" srcId="{0654CCA0-0C38-48BE-B084-263A56BCA901}" destId="{5C0C9AA6-B657-44FA-BCE6-23DDE5395F1C}" srcOrd="1" destOrd="0" presId="urn:microsoft.com/office/officeart/2005/8/layout/orgChart1"/>
    <dgm:cxn modelId="{B9172B54-E0FD-424B-8989-FF586D60A6B4}" type="presParOf" srcId="{2738EA0B-0FD5-47AE-A6BB-E0D6C91B4990}" destId="{0AC3BB61-9342-4624-BF33-36E4ABC82F07}" srcOrd="1" destOrd="0" presId="urn:microsoft.com/office/officeart/2005/8/layout/orgChart1"/>
    <dgm:cxn modelId="{D3E7456C-4B78-4010-93EC-F0B676D4E833}" type="presParOf" srcId="{2738EA0B-0FD5-47AE-A6BB-E0D6C91B4990}" destId="{097EA768-4CE6-44AB-B52B-F595A744DC2C}" srcOrd="2" destOrd="0" presId="urn:microsoft.com/office/officeart/2005/8/layout/orgChart1"/>
    <dgm:cxn modelId="{AFE13271-03CB-4D2A-8ED2-2F38C3FF9E2E}" type="presParOf" srcId="{2134A012-705E-402C-AD72-4028F9D87A92}" destId="{459D0AFF-E5AC-4B9A-8B72-F75C8FD0E47D}" srcOrd="2" destOrd="0" presId="urn:microsoft.com/office/officeart/2005/8/layout/orgChart1"/>
    <dgm:cxn modelId="{DAA7C461-9EB6-4482-BBBA-365D16984004}" type="presParOf" srcId="{2134A012-705E-402C-AD72-4028F9D87A92}" destId="{E2B5138E-3A33-45D6-9CE1-449B507AF136}" srcOrd="3" destOrd="0" presId="urn:microsoft.com/office/officeart/2005/8/layout/orgChart1"/>
    <dgm:cxn modelId="{1A52F5A0-5D67-4A47-8FE0-25F3DF64CFD7}" type="presParOf" srcId="{E2B5138E-3A33-45D6-9CE1-449B507AF136}" destId="{84D9E768-07C4-4479-A0F2-2881F6CB78FA}" srcOrd="0" destOrd="0" presId="urn:microsoft.com/office/officeart/2005/8/layout/orgChart1"/>
    <dgm:cxn modelId="{D8633BD6-57DA-4BED-AA0A-1162244A99BF}" type="presParOf" srcId="{84D9E768-07C4-4479-A0F2-2881F6CB78FA}" destId="{0BA95627-9D31-45A2-9425-0375E5F2DDB0}" srcOrd="0" destOrd="0" presId="urn:microsoft.com/office/officeart/2005/8/layout/orgChart1"/>
    <dgm:cxn modelId="{666D02D2-CEB0-40C8-95FE-D05800DBCA44}" type="presParOf" srcId="{84D9E768-07C4-4479-A0F2-2881F6CB78FA}" destId="{576AB9F2-5476-4682-9391-A7CAB21C31B0}" srcOrd="1" destOrd="0" presId="urn:microsoft.com/office/officeart/2005/8/layout/orgChart1"/>
    <dgm:cxn modelId="{187EC644-9529-4545-A5DE-30DEA0944743}" type="presParOf" srcId="{E2B5138E-3A33-45D6-9CE1-449B507AF136}" destId="{2EA4837B-C733-4B95-86AB-E81894F843E2}" srcOrd="1" destOrd="0" presId="urn:microsoft.com/office/officeart/2005/8/layout/orgChart1"/>
    <dgm:cxn modelId="{89C0DB37-2686-4880-9CD2-B309B43DBDC7}" type="presParOf" srcId="{E2B5138E-3A33-45D6-9CE1-449B507AF136}" destId="{4A438703-8C74-4ABC-A6A0-A4CEC46B2A25}" srcOrd="2" destOrd="0" presId="urn:microsoft.com/office/officeart/2005/8/layout/orgChart1"/>
    <dgm:cxn modelId="{D5B821BE-89FC-4B31-9385-72EEC8B82A3A}" type="presParOf" srcId="{2134A012-705E-402C-AD72-4028F9D87A92}" destId="{35E4514E-FAD4-4B25-82D0-1E1F58B82BF8}" srcOrd="4" destOrd="0" presId="urn:microsoft.com/office/officeart/2005/8/layout/orgChart1"/>
    <dgm:cxn modelId="{70227237-1287-49AB-8CEA-E3CDA2EF3870}" type="presParOf" srcId="{2134A012-705E-402C-AD72-4028F9D87A92}" destId="{61F16566-88A2-4ABC-ADEF-DBFB5BA9338C}" srcOrd="5" destOrd="0" presId="urn:microsoft.com/office/officeart/2005/8/layout/orgChart1"/>
    <dgm:cxn modelId="{2765F50F-B6E9-4D70-A525-513F2C14F39C}" type="presParOf" srcId="{61F16566-88A2-4ABC-ADEF-DBFB5BA9338C}" destId="{8A3268D6-EC67-4257-950A-B371BCAC306F}" srcOrd="0" destOrd="0" presId="urn:microsoft.com/office/officeart/2005/8/layout/orgChart1"/>
    <dgm:cxn modelId="{1FE155B4-B137-4C19-A49B-03550384E99A}" type="presParOf" srcId="{8A3268D6-EC67-4257-950A-B371BCAC306F}" destId="{ADA27FF7-7741-4FD1-9AC1-404E94D11090}" srcOrd="0" destOrd="0" presId="urn:microsoft.com/office/officeart/2005/8/layout/orgChart1"/>
    <dgm:cxn modelId="{1B3E26CB-29DA-4F9E-8887-013CC201875A}" type="presParOf" srcId="{8A3268D6-EC67-4257-950A-B371BCAC306F}" destId="{F313B8A6-2E85-4AAF-BAB6-25C467870D2B}" srcOrd="1" destOrd="0" presId="urn:microsoft.com/office/officeart/2005/8/layout/orgChart1"/>
    <dgm:cxn modelId="{77C0C41A-A143-4592-9582-0C6755654720}" type="presParOf" srcId="{61F16566-88A2-4ABC-ADEF-DBFB5BA9338C}" destId="{26871B6B-1B9F-415D-A2BA-4CAB0EF314A5}" srcOrd="1" destOrd="0" presId="urn:microsoft.com/office/officeart/2005/8/layout/orgChart1"/>
    <dgm:cxn modelId="{2CF6DC51-64B5-40DF-956B-F795F9123B1B}" type="presParOf" srcId="{61F16566-88A2-4ABC-ADEF-DBFB5BA9338C}" destId="{A7CFB734-FE7F-4E05-80F9-442A160D39F3}" srcOrd="2" destOrd="0" presId="urn:microsoft.com/office/officeart/2005/8/layout/orgChart1"/>
    <dgm:cxn modelId="{16A30EAD-0425-4DA9-BE4D-B7B87FF0C7A3}" type="presParOf" srcId="{2134A012-705E-402C-AD72-4028F9D87A92}" destId="{188B6FCF-1FFE-4D5B-B8D8-6032357441F3}" srcOrd="6" destOrd="0" presId="urn:microsoft.com/office/officeart/2005/8/layout/orgChart1"/>
    <dgm:cxn modelId="{702BFB98-3B30-4469-8EF1-9081FD04224E}" type="presParOf" srcId="{2134A012-705E-402C-AD72-4028F9D87A92}" destId="{FECE1AF4-EDB4-4A27-A8D2-24F557B07F0D}" srcOrd="7" destOrd="0" presId="urn:microsoft.com/office/officeart/2005/8/layout/orgChart1"/>
    <dgm:cxn modelId="{8E38D496-B68C-4027-A230-ABC72D0FDCF6}" type="presParOf" srcId="{FECE1AF4-EDB4-4A27-A8D2-24F557B07F0D}" destId="{DBA6BD00-F7D3-4240-B146-8C1A1B57464E}" srcOrd="0" destOrd="0" presId="urn:microsoft.com/office/officeart/2005/8/layout/orgChart1"/>
    <dgm:cxn modelId="{BD819648-6D62-4461-AF42-80917A7427E3}" type="presParOf" srcId="{DBA6BD00-F7D3-4240-B146-8C1A1B57464E}" destId="{BE043F6E-87D0-485D-8120-705CE8265EFC}" srcOrd="0" destOrd="0" presId="urn:microsoft.com/office/officeart/2005/8/layout/orgChart1"/>
    <dgm:cxn modelId="{295E318C-B731-4AF2-872D-F00F651ABB95}" type="presParOf" srcId="{DBA6BD00-F7D3-4240-B146-8C1A1B57464E}" destId="{70410CB3-1CDF-41D7-891B-0A19B9DDBFA4}" srcOrd="1" destOrd="0" presId="urn:microsoft.com/office/officeart/2005/8/layout/orgChart1"/>
    <dgm:cxn modelId="{93CAE506-D483-4B1F-A68E-41446A4600D2}" type="presParOf" srcId="{FECE1AF4-EDB4-4A27-A8D2-24F557B07F0D}" destId="{0BC41F94-DED2-4EA6-831F-BBEC8CDDA831}" srcOrd="1" destOrd="0" presId="urn:microsoft.com/office/officeart/2005/8/layout/orgChart1"/>
    <dgm:cxn modelId="{2A20C96F-87B8-49D8-B1D2-C07D6A49AEE7}" type="presParOf" srcId="{FECE1AF4-EDB4-4A27-A8D2-24F557B07F0D}" destId="{F8444425-9B1C-4695-B326-06E97CF72579}" srcOrd="2" destOrd="0" presId="urn:microsoft.com/office/officeart/2005/8/layout/orgChart1"/>
    <dgm:cxn modelId="{8B442B12-D764-4A5A-9DB9-3A848CAD6AEB}" type="presParOf" srcId="{C22F5367-2FC7-482E-BDEF-183022865605}" destId="{9E979B75-3874-4045-B8DC-7EDA1169E6BB}" srcOrd="2" destOrd="0" presId="urn:microsoft.com/office/officeart/2005/8/layout/orgChart1"/>
    <dgm:cxn modelId="{7B89F474-DCF5-4B9A-889B-1A637474BD10}" type="presParOf" srcId="{1CD0B271-D310-42A1-9042-73ED37D60033}" destId="{ADCFFE64-B112-49A0-8545-E3E524DBF9DE}" srcOrd="2" destOrd="0" presId="urn:microsoft.com/office/officeart/2005/8/layout/orgChart1"/>
    <dgm:cxn modelId="{322C60AB-AD42-4F8E-8E2D-682126A3A7AA}" type="presParOf" srcId="{FB103ED6-60F6-4A31-B2BC-0E10CB63177E}" destId="{F0665375-C35D-4BA1-9257-ACA77A359A90}" srcOrd="2" destOrd="0" presId="urn:microsoft.com/office/officeart/2005/8/layout/orgChart1"/>
    <dgm:cxn modelId="{B99549A6-3B2E-4E5B-8DC3-444B49A40E36}" type="presParOf" srcId="{FB103ED6-60F6-4A31-B2BC-0E10CB63177E}" destId="{40530F51-A4B7-41DC-85CC-62F9EFF7E215}" srcOrd="3" destOrd="0" presId="urn:microsoft.com/office/officeart/2005/8/layout/orgChart1"/>
    <dgm:cxn modelId="{BFAE2204-F98F-4DA0-A114-8F1C214BB845}" type="presParOf" srcId="{40530F51-A4B7-41DC-85CC-62F9EFF7E215}" destId="{7170644F-BC2E-4C1F-89C9-49B0E04DAC7B}" srcOrd="0" destOrd="0" presId="urn:microsoft.com/office/officeart/2005/8/layout/orgChart1"/>
    <dgm:cxn modelId="{5FB87741-A4EC-4DF7-BE6F-B4F12D788F1E}" type="presParOf" srcId="{7170644F-BC2E-4C1F-89C9-49B0E04DAC7B}" destId="{10FA8AB2-535A-4B38-A593-8F395CB92D49}" srcOrd="0" destOrd="0" presId="urn:microsoft.com/office/officeart/2005/8/layout/orgChart1"/>
    <dgm:cxn modelId="{77793D29-5BAC-490F-AE3F-A28EB65DF27D}" type="presParOf" srcId="{7170644F-BC2E-4C1F-89C9-49B0E04DAC7B}" destId="{18A3F3E4-0A94-49E7-9688-620DA1619923}" srcOrd="1" destOrd="0" presId="urn:microsoft.com/office/officeart/2005/8/layout/orgChart1"/>
    <dgm:cxn modelId="{39758650-A6AA-46EB-914F-E87307685A38}" type="presParOf" srcId="{40530F51-A4B7-41DC-85CC-62F9EFF7E215}" destId="{27785E86-AC50-4F88-AFF7-D95BB75E824D}" srcOrd="1" destOrd="0" presId="urn:microsoft.com/office/officeart/2005/8/layout/orgChart1"/>
    <dgm:cxn modelId="{1723FA64-1A6E-4507-A5C6-FC4247B43FF6}" type="presParOf" srcId="{27785E86-AC50-4F88-AFF7-D95BB75E824D}" destId="{DF61AD34-EA02-439F-AA4D-A3F0C5C6B4F0}" srcOrd="0" destOrd="0" presId="urn:microsoft.com/office/officeart/2005/8/layout/orgChart1"/>
    <dgm:cxn modelId="{619C7E3A-B12C-4174-BC1C-63F672421796}" type="presParOf" srcId="{27785E86-AC50-4F88-AFF7-D95BB75E824D}" destId="{105F2E3A-789C-46A8-80C8-E1438B1634B7}" srcOrd="1" destOrd="0" presId="urn:microsoft.com/office/officeart/2005/8/layout/orgChart1"/>
    <dgm:cxn modelId="{3481AE2B-9FCB-4307-9A5D-00846FFF83F5}" type="presParOf" srcId="{105F2E3A-789C-46A8-80C8-E1438B1634B7}" destId="{0B5966D9-E437-42AE-8FC4-E3D0F4B7B9AB}" srcOrd="0" destOrd="0" presId="urn:microsoft.com/office/officeart/2005/8/layout/orgChart1"/>
    <dgm:cxn modelId="{DFEA6AD9-A24B-4489-BBC2-CB08812122AB}" type="presParOf" srcId="{0B5966D9-E437-42AE-8FC4-E3D0F4B7B9AB}" destId="{DD4F3836-34FB-4A76-867E-D7E013CA0F50}" srcOrd="0" destOrd="0" presId="urn:microsoft.com/office/officeart/2005/8/layout/orgChart1"/>
    <dgm:cxn modelId="{83F8EC43-1B5B-46A6-AA98-5F1078EFD4CA}" type="presParOf" srcId="{0B5966D9-E437-42AE-8FC4-E3D0F4B7B9AB}" destId="{F712A0A9-3A99-4625-9AD1-9388DCA7467E}" srcOrd="1" destOrd="0" presId="urn:microsoft.com/office/officeart/2005/8/layout/orgChart1"/>
    <dgm:cxn modelId="{D66D602A-1ECE-4E68-A62C-D062B46278E5}" type="presParOf" srcId="{105F2E3A-789C-46A8-80C8-E1438B1634B7}" destId="{449490D0-1F95-47E4-8525-3DC16732871E}" srcOrd="1" destOrd="0" presId="urn:microsoft.com/office/officeart/2005/8/layout/orgChart1"/>
    <dgm:cxn modelId="{116A4565-A84A-4C24-840C-DBD7AA8EB43F}" type="presParOf" srcId="{105F2E3A-789C-46A8-80C8-E1438B1634B7}" destId="{07635A34-37F3-4ADE-A585-01E2DF4FA323}" srcOrd="2" destOrd="0" presId="urn:microsoft.com/office/officeart/2005/8/layout/orgChart1"/>
    <dgm:cxn modelId="{B585A891-2DF0-440E-ACA0-A09E06E37E8C}" type="presParOf" srcId="{27785E86-AC50-4F88-AFF7-D95BB75E824D}" destId="{A90118A8-35F3-4E16-A3C9-53D93F7FFA90}" srcOrd="2" destOrd="0" presId="urn:microsoft.com/office/officeart/2005/8/layout/orgChart1"/>
    <dgm:cxn modelId="{E0A18B85-4DD1-4E4F-BDD9-CE6A37F77449}" type="presParOf" srcId="{27785E86-AC50-4F88-AFF7-D95BB75E824D}" destId="{0CFF3A07-5BF7-4CA4-BB63-04E6577602D2}" srcOrd="3" destOrd="0" presId="urn:microsoft.com/office/officeart/2005/8/layout/orgChart1"/>
    <dgm:cxn modelId="{590EDA04-969C-4005-9A7F-BD580C28A765}" type="presParOf" srcId="{0CFF3A07-5BF7-4CA4-BB63-04E6577602D2}" destId="{3E233E3D-F94C-4ABD-BEA6-A9B8F6752434}" srcOrd="0" destOrd="0" presId="urn:microsoft.com/office/officeart/2005/8/layout/orgChart1"/>
    <dgm:cxn modelId="{AF073FC4-54FA-4540-A4D9-DF576ED0E458}" type="presParOf" srcId="{3E233E3D-F94C-4ABD-BEA6-A9B8F6752434}" destId="{F9C06685-270B-4F24-814F-48BCCEFE8695}" srcOrd="0" destOrd="0" presId="urn:microsoft.com/office/officeart/2005/8/layout/orgChart1"/>
    <dgm:cxn modelId="{856A7FA1-3BB4-443B-859B-A3D540710472}" type="presParOf" srcId="{3E233E3D-F94C-4ABD-BEA6-A9B8F6752434}" destId="{A44F0538-2B58-45CE-9947-77F29BF6E667}" srcOrd="1" destOrd="0" presId="urn:microsoft.com/office/officeart/2005/8/layout/orgChart1"/>
    <dgm:cxn modelId="{FEFF867F-9274-4BBD-8A3A-6AB96BC3D3B1}" type="presParOf" srcId="{0CFF3A07-5BF7-4CA4-BB63-04E6577602D2}" destId="{4151C8E6-A656-4800-B382-B6269BBCD5DB}" srcOrd="1" destOrd="0" presId="urn:microsoft.com/office/officeart/2005/8/layout/orgChart1"/>
    <dgm:cxn modelId="{47F54764-F3CF-46B2-9B62-4243E41F105C}" type="presParOf" srcId="{0CFF3A07-5BF7-4CA4-BB63-04E6577602D2}" destId="{756BDCFE-8FDC-4C1F-A835-3EC0728038D7}" srcOrd="2" destOrd="0" presId="urn:microsoft.com/office/officeart/2005/8/layout/orgChart1"/>
    <dgm:cxn modelId="{6855242E-2DC5-412C-8C58-4840B47A5B0E}" type="presParOf" srcId="{40530F51-A4B7-41DC-85CC-62F9EFF7E215}" destId="{E1A1C1E4-211C-48AD-9481-F9C9ED4526CA}" srcOrd="2" destOrd="0" presId="urn:microsoft.com/office/officeart/2005/8/layout/orgChart1"/>
    <dgm:cxn modelId="{77949E1A-2C88-40D3-8909-9380131F03B6}" type="presParOf" srcId="{FB103ED6-60F6-4A31-B2BC-0E10CB63177E}" destId="{940172B6-576F-4BB0-8C0D-53DBFE1F56C3}" srcOrd="4" destOrd="0" presId="urn:microsoft.com/office/officeart/2005/8/layout/orgChart1"/>
    <dgm:cxn modelId="{3EB2AFBA-4107-4D57-BDF7-B68C57D11200}" type="presParOf" srcId="{FB103ED6-60F6-4A31-B2BC-0E10CB63177E}" destId="{BB4292CF-0B11-4B44-9D9D-BE583300EFDB}" srcOrd="5" destOrd="0" presId="urn:microsoft.com/office/officeart/2005/8/layout/orgChart1"/>
    <dgm:cxn modelId="{AAE5845C-9D2C-4C9D-A2FA-543AA2F1C503}" type="presParOf" srcId="{BB4292CF-0B11-4B44-9D9D-BE583300EFDB}" destId="{F71464E5-5BAC-4267-9272-C885721D3A65}" srcOrd="0" destOrd="0" presId="urn:microsoft.com/office/officeart/2005/8/layout/orgChart1"/>
    <dgm:cxn modelId="{C87FDB5A-8D1F-48A2-A2DB-8164C53291F9}" type="presParOf" srcId="{F71464E5-5BAC-4267-9272-C885721D3A65}" destId="{EBF998CC-1764-4617-90C4-5DE1130C5535}" srcOrd="0" destOrd="0" presId="urn:microsoft.com/office/officeart/2005/8/layout/orgChart1"/>
    <dgm:cxn modelId="{C1D7BB6E-A003-415D-BFB9-4571AE12A9F1}" type="presParOf" srcId="{F71464E5-5BAC-4267-9272-C885721D3A65}" destId="{870CC81A-8C42-42C0-8A46-931322ACB2AE}" srcOrd="1" destOrd="0" presId="urn:microsoft.com/office/officeart/2005/8/layout/orgChart1"/>
    <dgm:cxn modelId="{2249D88D-C63D-4999-BA06-E8E1A5668283}" type="presParOf" srcId="{BB4292CF-0B11-4B44-9D9D-BE583300EFDB}" destId="{FE3D5F08-09CB-4B3D-8895-FF2D8D5207E5}" srcOrd="1" destOrd="0" presId="urn:microsoft.com/office/officeart/2005/8/layout/orgChart1"/>
    <dgm:cxn modelId="{62A7CA90-D6EC-4EF8-8146-23BE8EA858AE}" type="presParOf" srcId="{FE3D5F08-09CB-4B3D-8895-FF2D8D5207E5}" destId="{A01D13BF-CEF6-49F5-8A1A-1927A94CF3E3}" srcOrd="0" destOrd="0" presId="urn:microsoft.com/office/officeart/2005/8/layout/orgChart1"/>
    <dgm:cxn modelId="{531F1A7F-9D15-437D-B646-F7105DF2A1AD}" type="presParOf" srcId="{FE3D5F08-09CB-4B3D-8895-FF2D8D5207E5}" destId="{B548F4D8-616C-4442-B143-9793C2261D8D}" srcOrd="1" destOrd="0" presId="urn:microsoft.com/office/officeart/2005/8/layout/orgChart1"/>
    <dgm:cxn modelId="{A6C299FE-76BC-4ACE-9D9B-3B5E60839A4A}" type="presParOf" srcId="{B548F4D8-616C-4442-B143-9793C2261D8D}" destId="{7788022F-8540-4686-9E4C-EF31E2B41C09}" srcOrd="0" destOrd="0" presId="urn:microsoft.com/office/officeart/2005/8/layout/orgChart1"/>
    <dgm:cxn modelId="{86FC136A-DC30-4B18-80D6-EB852D408228}" type="presParOf" srcId="{7788022F-8540-4686-9E4C-EF31E2B41C09}" destId="{3A9BED26-E7CC-458F-BD32-F6B8F431C178}" srcOrd="0" destOrd="0" presId="urn:microsoft.com/office/officeart/2005/8/layout/orgChart1"/>
    <dgm:cxn modelId="{62F705F6-6420-406A-A68D-86DADB49755C}" type="presParOf" srcId="{7788022F-8540-4686-9E4C-EF31E2B41C09}" destId="{2D170C0C-E154-4F54-AAAE-250C38165DD2}" srcOrd="1" destOrd="0" presId="urn:microsoft.com/office/officeart/2005/8/layout/orgChart1"/>
    <dgm:cxn modelId="{A05B6CF5-9F84-404C-8D61-25B56B26E218}" type="presParOf" srcId="{B548F4D8-616C-4442-B143-9793C2261D8D}" destId="{EF8CA803-521C-4649-81A0-1132AC62E937}" srcOrd="1" destOrd="0" presId="urn:microsoft.com/office/officeart/2005/8/layout/orgChart1"/>
    <dgm:cxn modelId="{4F7CB243-B959-4244-979A-A134DD1CDE70}" type="presParOf" srcId="{B548F4D8-616C-4442-B143-9793C2261D8D}" destId="{4528E47D-B728-4A29-86B4-344B68D434EE}" srcOrd="2" destOrd="0" presId="urn:microsoft.com/office/officeart/2005/8/layout/orgChart1"/>
    <dgm:cxn modelId="{3C4317D7-7F14-4902-AEF4-44F7F0007D65}" type="presParOf" srcId="{FE3D5F08-09CB-4B3D-8895-FF2D8D5207E5}" destId="{272B4852-7C5F-4B9C-9539-F44A4E69FA6A}" srcOrd="2" destOrd="0" presId="urn:microsoft.com/office/officeart/2005/8/layout/orgChart1"/>
    <dgm:cxn modelId="{E10FC90A-D949-41B0-8B00-CA68CBF22AFC}" type="presParOf" srcId="{FE3D5F08-09CB-4B3D-8895-FF2D8D5207E5}" destId="{3544D5B0-42A1-4853-BA12-1B3BA71212E8}" srcOrd="3" destOrd="0" presId="urn:microsoft.com/office/officeart/2005/8/layout/orgChart1"/>
    <dgm:cxn modelId="{50F5EC75-D42B-4F97-AFBA-7DA09F3F840F}" type="presParOf" srcId="{3544D5B0-42A1-4853-BA12-1B3BA71212E8}" destId="{2F5930FB-77DE-4F73-A2E5-1F13EDEB1E6B}" srcOrd="0" destOrd="0" presId="urn:microsoft.com/office/officeart/2005/8/layout/orgChart1"/>
    <dgm:cxn modelId="{BE487168-58E0-41AE-94BB-13AF8840AAAA}" type="presParOf" srcId="{2F5930FB-77DE-4F73-A2E5-1F13EDEB1E6B}" destId="{7E37D66E-E650-4020-8B41-2358B22F1568}" srcOrd="0" destOrd="0" presId="urn:microsoft.com/office/officeart/2005/8/layout/orgChart1"/>
    <dgm:cxn modelId="{FDF695BA-9197-46E5-8BC9-35EC980D50CB}" type="presParOf" srcId="{2F5930FB-77DE-4F73-A2E5-1F13EDEB1E6B}" destId="{2F5F9CAE-429D-4114-8AF7-A68D74677F11}" srcOrd="1" destOrd="0" presId="urn:microsoft.com/office/officeart/2005/8/layout/orgChart1"/>
    <dgm:cxn modelId="{CA7D740C-192F-45BB-A215-C665BBDC08D4}" type="presParOf" srcId="{3544D5B0-42A1-4853-BA12-1B3BA71212E8}" destId="{59CD0626-9092-4662-81AC-44B17EBA15BC}" srcOrd="1" destOrd="0" presId="urn:microsoft.com/office/officeart/2005/8/layout/orgChart1"/>
    <dgm:cxn modelId="{2F663E27-C6B2-48E8-B106-AE13A924C759}" type="presParOf" srcId="{3544D5B0-42A1-4853-BA12-1B3BA71212E8}" destId="{B84B2FB5-8F3C-4955-86EF-1DE3926B4261}" srcOrd="2" destOrd="0" presId="urn:microsoft.com/office/officeart/2005/8/layout/orgChart1"/>
    <dgm:cxn modelId="{86D1CE6E-7311-462C-88D4-C0477BFC6B8C}" type="presParOf" srcId="{FE3D5F08-09CB-4B3D-8895-FF2D8D5207E5}" destId="{294F90E7-86EF-4FF7-BB7F-7A587FD9824F}" srcOrd="4" destOrd="0" presId="urn:microsoft.com/office/officeart/2005/8/layout/orgChart1"/>
    <dgm:cxn modelId="{BA4289C8-1E91-4046-9551-1EBFEDDB9BD9}" type="presParOf" srcId="{FE3D5F08-09CB-4B3D-8895-FF2D8D5207E5}" destId="{68FC736B-4F3E-4640-8BC3-87368855C78D}" srcOrd="5" destOrd="0" presId="urn:microsoft.com/office/officeart/2005/8/layout/orgChart1"/>
    <dgm:cxn modelId="{B29B6673-D946-4421-8208-E1C3F69279D3}" type="presParOf" srcId="{68FC736B-4F3E-4640-8BC3-87368855C78D}" destId="{793D08E5-4518-4F33-9ACE-68725E6F7558}" srcOrd="0" destOrd="0" presId="urn:microsoft.com/office/officeart/2005/8/layout/orgChart1"/>
    <dgm:cxn modelId="{EFB93AFC-00C2-4EA1-875E-38470745FBA0}" type="presParOf" srcId="{793D08E5-4518-4F33-9ACE-68725E6F7558}" destId="{01EEBCC4-4FA1-413B-B18D-410844F6A10D}" srcOrd="0" destOrd="0" presId="urn:microsoft.com/office/officeart/2005/8/layout/orgChart1"/>
    <dgm:cxn modelId="{4B8FDE26-80A4-4353-82D2-4219926F9221}" type="presParOf" srcId="{793D08E5-4518-4F33-9ACE-68725E6F7558}" destId="{E80E6534-E78B-41B8-AFCD-82085CA62144}" srcOrd="1" destOrd="0" presId="urn:microsoft.com/office/officeart/2005/8/layout/orgChart1"/>
    <dgm:cxn modelId="{CC3091A6-9046-426C-8623-980E57CE991C}" type="presParOf" srcId="{68FC736B-4F3E-4640-8BC3-87368855C78D}" destId="{F9252421-B3A5-43F2-9CB7-DD63BCAEFBF5}" srcOrd="1" destOrd="0" presId="urn:microsoft.com/office/officeart/2005/8/layout/orgChart1"/>
    <dgm:cxn modelId="{74DD9DF3-78AC-4D57-83BD-84A7A4F6E51E}" type="presParOf" srcId="{68FC736B-4F3E-4640-8BC3-87368855C78D}" destId="{B30B77C2-1CA8-48AD-B20B-612E52D64805}" srcOrd="2" destOrd="0" presId="urn:microsoft.com/office/officeart/2005/8/layout/orgChart1"/>
    <dgm:cxn modelId="{BE8744EF-A9B9-4205-9EB2-9A4B190171A3}" type="presParOf" srcId="{FE3D5F08-09CB-4B3D-8895-FF2D8D5207E5}" destId="{479D3446-62B7-48EC-9B0F-3F85F7A35E44}" srcOrd="6" destOrd="0" presId="urn:microsoft.com/office/officeart/2005/8/layout/orgChart1"/>
    <dgm:cxn modelId="{BA5E1908-ACA1-4969-A9AA-538EB3455E2D}" type="presParOf" srcId="{FE3D5F08-09CB-4B3D-8895-FF2D8D5207E5}" destId="{42A6F428-41BF-4CCA-90B2-7516BDBCEB41}" srcOrd="7" destOrd="0" presId="urn:microsoft.com/office/officeart/2005/8/layout/orgChart1"/>
    <dgm:cxn modelId="{F364781E-4B3B-474A-A9D8-5F3DE77B04DC}" type="presParOf" srcId="{42A6F428-41BF-4CCA-90B2-7516BDBCEB41}" destId="{FC0A8DDD-482D-4063-8563-477D860B40A4}" srcOrd="0" destOrd="0" presId="urn:microsoft.com/office/officeart/2005/8/layout/orgChart1"/>
    <dgm:cxn modelId="{27E78F4B-E93A-491C-B1A8-9C803CAD2DA0}" type="presParOf" srcId="{FC0A8DDD-482D-4063-8563-477D860B40A4}" destId="{64C81C5F-57FE-497B-8B49-1F735C70D787}" srcOrd="0" destOrd="0" presId="urn:microsoft.com/office/officeart/2005/8/layout/orgChart1"/>
    <dgm:cxn modelId="{DDED851D-3038-4283-B0D8-D1C8455C854B}" type="presParOf" srcId="{FC0A8DDD-482D-4063-8563-477D860B40A4}" destId="{38D8DFC9-6F35-4E5F-8F18-1E0E4ABE7F3C}" srcOrd="1" destOrd="0" presId="urn:microsoft.com/office/officeart/2005/8/layout/orgChart1"/>
    <dgm:cxn modelId="{ABDBD87A-8284-4716-AEAD-C15299F97045}" type="presParOf" srcId="{42A6F428-41BF-4CCA-90B2-7516BDBCEB41}" destId="{903FF867-7A41-432B-856E-940347C8BE85}" srcOrd="1" destOrd="0" presId="urn:microsoft.com/office/officeart/2005/8/layout/orgChart1"/>
    <dgm:cxn modelId="{057A3375-4495-44B8-A912-E207856B5231}" type="presParOf" srcId="{42A6F428-41BF-4CCA-90B2-7516BDBCEB41}" destId="{CD10B0A3-2111-4C03-BD59-29001B7FB13E}" srcOrd="2" destOrd="0" presId="urn:microsoft.com/office/officeart/2005/8/layout/orgChart1"/>
    <dgm:cxn modelId="{676120D4-DB52-4FA8-B239-2FB0C423232A}" type="presParOf" srcId="{BB4292CF-0B11-4B44-9D9D-BE583300EFDB}" destId="{8A628A21-DC96-4DE1-9342-500FA8E6EDA8}" srcOrd="2" destOrd="0" presId="urn:microsoft.com/office/officeart/2005/8/layout/orgChart1"/>
    <dgm:cxn modelId="{91D3FB5B-E8F9-45E6-87B0-4D0F275B9F98}" type="presParOf" srcId="{FB103ED6-60F6-4A31-B2BC-0E10CB63177E}" destId="{8C6DFB2B-33C8-4972-A93B-FF919D6FEAFF}" srcOrd="6" destOrd="0" presId="urn:microsoft.com/office/officeart/2005/8/layout/orgChart1"/>
    <dgm:cxn modelId="{7C9F2A3B-FB5D-4E59-8116-9BA83E10A5BD}" type="presParOf" srcId="{FB103ED6-60F6-4A31-B2BC-0E10CB63177E}" destId="{97632A35-EE50-4A2C-8F23-A5A15DD0C103}" srcOrd="7" destOrd="0" presId="urn:microsoft.com/office/officeart/2005/8/layout/orgChart1"/>
    <dgm:cxn modelId="{620BEFBB-A286-4E47-8E9E-70CA1363247E}" type="presParOf" srcId="{97632A35-EE50-4A2C-8F23-A5A15DD0C103}" destId="{38B242C0-FABD-4D1E-ADDA-5FD5C8E8D4BC}" srcOrd="0" destOrd="0" presId="urn:microsoft.com/office/officeart/2005/8/layout/orgChart1"/>
    <dgm:cxn modelId="{93096142-E66E-43B0-B923-823462B77F71}" type="presParOf" srcId="{38B242C0-FABD-4D1E-ADDA-5FD5C8E8D4BC}" destId="{8B967B3F-7859-4C4A-9FE1-23F6FAB892E2}" srcOrd="0" destOrd="0" presId="urn:microsoft.com/office/officeart/2005/8/layout/orgChart1"/>
    <dgm:cxn modelId="{A761FAFD-3A1A-4C4E-82BC-7B2793F9E3F6}" type="presParOf" srcId="{38B242C0-FABD-4D1E-ADDA-5FD5C8E8D4BC}" destId="{BC5F09FC-3B0C-4154-82D2-0CED3E9014E0}" srcOrd="1" destOrd="0" presId="urn:microsoft.com/office/officeart/2005/8/layout/orgChart1"/>
    <dgm:cxn modelId="{C4A2D9DE-36F7-48DD-AE77-097D289B80C8}" type="presParOf" srcId="{97632A35-EE50-4A2C-8F23-A5A15DD0C103}" destId="{79824566-671C-45DA-A8A4-A0DD6D0B7639}" srcOrd="1" destOrd="0" presId="urn:microsoft.com/office/officeart/2005/8/layout/orgChart1"/>
    <dgm:cxn modelId="{0F4DD02A-1BCA-4691-AD25-6D6BADE0430B}" type="presParOf" srcId="{79824566-671C-45DA-A8A4-A0DD6D0B7639}" destId="{94C27036-147D-41AE-95AA-BEEAB4038428}" srcOrd="0" destOrd="0" presId="urn:microsoft.com/office/officeart/2005/8/layout/orgChart1"/>
    <dgm:cxn modelId="{7E0BBD2E-DA82-44EB-A25C-C5620A76B452}" type="presParOf" srcId="{79824566-671C-45DA-A8A4-A0DD6D0B7639}" destId="{128A6E14-49E9-4917-8701-068B9FFF3EFC}" srcOrd="1" destOrd="0" presId="urn:microsoft.com/office/officeart/2005/8/layout/orgChart1"/>
    <dgm:cxn modelId="{07759D81-0E38-4171-88B3-D542D270DD16}" type="presParOf" srcId="{128A6E14-49E9-4917-8701-068B9FFF3EFC}" destId="{083F1FD8-7C74-4673-967E-E4A41DC3B6C3}" srcOrd="0" destOrd="0" presId="urn:microsoft.com/office/officeart/2005/8/layout/orgChart1"/>
    <dgm:cxn modelId="{43CE78B7-094B-4B28-B98E-6AB77FB48D83}" type="presParOf" srcId="{083F1FD8-7C74-4673-967E-E4A41DC3B6C3}" destId="{D4446C36-1173-4222-8C3E-0F7F1973D6BB}" srcOrd="0" destOrd="0" presId="urn:microsoft.com/office/officeart/2005/8/layout/orgChart1"/>
    <dgm:cxn modelId="{828DB52F-3DD7-42FE-A750-F9BF90734B05}" type="presParOf" srcId="{083F1FD8-7C74-4673-967E-E4A41DC3B6C3}" destId="{174AB3F6-AC50-4BFD-B14C-4ED9FDAA11C8}" srcOrd="1" destOrd="0" presId="urn:microsoft.com/office/officeart/2005/8/layout/orgChart1"/>
    <dgm:cxn modelId="{CE4CB933-3EA4-4C01-AFD7-91BB4C4E890B}" type="presParOf" srcId="{128A6E14-49E9-4917-8701-068B9FFF3EFC}" destId="{7E5CBC09-87CF-4566-AEF4-99CC175B8B7D}" srcOrd="1" destOrd="0" presId="urn:microsoft.com/office/officeart/2005/8/layout/orgChart1"/>
    <dgm:cxn modelId="{DC9E0F21-C145-4879-92CE-97ED33E836DF}" type="presParOf" srcId="{128A6E14-49E9-4917-8701-068B9FFF3EFC}" destId="{881C5D48-5E86-4AEF-92AE-197ADF5AB96E}" srcOrd="2" destOrd="0" presId="urn:microsoft.com/office/officeart/2005/8/layout/orgChart1"/>
    <dgm:cxn modelId="{0D600F89-B18D-4155-AB49-91D7153ABD05}" type="presParOf" srcId="{79824566-671C-45DA-A8A4-A0DD6D0B7639}" destId="{48BD6940-9A28-4387-83A6-684BA416A6AD}" srcOrd="2" destOrd="0" presId="urn:microsoft.com/office/officeart/2005/8/layout/orgChart1"/>
    <dgm:cxn modelId="{FD848059-7A70-4997-BA6D-9D354E9FA212}" type="presParOf" srcId="{79824566-671C-45DA-A8A4-A0DD6D0B7639}" destId="{E20A4B36-D209-4CD6-B959-58E6BF634B8B}" srcOrd="3" destOrd="0" presId="urn:microsoft.com/office/officeart/2005/8/layout/orgChart1"/>
    <dgm:cxn modelId="{D5BB4D78-AE91-4084-93D6-71B14F215643}" type="presParOf" srcId="{E20A4B36-D209-4CD6-B959-58E6BF634B8B}" destId="{74F8CF1D-97E7-40B6-B20B-DB64697932E9}" srcOrd="0" destOrd="0" presId="urn:microsoft.com/office/officeart/2005/8/layout/orgChart1"/>
    <dgm:cxn modelId="{10CA923F-1EEB-4A63-984D-771ECB328A6C}" type="presParOf" srcId="{74F8CF1D-97E7-40B6-B20B-DB64697932E9}" destId="{60153118-864C-4EA4-B435-159143C15803}" srcOrd="0" destOrd="0" presId="urn:microsoft.com/office/officeart/2005/8/layout/orgChart1"/>
    <dgm:cxn modelId="{FAFB2857-15E0-4A33-99D7-E7E7EE517693}" type="presParOf" srcId="{74F8CF1D-97E7-40B6-B20B-DB64697932E9}" destId="{259C8858-F8DC-41F5-8BC6-A02D737EB36F}" srcOrd="1" destOrd="0" presId="urn:microsoft.com/office/officeart/2005/8/layout/orgChart1"/>
    <dgm:cxn modelId="{C43351A7-407E-4B9C-BA4D-7EEB95A9B9F2}" type="presParOf" srcId="{E20A4B36-D209-4CD6-B959-58E6BF634B8B}" destId="{1EA9215C-36FF-4DB9-9C13-39813791153E}" srcOrd="1" destOrd="0" presId="urn:microsoft.com/office/officeart/2005/8/layout/orgChart1"/>
    <dgm:cxn modelId="{86D1B84D-7C03-4773-B07F-CC9FE0546027}" type="presParOf" srcId="{E20A4B36-D209-4CD6-B959-58E6BF634B8B}" destId="{9A133FE4-E8C6-4537-9B3F-3624D7F9F5B8}" srcOrd="2" destOrd="0" presId="urn:microsoft.com/office/officeart/2005/8/layout/orgChart1"/>
    <dgm:cxn modelId="{82302ED5-10A5-4180-8A38-5F2D5D92D047}" type="presParOf" srcId="{97632A35-EE50-4A2C-8F23-A5A15DD0C103}" destId="{EC2B3B28-07B6-408E-B321-FEBAD5F99C93}" srcOrd="2" destOrd="0" presId="urn:microsoft.com/office/officeart/2005/8/layout/orgChart1"/>
    <dgm:cxn modelId="{ABD21C19-B98E-4948-B7D8-E1DFAEF4DD9F}" type="presParOf" srcId="{1B96DB07-FCB3-4A2B-B14E-739760C515E7}" destId="{CD3DDB90-0AC1-400B-8A86-8E5FA1DF69B4}" srcOrd="2" destOrd="0" presId="urn:microsoft.com/office/officeart/2005/8/layout/orgChart1"/>
  </dgm:cxnLst>
  <dgm:bg/>
  <dgm:whole/>
</dgm:dataModel>
</file>

<file path=word/diagrams/data2.xml><?xml version="1.0" encoding="utf-8"?>
<dgm:dataModel xmlns:dgm="http://schemas.openxmlformats.org/drawingml/2006/diagram" xmlns:a="http://schemas.openxmlformats.org/drawingml/2006/main">
  <dgm:ptLst>
    <dgm:pt modelId="{359F3FEB-A982-47F3-9F6D-039DACD48A09}"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uk-UA"/>
        </a:p>
      </dgm:t>
    </dgm:pt>
    <dgm:pt modelId="{DB287439-9D3D-48F1-B2CD-5125C6C13B89}">
      <dgm:prSet phldrT="[Текст]" custT="1"/>
      <dgm:spPr/>
      <dgm:t>
        <a:bodyPr/>
        <a:lstStyle/>
        <a:p>
          <a:pPr algn="ctr"/>
          <a:r>
            <a:rPr lang="uk-UA" sz="1800" b="1">
              <a:latin typeface="Times New Roman" pitchFamily="18" charset="0"/>
              <a:cs typeface="Times New Roman" pitchFamily="18" charset="0"/>
            </a:rPr>
            <a:t>Пенсії</a:t>
          </a:r>
        </a:p>
      </dgm:t>
    </dgm:pt>
    <dgm:pt modelId="{34609C65-B12C-4ABF-9D05-C1C41DE5DE13}" type="parTrans" cxnId="{F36D9E09-219D-4DB5-AC4F-40B6E8243CB0}">
      <dgm:prSet/>
      <dgm:spPr/>
      <dgm:t>
        <a:bodyPr/>
        <a:lstStyle/>
        <a:p>
          <a:endParaRPr lang="uk-UA"/>
        </a:p>
      </dgm:t>
    </dgm:pt>
    <dgm:pt modelId="{28B5AEA5-3F55-4097-9576-35F47FDA6E2C}" type="sibTrans" cxnId="{F36D9E09-219D-4DB5-AC4F-40B6E8243CB0}">
      <dgm:prSet/>
      <dgm:spPr/>
      <dgm:t>
        <a:bodyPr/>
        <a:lstStyle/>
        <a:p>
          <a:endParaRPr lang="uk-UA"/>
        </a:p>
      </dgm:t>
    </dgm:pt>
    <dgm:pt modelId="{E65BCD99-245B-4ADD-9DCA-62491E0E493D}" type="asst">
      <dgm:prSet phldrT="[Текст]" custT="1"/>
      <dgm:spPr/>
      <dgm:t>
        <a:bodyPr/>
        <a:lstStyle/>
        <a:p>
          <a:r>
            <a:rPr lang="uk-UA" sz="1400" b="1">
              <a:latin typeface="Times New Roman" pitchFamily="18" charset="0"/>
              <a:cs typeface="Times New Roman" pitchFamily="18" charset="0"/>
            </a:rPr>
            <a:t>Унівесальні пенсії</a:t>
          </a:r>
        </a:p>
      </dgm:t>
    </dgm:pt>
    <dgm:pt modelId="{B9DDE284-1446-4498-A344-B52EF08A1CFB}" type="parTrans" cxnId="{C91D8ECC-1471-4D3F-829D-CEE037F68ECE}">
      <dgm:prSet/>
      <dgm:spPr/>
      <dgm:t>
        <a:bodyPr/>
        <a:lstStyle/>
        <a:p>
          <a:endParaRPr lang="uk-UA" sz="2800">
            <a:latin typeface="Times New Roman" pitchFamily="18" charset="0"/>
            <a:cs typeface="Times New Roman" pitchFamily="18" charset="0"/>
          </a:endParaRPr>
        </a:p>
      </dgm:t>
    </dgm:pt>
    <dgm:pt modelId="{F181EB2F-D7A2-4E46-AEE4-F3DF2DDB5C07}" type="sibTrans" cxnId="{C91D8ECC-1471-4D3F-829D-CEE037F68ECE}">
      <dgm:prSet/>
      <dgm:spPr/>
      <dgm:t>
        <a:bodyPr/>
        <a:lstStyle/>
        <a:p>
          <a:endParaRPr lang="uk-UA"/>
        </a:p>
      </dgm:t>
    </dgm:pt>
    <dgm:pt modelId="{A2B00ECE-6F20-4819-8744-857D5EC073AE}" type="asst">
      <dgm:prSet custT="1"/>
      <dgm:spPr/>
      <dgm:t>
        <a:bodyPr/>
        <a:lstStyle/>
        <a:p>
          <a:r>
            <a:rPr lang="uk-UA" sz="1400" b="1">
              <a:latin typeface="Times New Roman" pitchFamily="18" charset="0"/>
              <a:cs typeface="Times New Roman" pitchFamily="18" charset="0"/>
            </a:rPr>
            <a:t>Спеціальні пенсії</a:t>
          </a:r>
        </a:p>
      </dgm:t>
    </dgm:pt>
    <dgm:pt modelId="{397A495D-808A-4C52-B185-116DE71F5070}" type="parTrans" cxnId="{DEB017E6-32D9-43E9-B9E0-619BBA686917}">
      <dgm:prSet/>
      <dgm:spPr/>
      <dgm:t>
        <a:bodyPr/>
        <a:lstStyle/>
        <a:p>
          <a:endParaRPr lang="uk-UA" sz="2800">
            <a:latin typeface="Times New Roman" pitchFamily="18" charset="0"/>
            <a:cs typeface="Times New Roman" pitchFamily="18" charset="0"/>
          </a:endParaRPr>
        </a:p>
      </dgm:t>
    </dgm:pt>
    <dgm:pt modelId="{0271DE13-AA04-4BF7-9FC1-C23717E07C91}" type="sibTrans" cxnId="{DEB017E6-32D9-43E9-B9E0-619BBA686917}">
      <dgm:prSet/>
      <dgm:spPr/>
      <dgm:t>
        <a:bodyPr/>
        <a:lstStyle/>
        <a:p>
          <a:endParaRPr lang="uk-UA"/>
        </a:p>
      </dgm:t>
    </dgm:pt>
    <dgm:pt modelId="{D94B3EF4-5175-45E8-AE0A-B1AC33C85480}">
      <dgm:prSet custT="1"/>
      <dgm:spPr/>
      <dgm:t>
        <a:bodyPr/>
        <a:lstStyle/>
        <a:p>
          <a:r>
            <a:rPr lang="uk-UA" sz="1200" b="1">
              <a:latin typeface="Times New Roman" pitchFamily="18" charset="0"/>
              <a:cs typeface="Times New Roman" pitchFamily="18" charset="0"/>
            </a:rPr>
            <a:t>За віком</a:t>
          </a:r>
        </a:p>
      </dgm:t>
    </dgm:pt>
    <dgm:pt modelId="{5FB1B093-D2A2-43C1-89EE-521370A22F8B}" type="parTrans" cxnId="{3AA8A06E-5B7A-4922-BF5C-C3E932D7ED20}">
      <dgm:prSet/>
      <dgm:spPr/>
      <dgm:t>
        <a:bodyPr/>
        <a:lstStyle/>
        <a:p>
          <a:endParaRPr lang="uk-UA" sz="2800">
            <a:latin typeface="Times New Roman" pitchFamily="18" charset="0"/>
            <a:cs typeface="Times New Roman" pitchFamily="18" charset="0"/>
          </a:endParaRPr>
        </a:p>
      </dgm:t>
    </dgm:pt>
    <dgm:pt modelId="{37D44BCC-9C85-47F4-8FE0-9F3C47CEF188}" type="sibTrans" cxnId="{3AA8A06E-5B7A-4922-BF5C-C3E932D7ED20}">
      <dgm:prSet/>
      <dgm:spPr/>
      <dgm:t>
        <a:bodyPr/>
        <a:lstStyle/>
        <a:p>
          <a:endParaRPr lang="uk-UA"/>
        </a:p>
      </dgm:t>
    </dgm:pt>
    <dgm:pt modelId="{0CA6D434-0D8E-49FC-B209-B8767446B8A7}">
      <dgm:prSet custT="1"/>
      <dgm:spPr/>
      <dgm:t>
        <a:bodyPr/>
        <a:lstStyle/>
        <a:p>
          <a:r>
            <a:rPr lang="uk-UA" sz="1200" b="1">
              <a:latin typeface="Times New Roman" pitchFamily="18" charset="0"/>
              <a:cs typeface="Times New Roman" pitchFamily="18" charset="0"/>
            </a:rPr>
            <a:t>По інвалідності</a:t>
          </a:r>
        </a:p>
      </dgm:t>
    </dgm:pt>
    <dgm:pt modelId="{1FD4C5E6-3D2F-408A-BEE4-BC1040B8756D}" type="parTrans" cxnId="{C285166E-DD9A-4A3D-8187-F37DB0A344D4}">
      <dgm:prSet/>
      <dgm:spPr/>
      <dgm:t>
        <a:bodyPr/>
        <a:lstStyle/>
        <a:p>
          <a:endParaRPr lang="uk-UA" sz="2800">
            <a:latin typeface="Times New Roman" pitchFamily="18" charset="0"/>
            <a:cs typeface="Times New Roman" pitchFamily="18" charset="0"/>
          </a:endParaRPr>
        </a:p>
      </dgm:t>
    </dgm:pt>
    <dgm:pt modelId="{4BD4157A-B170-4DD3-ADFD-6DF287791C25}" type="sibTrans" cxnId="{C285166E-DD9A-4A3D-8187-F37DB0A344D4}">
      <dgm:prSet/>
      <dgm:spPr/>
      <dgm:t>
        <a:bodyPr/>
        <a:lstStyle/>
        <a:p>
          <a:endParaRPr lang="uk-UA"/>
        </a:p>
      </dgm:t>
    </dgm:pt>
    <dgm:pt modelId="{C6F1E3D9-B455-4DBB-AF81-84D3513AD72F}">
      <dgm:prSet custT="1"/>
      <dgm:spPr/>
      <dgm:t>
        <a:bodyPr/>
        <a:lstStyle/>
        <a:p>
          <a:r>
            <a:rPr lang="uk-UA" sz="1200" b="1">
              <a:latin typeface="Times New Roman" pitchFamily="18" charset="0"/>
              <a:cs typeface="Times New Roman" pitchFamily="18" charset="0"/>
            </a:rPr>
            <a:t>В зв</a:t>
          </a:r>
          <a:r>
            <a:rPr lang="en-US" sz="1200" b="1">
              <a:latin typeface="Times New Roman" pitchFamily="18" charset="0"/>
              <a:cs typeface="Times New Roman" pitchFamily="18" charset="0"/>
            </a:rPr>
            <a:t>'</a:t>
          </a:r>
          <a:r>
            <a:rPr lang="uk-UA" sz="1200" b="1">
              <a:latin typeface="Times New Roman" pitchFamily="18" charset="0"/>
              <a:cs typeface="Times New Roman" pitchFamily="18" charset="0"/>
            </a:rPr>
            <a:t>язку з втратою годувальника</a:t>
          </a:r>
        </a:p>
      </dgm:t>
    </dgm:pt>
    <dgm:pt modelId="{E9D9BECE-01CD-4647-8748-C2CD20EC1476}" type="parTrans" cxnId="{2D5B14F1-2645-4761-8208-A684ADA10094}">
      <dgm:prSet/>
      <dgm:spPr/>
      <dgm:t>
        <a:bodyPr/>
        <a:lstStyle/>
        <a:p>
          <a:endParaRPr lang="uk-UA" sz="2800">
            <a:latin typeface="Times New Roman" pitchFamily="18" charset="0"/>
            <a:cs typeface="Times New Roman" pitchFamily="18" charset="0"/>
          </a:endParaRPr>
        </a:p>
      </dgm:t>
    </dgm:pt>
    <dgm:pt modelId="{B5DF13E4-5666-46BA-BE8F-D24F21C9DB67}" type="sibTrans" cxnId="{2D5B14F1-2645-4761-8208-A684ADA10094}">
      <dgm:prSet/>
      <dgm:spPr/>
      <dgm:t>
        <a:bodyPr/>
        <a:lstStyle/>
        <a:p>
          <a:endParaRPr lang="uk-UA"/>
        </a:p>
      </dgm:t>
    </dgm:pt>
    <dgm:pt modelId="{314394AA-1EB4-4B6F-9820-F8A2270061A3}">
      <dgm:prSet custT="1"/>
      <dgm:spPr/>
      <dgm:t>
        <a:bodyPr/>
        <a:lstStyle/>
        <a:p>
          <a:r>
            <a:rPr lang="uk-UA" sz="1200" b="1">
              <a:latin typeface="Times New Roman" pitchFamily="18" charset="0"/>
              <a:cs typeface="Times New Roman" pitchFamily="18" charset="0"/>
            </a:rPr>
            <a:t>Соціальні пенсії</a:t>
          </a:r>
          <a:r>
            <a:rPr lang="uk-UA" sz="1000" b="1">
              <a:latin typeface="Times New Roman" pitchFamily="18" charset="0"/>
              <a:cs typeface="Times New Roman" pitchFamily="18" charset="0"/>
            </a:rPr>
            <a:t> </a:t>
          </a:r>
          <a:r>
            <a:rPr lang="uk-UA" sz="1000">
              <a:latin typeface="Times New Roman" pitchFamily="18" charset="0"/>
              <a:cs typeface="Times New Roman" pitchFamily="18" charset="0"/>
            </a:rPr>
            <a:t>(призначені до 01.01.2004 р.)</a:t>
          </a:r>
        </a:p>
      </dgm:t>
    </dgm:pt>
    <dgm:pt modelId="{6F0EDF83-3477-45D1-85E6-21681F0C2BB1}" type="parTrans" cxnId="{60F36222-1B78-4FA1-BBAE-B259F6871494}">
      <dgm:prSet/>
      <dgm:spPr/>
      <dgm:t>
        <a:bodyPr/>
        <a:lstStyle/>
        <a:p>
          <a:endParaRPr lang="uk-UA" sz="2800">
            <a:latin typeface="Times New Roman" pitchFamily="18" charset="0"/>
            <a:cs typeface="Times New Roman" pitchFamily="18" charset="0"/>
          </a:endParaRPr>
        </a:p>
      </dgm:t>
    </dgm:pt>
    <dgm:pt modelId="{26503039-1A0E-45A5-947F-43A9752A030E}" type="sibTrans" cxnId="{60F36222-1B78-4FA1-BBAE-B259F6871494}">
      <dgm:prSet/>
      <dgm:spPr/>
      <dgm:t>
        <a:bodyPr/>
        <a:lstStyle/>
        <a:p>
          <a:endParaRPr lang="uk-UA"/>
        </a:p>
      </dgm:t>
    </dgm:pt>
    <dgm:pt modelId="{CEE37B82-F776-4285-845F-CF580F9739D6}">
      <dgm:prSet custT="1"/>
      <dgm:spPr/>
      <dgm:t>
        <a:bodyPr/>
        <a:lstStyle/>
        <a:p>
          <a:r>
            <a:rPr lang="uk-UA" sz="1200" b="1">
              <a:latin typeface="Times New Roman" pitchFamily="18" charset="0"/>
              <a:cs typeface="Times New Roman" pitchFamily="18" charset="0"/>
            </a:rPr>
            <a:t>Дострокові пенсії</a:t>
          </a:r>
        </a:p>
      </dgm:t>
    </dgm:pt>
    <dgm:pt modelId="{9F021694-AD8F-4371-A2D1-13EE4F946CD7}" type="parTrans" cxnId="{97CBAFC2-6A7B-4A60-9F31-CFADA279B055}">
      <dgm:prSet/>
      <dgm:spPr/>
      <dgm:t>
        <a:bodyPr/>
        <a:lstStyle/>
        <a:p>
          <a:endParaRPr lang="uk-UA" sz="2800">
            <a:latin typeface="Times New Roman" pitchFamily="18" charset="0"/>
            <a:cs typeface="Times New Roman" pitchFamily="18" charset="0"/>
          </a:endParaRPr>
        </a:p>
      </dgm:t>
    </dgm:pt>
    <dgm:pt modelId="{E2C20C84-DEFD-445E-A097-C8381729FF0E}" type="sibTrans" cxnId="{97CBAFC2-6A7B-4A60-9F31-CFADA279B055}">
      <dgm:prSet/>
      <dgm:spPr/>
      <dgm:t>
        <a:bodyPr/>
        <a:lstStyle/>
        <a:p>
          <a:endParaRPr lang="uk-UA"/>
        </a:p>
      </dgm:t>
    </dgm:pt>
    <dgm:pt modelId="{6E95CE70-2191-43E6-A8CE-F423ACC671F3}">
      <dgm:prSet custT="1"/>
      <dgm:spPr/>
      <dgm:t>
        <a:bodyPr/>
        <a:lstStyle/>
        <a:p>
          <a:r>
            <a:rPr lang="uk-UA" sz="1200" b="1">
              <a:latin typeface="Times New Roman" pitchFamily="18" charset="0"/>
              <a:cs typeface="Times New Roman" pitchFamily="18" charset="0"/>
            </a:rPr>
            <a:t>Ті, які передбачають ссобливий порядок та механізм нарахування </a:t>
          </a:r>
        </a:p>
      </dgm:t>
    </dgm:pt>
    <dgm:pt modelId="{16B30C51-1697-43EE-A090-E628AE2EBFB5}" type="parTrans" cxnId="{7C23F429-7436-4DF1-98E4-BE3EC7C9E27A}">
      <dgm:prSet/>
      <dgm:spPr/>
      <dgm:t>
        <a:bodyPr/>
        <a:lstStyle/>
        <a:p>
          <a:endParaRPr lang="uk-UA" sz="2800">
            <a:latin typeface="Times New Roman" pitchFamily="18" charset="0"/>
            <a:cs typeface="Times New Roman" pitchFamily="18" charset="0"/>
          </a:endParaRPr>
        </a:p>
      </dgm:t>
    </dgm:pt>
    <dgm:pt modelId="{474DA9E9-2F7E-4AF6-9691-81141C3CA7E7}" type="sibTrans" cxnId="{7C23F429-7436-4DF1-98E4-BE3EC7C9E27A}">
      <dgm:prSet/>
      <dgm:spPr/>
      <dgm:t>
        <a:bodyPr/>
        <a:lstStyle/>
        <a:p>
          <a:endParaRPr lang="uk-UA"/>
        </a:p>
      </dgm:t>
    </dgm:pt>
    <dgm:pt modelId="{F84D81DD-8FA3-4B2A-A638-EE3C3AD5F018}">
      <dgm:prSet custT="1"/>
      <dgm:spPr/>
      <dgm:t>
        <a:bodyPr/>
        <a:lstStyle/>
        <a:p>
          <a:r>
            <a:rPr lang="uk-UA" sz="1000">
              <a:latin typeface="Times New Roman" pitchFamily="18" charset="0"/>
              <a:cs typeface="Times New Roman" pitchFamily="18" charset="0"/>
            </a:rPr>
            <a:t>Пенсії за роботу в шкідливих та важких умовах праці (список №1 та №2, окремі види галузей промисловості)</a:t>
          </a:r>
        </a:p>
      </dgm:t>
    </dgm:pt>
    <dgm:pt modelId="{324A8C34-298D-49F1-B782-BF4465A828F3}" type="parTrans" cxnId="{CCEA9FE0-AE14-4D47-86B6-461E7F804762}">
      <dgm:prSet/>
      <dgm:spPr/>
      <dgm:t>
        <a:bodyPr/>
        <a:lstStyle/>
        <a:p>
          <a:endParaRPr lang="uk-UA" sz="2800">
            <a:latin typeface="Times New Roman" pitchFamily="18" charset="0"/>
            <a:cs typeface="Times New Roman" pitchFamily="18" charset="0"/>
          </a:endParaRPr>
        </a:p>
      </dgm:t>
    </dgm:pt>
    <dgm:pt modelId="{27F808CC-5C3A-4048-9C4B-7266E3A1E5B9}" type="sibTrans" cxnId="{CCEA9FE0-AE14-4D47-86B6-461E7F804762}">
      <dgm:prSet/>
      <dgm:spPr/>
      <dgm:t>
        <a:bodyPr/>
        <a:lstStyle/>
        <a:p>
          <a:endParaRPr lang="uk-UA"/>
        </a:p>
      </dgm:t>
    </dgm:pt>
    <dgm:pt modelId="{40E66A2B-760A-4FAD-8FC2-4C51D08E6EE6}">
      <dgm:prSet custT="1"/>
      <dgm:spPr/>
      <dgm:t>
        <a:bodyPr/>
        <a:lstStyle/>
        <a:p>
          <a:r>
            <a:rPr lang="uk-UA" sz="1000">
              <a:latin typeface="Times New Roman" pitchFamily="18" charset="0"/>
              <a:cs typeface="Times New Roman" pitchFamily="18" charset="0"/>
            </a:rPr>
            <a:t>Пенсії за роботу в несприятливому середовищі (за вислугу років)</a:t>
          </a:r>
        </a:p>
      </dgm:t>
    </dgm:pt>
    <dgm:pt modelId="{CD089009-BA70-4EC7-9853-ED280E6635BE}" type="parTrans" cxnId="{9E10DBA1-4A32-4BB5-816E-1DB97D607833}">
      <dgm:prSet/>
      <dgm:spPr/>
      <dgm:t>
        <a:bodyPr/>
        <a:lstStyle/>
        <a:p>
          <a:endParaRPr lang="uk-UA" sz="2800">
            <a:latin typeface="Times New Roman" pitchFamily="18" charset="0"/>
            <a:cs typeface="Times New Roman" pitchFamily="18" charset="0"/>
          </a:endParaRPr>
        </a:p>
      </dgm:t>
    </dgm:pt>
    <dgm:pt modelId="{19C01659-3A5B-4E67-BADF-F3DF58109769}" type="sibTrans" cxnId="{9E10DBA1-4A32-4BB5-816E-1DB97D607833}">
      <dgm:prSet/>
      <dgm:spPr/>
      <dgm:t>
        <a:bodyPr/>
        <a:lstStyle/>
        <a:p>
          <a:endParaRPr lang="uk-UA"/>
        </a:p>
      </dgm:t>
    </dgm:pt>
    <dgm:pt modelId="{3767FBF1-0690-46BC-9D79-951CE9221761}">
      <dgm:prSet custT="1"/>
      <dgm:spPr/>
      <dgm:t>
        <a:bodyPr/>
        <a:lstStyle/>
        <a:p>
          <a:r>
            <a:rPr lang="uk-UA" sz="1000">
              <a:latin typeface="Times New Roman" pitchFamily="18" charset="0"/>
              <a:cs typeface="Times New Roman" pitchFamily="18" charset="0"/>
            </a:rPr>
            <a:t>"Чорнобильські" пенсії</a:t>
          </a:r>
        </a:p>
      </dgm:t>
    </dgm:pt>
    <dgm:pt modelId="{F47D62FD-CF7E-4549-A1E6-F5D6DDC0F0C5}" type="parTrans" cxnId="{E9BA3B4A-FA61-46BD-9129-C281F442AB9A}">
      <dgm:prSet/>
      <dgm:spPr/>
      <dgm:t>
        <a:bodyPr/>
        <a:lstStyle/>
        <a:p>
          <a:endParaRPr lang="uk-UA" sz="2800">
            <a:latin typeface="Times New Roman" pitchFamily="18" charset="0"/>
            <a:cs typeface="Times New Roman" pitchFamily="18" charset="0"/>
          </a:endParaRPr>
        </a:p>
      </dgm:t>
    </dgm:pt>
    <dgm:pt modelId="{99C6D44F-B770-496F-B3C5-0945BEC18982}" type="sibTrans" cxnId="{E9BA3B4A-FA61-46BD-9129-C281F442AB9A}">
      <dgm:prSet/>
      <dgm:spPr/>
      <dgm:t>
        <a:bodyPr/>
        <a:lstStyle/>
        <a:p>
          <a:endParaRPr lang="uk-UA"/>
        </a:p>
      </dgm:t>
    </dgm:pt>
    <dgm:pt modelId="{D849B33D-3B44-4892-92F4-EE877EB03F41}">
      <dgm:prSet custT="1"/>
      <dgm:spPr/>
      <dgm:t>
        <a:bodyPr/>
        <a:lstStyle/>
        <a:p>
          <a:r>
            <a:rPr lang="uk-UA" sz="1000">
              <a:latin typeface="Times New Roman" pitchFamily="18" charset="0"/>
              <a:cs typeface="Times New Roman" pitchFamily="18" charset="0"/>
            </a:rPr>
            <a:t>Пенсії, повязані з медико-біологічними та соціальними причинами</a:t>
          </a:r>
        </a:p>
      </dgm:t>
    </dgm:pt>
    <dgm:pt modelId="{1E0C173F-3C62-4C96-A15A-F14919E1A93F}" type="parTrans" cxnId="{2DC7EE3E-2F0D-43DF-B6FD-3609BC91D43E}">
      <dgm:prSet/>
      <dgm:spPr/>
      <dgm:t>
        <a:bodyPr/>
        <a:lstStyle/>
        <a:p>
          <a:endParaRPr lang="uk-UA" sz="2800">
            <a:latin typeface="Times New Roman" pitchFamily="18" charset="0"/>
            <a:cs typeface="Times New Roman" pitchFamily="18" charset="0"/>
          </a:endParaRPr>
        </a:p>
      </dgm:t>
    </dgm:pt>
    <dgm:pt modelId="{9AA840C0-3EA4-4263-804C-E10D1629CF5A}" type="sibTrans" cxnId="{2DC7EE3E-2F0D-43DF-B6FD-3609BC91D43E}">
      <dgm:prSet/>
      <dgm:spPr/>
      <dgm:t>
        <a:bodyPr/>
        <a:lstStyle/>
        <a:p>
          <a:endParaRPr lang="uk-UA"/>
        </a:p>
      </dgm:t>
    </dgm:pt>
    <dgm:pt modelId="{F38E7AFF-C76D-49B1-8481-9560CD70DB09}">
      <dgm:prSet custT="1"/>
      <dgm:spPr/>
      <dgm:t>
        <a:bodyPr/>
        <a:lstStyle/>
        <a:p>
          <a:r>
            <a:rPr lang="uk-UA" sz="1000">
              <a:latin typeface="Times New Roman" pitchFamily="18" charset="0"/>
              <a:cs typeface="Times New Roman" pitchFamily="18" charset="0"/>
            </a:rPr>
            <a:t>Пенсії військовослужбовців</a:t>
          </a:r>
        </a:p>
      </dgm:t>
    </dgm:pt>
    <dgm:pt modelId="{281E3BB5-FC79-4405-8490-ACFF047EF8C6}" type="parTrans" cxnId="{8F57B52B-A835-4830-805E-84C83F2F00E9}">
      <dgm:prSet/>
      <dgm:spPr/>
      <dgm:t>
        <a:bodyPr/>
        <a:lstStyle/>
        <a:p>
          <a:endParaRPr lang="uk-UA" sz="2800">
            <a:latin typeface="Times New Roman" pitchFamily="18" charset="0"/>
            <a:cs typeface="Times New Roman" pitchFamily="18" charset="0"/>
          </a:endParaRPr>
        </a:p>
      </dgm:t>
    </dgm:pt>
    <dgm:pt modelId="{5B79162F-0658-487D-A83A-D1A7EED9CE92}" type="sibTrans" cxnId="{8F57B52B-A835-4830-805E-84C83F2F00E9}">
      <dgm:prSet/>
      <dgm:spPr/>
      <dgm:t>
        <a:bodyPr/>
        <a:lstStyle/>
        <a:p>
          <a:endParaRPr lang="uk-UA"/>
        </a:p>
      </dgm:t>
    </dgm:pt>
    <dgm:pt modelId="{29DBCC6E-056B-4E2E-A12E-DE7A44A7A7FE}">
      <dgm:prSet custT="1"/>
      <dgm:spPr/>
      <dgm:t>
        <a:bodyPr/>
        <a:lstStyle/>
        <a:p>
          <a:r>
            <a:rPr lang="uk-UA" sz="1000">
              <a:latin typeface="Times New Roman" pitchFamily="18" charset="0"/>
              <a:cs typeface="Times New Roman" pitchFamily="18" charset="0"/>
            </a:rPr>
            <a:t>Пенсії державних службовців та прирівнияних до них осіб</a:t>
          </a:r>
        </a:p>
      </dgm:t>
    </dgm:pt>
    <dgm:pt modelId="{2AC7AEB9-BFD5-45C8-97E4-7397DF08456C}" type="parTrans" cxnId="{27D95592-5BBC-479E-88F0-D2BD07D89F54}">
      <dgm:prSet/>
      <dgm:spPr/>
      <dgm:t>
        <a:bodyPr/>
        <a:lstStyle/>
        <a:p>
          <a:endParaRPr lang="uk-UA" sz="2800">
            <a:latin typeface="Times New Roman" pitchFamily="18" charset="0"/>
            <a:cs typeface="Times New Roman" pitchFamily="18" charset="0"/>
          </a:endParaRPr>
        </a:p>
      </dgm:t>
    </dgm:pt>
    <dgm:pt modelId="{01F7FD33-91CC-4669-AB4D-C87C5C9D6383}" type="sibTrans" cxnId="{27D95592-5BBC-479E-88F0-D2BD07D89F54}">
      <dgm:prSet/>
      <dgm:spPr/>
      <dgm:t>
        <a:bodyPr/>
        <a:lstStyle/>
        <a:p>
          <a:endParaRPr lang="uk-UA"/>
        </a:p>
      </dgm:t>
    </dgm:pt>
    <dgm:pt modelId="{0E58181B-0416-4A77-9616-29B99FCB0A84}">
      <dgm:prSet custT="1"/>
      <dgm:spPr/>
      <dgm:t>
        <a:bodyPr/>
        <a:lstStyle/>
        <a:p>
          <a:r>
            <a:rPr lang="uk-UA" sz="1000">
              <a:latin typeface="Times New Roman" pitchFamily="18" charset="0"/>
              <a:cs typeface="Times New Roman" pitchFamily="18" charset="0"/>
            </a:rPr>
            <a:t>Грошове утримання суддів</a:t>
          </a:r>
        </a:p>
      </dgm:t>
    </dgm:pt>
    <dgm:pt modelId="{9F0AC630-647C-40DC-B8E4-B8F94731C48F}" type="parTrans" cxnId="{8E06C6DD-7935-4CE5-A2C4-D46C32FB9516}">
      <dgm:prSet/>
      <dgm:spPr/>
      <dgm:t>
        <a:bodyPr/>
        <a:lstStyle/>
        <a:p>
          <a:endParaRPr lang="uk-UA" sz="2800">
            <a:latin typeface="Times New Roman" pitchFamily="18" charset="0"/>
            <a:cs typeface="Times New Roman" pitchFamily="18" charset="0"/>
          </a:endParaRPr>
        </a:p>
      </dgm:t>
    </dgm:pt>
    <dgm:pt modelId="{28CF2118-3E1F-45F9-B100-77684A76468A}" type="sibTrans" cxnId="{8E06C6DD-7935-4CE5-A2C4-D46C32FB9516}">
      <dgm:prSet/>
      <dgm:spPr/>
      <dgm:t>
        <a:bodyPr/>
        <a:lstStyle/>
        <a:p>
          <a:endParaRPr lang="uk-UA"/>
        </a:p>
      </dgm:t>
    </dgm:pt>
    <dgm:pt modelId="{9CB0F2CD-FCFE-4A7E-AFE6-6FC063F7FBDB}">
      <dgm:prSet custT="1"/>
      <dgm:spPr/>
      <dgm:t>
        <a:bodyPr/>
        <a:lstStyle/>
        <a:p>
          <a:r>
            <a:rPr lang="uk-UA" sz="1000">
              <a:latin typeface="Times New Roman" pitchFamily="18" charset="0"/>
              <a:cs typeface="Times New Roman" pitchFamily="18" charset="0"/>
            </a:rPr>
            <a:t>Пенсії прокурорських працівників</a:t>
          </a:r>
        </a:p>
      </dgm:t>
    </dgm:pt>
    <dgm:pt modelId="{92C6218E-46F8-4B39-AB49-E6350D5CBEF3}" type="parTrans" cxnId="{421671E6-5AAF-43A5-9072-B8836758DEE2}">
      <dgm:prSet/>
      <dgm:spPr/>
      <dgm:t>
        <a:bodyPr/>
        <a:lstStyle/>
        <a:p>
          <a:endParaRPr lang="uk-UA" sz="2800">
            <a:latin typeface="Times New Roman" pitchFamily="18" charset="0"/>
            <a:cs typeface="Times New Roman" pitchFamily="18" charset="0"/>
          </a:endParaRPr>
        </a:p>
      </dgm:t>
    </dgm:pt>
    <dgm:pt modelId="{0381DEE6-5C33-48F2-A483-C036278712D3}" type="sibTrans" cxnId="{421671E6-5AAF-43A5-9072-B8836758DEE2}">
      <dgm:prSet/>
      <dgm:spPr/>
      <dgm:t>
        <a:bodyPr/>
        <a:lstStyle/>
        <a:p>
          <a:endParaRPr lang="uk-UA"/>
        </a:p>
      </dgm:t>
    </dgm:pt>
    <dgm:pt modelId="{04CBF98A-96C6-4FDC-A099-F7E7B5EFF4FE}" type="pres">
      <dgm:prSet presAssocID="{359F3FEB-A982-47F3-9F6D-039DACD48A09}" presName="hierChild1" presStyleCnt="0">
        <dgm:presLayoutVars>
          <dgm:orgChart val="1"/>
          <dgm:chPref val="1"/>
          <dgm:dir/>
          <dgm:animOne val="branch"/>
          <dgm:animLvl val="lvl"/>
          <dgm:resizeHandles/>
        </dgm:presLayoutVars>
      </dgm:prSet>
      <dgm:spPr/>
      <dgm:t>
        <a:bodyPr/>
        <a:lstStyle/>
        <a:p>
          <a:endParaRPr lang="uk-UA"/>
        </a:p>
      </dgm:t>
    </dgm:pt>
    <dgm:pt modelId="{D39A17FF-C2E4-4CCF-AE32-5B0E0A2FB59B}" type="pres">
      <dgm:prSet presAssocID="{DB287439-9D3D-48F1-B2CD-5125C6C13B89}" presName="hierRoot1" presStyleCnt="0">
        <dgm:presLayoutVars>
          <dgm:hierBranch val="init"/>
        </dgm:presLayoutVars>
      </dgm:prSet>
      <dgm:spPr/>
    </dgm:pt>
    <dgm:pt modelId="{C45F9D07-A49F-47B4-83A9-C10E06A20083}" type="pres">
      <dgm:prSet presAssocID="{DB287439-9D3D-48F1-B2CD-5125C6C13B89}" presName="rootComposite1" presStyleCnt="0"/>
      <dgm:spPr/>
    </dgm:pt>
    <dgm:pt modelId="{FA513C75-F6FF-444E-9A31-228B4C24405D}" type="pres">
      <dgm:prSet presAssocID="{DB287439-9D3D-48F1-B2CD-5125C6C13B89}" presName="rootText1" presStyleLbl="node0" presStyleIdx="0" presStyleCnt="1" custLinFactNeighborX="77813" custLinFactNeighborY="12930">
        <dgm:presLayoutVars>
          <dgm:chPref val="3"/>
        </dgm:presLayoutVars>
      </dgm:prSet>
      <dgm:spPr/>
      <dgm:t>
        <a:bodyPr/>
        <a:lstStyle/>
        <a:p>
          <a:endParaRPr lang="uk-UA"/>
        </a:p>
      </dgm:t>
    </dgm:pt>
    <dgm:pt modelId="{1D4420C5-8F33-42C5-B383-FBED1AE92725}" type="pres">
      <dgm:prSet presAssocID="{DB287439-9D3D-48F1-B2CD-5125C6C13B89}" presName="rootConnector1" presStyleLbl="node1" presStyleIdx="0" presStyleCnt="0"/>
      <dgm:spPr/>
      <dgm:t>
        <a:bodyPr/>
        <a:lstStyle/>
        <a:p>
          <a:endParaRPr lang="uk-UA"/>
        </a:p>
      </dgm:t>
    </dgm:pt>
    <dgm:pt modelId="{430E85B7-A4AE-4C2E-A94B-7ADAA1613E7B}" type="pres">
      <dgm:prSet presAssocID="{DB287439-9D3D-48F1-B2CD-5125C6C13B89}" presName="hierChild2" presStyleCnt="0"/>
      <dgm:spPr/>
    </dgm:pt>
    <dgm:pt modelId="{E3CE39FA-0E7F-440C-AB38-185D7F4FF32B}" type="pres">
      <dgm:prSet presAssocID="{DB287439-9D3D-48F1-B2CD-5125C6C13B89}" presName="hierChild3" presStyleCnt="0"/>
      <dgm:spPr/>
    </dgm:pt>
    <dgm:pt modelId="{2CDBC3E9-C162-498E-8EF7-3669DE6F3D55}" type="pres">
      <dgm:prSet presAssocID="{B9DDE284-1446-4498-A344-B52EF08A1CFB}" presName="Name111" presStyleLbl="parChTrans1D2" presStyleIdx="0" presStyleCnt="2"/>
      <dgm:spPr/>
      <dgm:t>
        <a:bodyPr/>
        <a:lstStyle/>
        <a:p>
          <a:endParaRPr lang="uk-UA"/>
        </a:p>
      </dgm:t>
    </dgm:pt>
    <dgm:pt modelId="{03E0CFF3-124E-48BB-8A1A-B8DCE6B9062A}" type="pres">
      <dgm:prSet presAssocID="{E65BCD99-245B-4ADD-9DCA-62491E0E493D}" presName="hierRoot3" presStyleCnt="0">
        <dgm:presLayoutVars>
          <dgm:hierBranch val="init"/>
        </dgm:presLayoutVars>
      </dgm:prSet>
      <dgm:spPr/>
    </dgm:pt>
    <dgm:pt modelId="{5A99142C-D0E6-47A4-B83F-96FD7EE7F295}" type="pres">
      <dgm:prSet presAssocID="{E65BCD99-245B-4ADD-9DCA-62491E0E493D}" presName="rootComposite3" presStyleCnt="0"/>
      <dgm:spPr/>
    </dgm:pt>
    <dgm:pt modelId="{6AD6FDFE-4FA4-416B-BFE6-2EDF1D2F62D3}" type="pres">
      <dgm:prSet presAssocID="{E65BCD99-245B-4ADD-9DCA-62491E0E493D}" presName="rootText3" presStyleLbl="asst1" presStyleIdx="0" presStyleCnt="2" custLinFactNeighborX="65729" custLinFactNeighborY="-15533">
        <dgm:presLayoutVars>
          <dgm:chPref val="3"/>
        </dgm:presLayoutVars>
      </dgm:prSet>
      <dgm:spPr/>
      <dgm:t>
        <a:bodyPr/>
        <a:lstStyle/>
        <a:p>
          <a:endParaRPr lang="uk-UA"/>
        </a:p>
      </dgm:t>
    </dgm:pt>
    <dgm:pt modelId="{376541DA-572C-4024-AC47-05CDD18070C1}" type="pres">
      <dgm:prSet presAssocID="{E65BCD99-245B-4ADD-9DCA-62491E0E493D}" presName="rootConnector3" presStyleLbl="asst1" presStyleIdx="0" presStyleCnt="2"/>
      <dgm:spPr/>
      <dgm:t>
        <a:bodyPr/>
        <a:lstStyle/>
        <a:p>
          <a:endParaRPr lang="uk-UA"/>
        </a:p>
      </dgm:t>
    </dgm:pt>
    <dgm:pt modelId="{BF6746AC-71BB-4275-ABD6-4CCE1AB58E0D}" type="pres">
      <dgm:prSet presAssocID="{E65BCD99-245B-4ADD-9DCA-62491E0E493D}" presName="hierChild6" presStyleCnt="0"/>
      <dgm:spPr/>
    </dgm:pt>
    <dgm:pt modelId="{911CA37C-F4EC-430F-9B3C-AD91829B615B}" type="pres">
      <dgm:prSet presAssocID="{5FB1B093-D2A2-43C1-89EE-521370A22F8B}" presName="Name37" presStyleLbl="parChTrans1D3" presStyleIdx="0" presStyleCnt="6"/>
      <dgm:spPr/>
      <dgm:t>
        <a:bodyPr/>
        <a:lstStyle/>
        <a:p>
          <a:endParaRPr lang="uk-UA"/>
        </a:p>
      </dgm:t>
    </dgm:pt>
    <dgm:pt modelId="{2396B32C-8104-4A12-98E7-3A43C73C6964}" type="pres">
      <dgm:prSet presAssocID="{D94B3EF4-5175-45E8-AE0A-B1AC33C85480}" presName="hierRoot2" presStyleCnt="0">
        <dgm:presLayoutVars>
          <dgm:hierBranch val="init"/>
        </dgm:presLayoutVars>
      </dgm:prSet>
      <dgm:spPr/>
    </dgm:pt>
    <dgm:pt modelId="{C4A3D363-DB1E-430C-BD95-E879D37DB233}" type="pres">
      <dgm:prSet presAssocID="{D94B3EF4-5175-45E8-AE0A-B1AC33C85480}" presName="rootComposite" presStyleCnt="0"/>
      <dgm:spPr/>
    </dgm:pt>
    <dgm:pt modelId="{72024929-DA72-48E5-85F1-EC930BBCD67B}" type="pres">
      <dgm:prSet presAssocID="{D94B3EF4-5175-45E8-AE0A-B1AC33C85480}" presName="rootText" presStyleLbl="node3" presStyleIdx="0" presStyleCnt="6" custLinFactNeighborX="-81030" custLinFactNeighborY="-34666">
        <dgm:presLayoutVars>
          <dgm:chPref val="3"/>
        </dgm:presLayoutVars>
      </dgm:prSet>
      <dgm:spPr/>
      <dgm:t>
        <a:bodyPr/>
        <a:lstStyle/>
        <a:p>
          <a:endParaRPr lang="uk-UA"/>
        </a:p>
      </dgm:t>
    </dgm:pt>
    <dgm:pt modelId="{B63487C5-8A88-4519-A74E-F60500049AA5}" type="pres">
      <dgm:prSet presAssocID="{D94B3EF4-5175-45E8-AE0A-B1AC33C85480}" presName="rootConnector" presStyleLbl="node3" presStyleIdx="0" presStyleCnt="6"/>
      <dgm:spPr/>
      <dgm:t>
        <a:bodyPr/>
        <a:lstStyle/>
        <a:p>
          <a:endParaRPr lang="uk-UA"/>
        </a:p>
      </dgm:t>
    </dgm:pt>
    <dgm:pt modelId="{58CB1E83-DE7A-4772-A5C5-0CFB5FC295C5}" type="pres">
      <dgm:prSet presAssocID="{D94B3EF4-5175-45E8-AE0A-B1AC33C85480}" presName="hierChild4" presStyleCnt="0"/>
      <dgm:spPr/>
    </dgm:pt>
    <dgm:pt modelId="{2C8BDCEE-EA68-466A-8AE6-4E8439380258}" type="pres">
      <dgm:prSet presAssocID="{D94B3EF4-5175-45E8-AE0A-B1AC33C85480}" presName="hierChild5" presStyleCnt="0"/>
      <dgm:spPr/>
    </dgm:pt>
    <dgm:pt modelId="{6A2E1535-C969-4EAA-8DA6-2878576F715B}" type="pres">
      <dgm:prSet presAssocID="{1FD4C5E6-3D2F-408A-BEE4-BC1040B8756D}" presName="Name37" presStyleLbl="parChTrans1D3" presStyleIdx="1" presStyleCnt="6"/>
      <dgm:spPr/>
      <dgm:t>
        <a:bodyPr/>
        <a:lstStyle/>
        <a:p>
          <a:endParaRPr lang="uk-UA"/>
        </a:p>
      </dgm:t>
    </dgm:pt>
    <dgm:pt modelId="{CD70FF2B-F6B9-4C06-A0F3-A33588B94BA7}" type="pres">
      <dgm:prSet presAssocID="{0CA6D434-0D8E-49FC-B209-B8767446B8A7}" presName="hierRoot2" presStyleCnt="0">
        <dgm:presLayoutVars>
          <dgm:hierBranch val="init"/>
        </dgm:presLayoutVars>
      </dgm:prSet>
      <dgm:spPr/>
    </dgm:pt>
    <dgm:pt modelId="{B95D8A93-C50B-4F66-8EA5-DF1407F7CF8B}" type="pres">
      <dgm:prSet presAssocID="{0CA6D434-0D8E-49FC-B209-B8767446B8A7}" presName="rootComposite" presStyleCnt="0"/>
      <dgm:spPr/>
    </dgm:pt>
    <dgm:pt modelId="{EC20E33D-2693-41A3-8CEC-0B13673405AB}" type="pres">
      <dgm:prSet presAssocID="{0CA6D434-0D8E-49FC-B209-B8767446B8A7}" presName="rootText" presStyleLbl="node3" presStyleIdx="1" presStyleCnt="6" custLinFactX="-100000" custLinFactNeighborX="-135189" custLinFactNeighborY="-50418">
        <dgm:presLayoutVars>
          <dgm:chPref val="3"/>
        </dgm:presLayoutVars>
      </dgm:prSet>
      <dgm:spPr/>
      <dgm:t>
        <a:bodyPr/>
        <a:lstStyle/>
        <a:p>
          <a:endParaRPr lang="uk-UA"/>
        </a:p>
      </dgm:t>
    </dgm:pt>
    <dgm:pt modelId="{1EF179EA-41FD-4489-8A24-77C0D724AC3E}" type="pres">
      <dgm:prSet presAssocID="{0CA6D434-0D8E-49FC-B209-B8767446B8A7}" presName="rootConnector" presStyleLbl="node3" presStyleIdx="1" presStyleCnt="6"/>
      <dgm:spPr/>
      <dgm:t>
        <a:bodyPr/>
        <a:lstStyle/>
        <a:p>
          <a:endParaRPr lang="uk-UA"/>
        </a:p>
      </dgm:t>
    </dgm:pt>
    <dgm:pt modelId="{C97F6951-13BE-4213-B2AF-E504B4E28393}" type="pres">
      <dgm:prSet presAssocID="{0CA6D434-0D8E-49FC-B209-B8767446B8A7}" presName="hierChild4" presStyleCnt="0"/>
      <dgm:spPr/>
    </dgm:pt>
    <dgm:pt modelId="{C4D23150-D776-45DD-A2DA-96FEC6511119}" type="pres">
      <dgm:prSet presAssocID="{0CA6D434-0D8E-49FC-B209-B8767446B8A7}" presName="hierChild5" presStyleCnt="0"/>
      <dgm:spPr/>
    </dgm:pt>
    <dgm:pt modelId="{9480D1FE-C189-4E53-B8FF-03CB7555120F}" type="pres">
      <dgm:prSet presAssocID="{E9D9BECE-01CD-4647-8748-C2CD20EC1476}" presName="Name37" presStyleLbl="parChTrans1D3" presStyleIdx="2" presStyleCnt="6"/>
      <dgm:spPr/>
      <dgm:t>
        <a:bodyPr/>
        <a:lstStyle/>
        <a:p>
          <a:endParaRPr lang="uk-UA"/>
        </a:p>
      </dgm:t>
    </dgm:pt>
    <dgm:pt modelId="{ED0DBDF7-3E16-41DF-AE3B-7B80360A8839}" type="pres">
      <dgm:prSet presAssocID="{C6F1E3D9-B455-4DBB-AF81-84D3513AD72F}" presName="hierRoot2" presStyleCnt="0">
        <dgm:presLayoutVars>
          <dgm:hierBranch val="init"/>
        </dgm:presLayoutVars>
      </dgm:prSet>
      <dgm:spPr/>
    </dgm:pt>
    <dgm:pt modelId="{60F8E94B-9450-4119-9B5D-DD1F0A52B5A3}" type="pres">
      <dgm:prSet presAssocID="{C6F1E3D9-B455-4DBB-AF81-84D3513AD72F}" presName="rootComposite" presStyleCnt="0"/>
      <dgm:spPr/>
    </dgm:pt>
    <dgm:pt modelId="{33B5AA7F-6413-4BAA-A8EC-E7D87E47413C}" type="pres">
      <dgm:prSet presAssocID="{C6F1E3D9-B455-4DBB-AF81-84D3513AD72F}" presName="rootText" presStyleLbl="node3" presStyleIdx="2" presStyleCnt="6" custLinFactX="-100000" custLinFactNeighborX="-130451" custLinFactNeighborY="-55501">
        <dgm:presLayoutVars>
          <dgm:chPref val="3"/>
        </dgm:presLayoutVars>
      </dgm:prSet>
      <dgm:spPr/>
      <dgm:t>
        <a:bodyPr/>
        <a:lstStyle/>
        <a:p>
          <a:endParaRPr lang="uk-UA"/>
        </a:p>
      </dgm:t>
    </dgm:pt>
    <dgm:pt modelId="{1A42E9DE-B083-4C0D-B909-19CEA4B7CD7E}" type="pres">
      <dgm:prSet presAssocID="{C6F1E3D9-B455-4DBB-AF81-84D3513AD72F}" presName="rootConnector" presStyleLbl="node3" presStyleIdx="2" presStyleCnt="6"/>
      <dgm:spPr/>
      <dgm:t>
        <a:bodyPr/>
        <a:lstStyle/>
        <a:p>
          <a:endParaRPr lang="uk-UA"/>
        </a:p>
      </dgm:t>
    </dgm:pt>
    <dgm:pt modelId="{A3CBE4D1-A968-4D74-9566-1A36251B600B}" type="pres">
      <dgm:prSet presAssocID="{C6F1E3D9-B455-4DBB-AF81-84D3513AD72F}" presName="hierChild4" presStyleCnt="0"/>
      <dgm:spPr/>
    </dgm:pt>
    <dgm:pt modelId="{728A8E1E-E842-44FB-892D-816592FB9519}" type="pres">
      <dgm:prSet presAssocID="{C6F1E3D9-B455-4DBB-AF81-84D3513AD72F}" presName="hierChild5" presStyleCnt="0"/>
      <dgm:spPr/>
    </dgm:pt>
    <dgm:pt modelId="{923EE1E2-4467-4961-A708-616B1CD67725}" type="pres">
      <dgm:prSet presAssocID="{6F0EDF83-3477-45D1-85E6-21681F0C2BB1}" presName="Name37" presStyleLbl="parChTrans1D3" presStyleIdx="3" presStyleCnt="6"/>
      <dgm:spPr/>
      <dgm:t>
        <a:bodyPr/>
        <a:lstStyle/>
        <a:p>
          <a:endParaRPr lang="uk-UA"/>
        </a:p>
      </dgm:t>
    </dgm:pt>
    <dgm:pt modelId="{FB6D271B-367B-4F3C-A536-64C0F56707D8}" type="pres">
      <dgm:prSet presAssocID="{314394AA-1EB4-4B6F-9820-F8A2270061A3}" presName="hierRoot2" presStyleCnt="0">
        <dgm:presLayoutVars>
          <dgm:hierBranch val="init"/>
        </dgm:presLayoutVars>
      </dgm:prSet>
      <dgm:spPr/>
    </dgm:pt>
    <dgm:pt modelId="{431E5A49-1B8E-436F-8C9B-1EFC16907D8E}" type="pres">
      <dgm:prSet presAssocID="{314394AA-1EB4-4B6F-9820-F8A2270061A3}" presName="rootComposite" presStyleCnt="0"/>
      <dgm:spPr/>
    </dgm:pt>
    <dgm:pt modelId="{5ECAE7D7-C4EC-4E10-B242-ED17731120C2}" type="pres">
      <dgm:prSet presAssocID="{314394AA-1EB4-4B6F-9820-F8A2270061A3}" presName="rootText" presStyleLbl="node3" presStyleIdx="3" presStyleCnt="6" custScaleX="94798" custScaleY="227060" custLinFactNeighborX="-95229" custLinFactNeighborY="-55645">
        <dgm:presLayoutVars>
          <dgm:chPref val="3"/>
        </dgm:presLayoutVars>
      </dgm:prSet>
      <dgm:spPr/>
      <dgm:t>
        <a:bodyPr/>
        <a:lstStyle/>
        <a:p>
          <a:endParaRPr lang="uk-UA"/>
        </a:p>
      </dgm:t>
    </dgm:pt>
    <dgm:pt modelId="{D09F9F0D-C23D-40E4-843C-5B3C293FB655}" type="pres">
      <dgm:prSet presAssocID="{314394AA-1EB4-4B6F-9820-F8A2270061A3}" presName="rootConnector" presStyleLbl="node3" presStyleIdx="3" presStyleCnt="6"/>
      <dgm:spPr/>
      <dgm:t>
        <a:bodyPr/>
        <a:lstStyle/>
        <a:p>
          <a:endParaRPr lang="uk-UA"/>
        </a:p>
      </dgm:t>
    </dgm:pt>
    <dgm:pt modelId="{DBB29116-68F4-4877-9A47-A25A4289D0F0}" type="pres">
      <dgm:prSet presAssocID="{314394AA-1EB4-4B6F-9820-F8A2270061A3}" presName="hierChild4" presStyleCnt="0"/>
      <dgm:spPr/>
    </dgm:pt>
    <dgm:pt modelId="{276AA002-C365-4A53-A5AE-73014090B9DE}" type="pres">
      <dgm:prSet presAssocID="{314394AA-1EB4-4B6F-9820-F8A2270061A3}" presName="hierChild5" presStyleCnt="0"/>
      <dgm:spPr/>
    </dgm:pt>
    <dgm:pt modelId="{6CEA9CAF-FFFB-4400-BFD8-667B9E799F35}" type="pres">
      <dgm:prSet presAssocID="{E65BCD99-245B-4ADD-9DCA-62491E0E493D}" presName="hierChild7" presStyleCnt="0"/>
      <dgm:spPr/>
    </dgm:pt>
    <dgm:pt modelId="{CBC5DB70-0C49-44A1-A73C-8D1FDFADB896}" type="pres">
      <dgm:prSet presAssocID="{397A495D-808A-4C52-B185-116DE71F5070}" presName="Name111" presStyleLbl="parChTrans1D2" presStyleIdx="1" presStyleCnt="2"/>
      <dgm:spPr/>
      <dgm:t>
        <a:bodyPr/>
        <a:lstStyle/>
        <a:p>
          <a:endParaRPr lang="uk-UA"/>
        </a:p>
      </dgm:t>
    </dgm:pt>
    <dgm:pt modelId="{2D904726-5726-4189-A73E-44E039ED3889}" type="pres">
      <dgm:prSet presAssocID="{A2B00ECE-6F20-4819-8744-857D5EC073AE}" presName="hierRoot3" presStyleCnt="0">
        <dgm:presLayoutVars>
          <dgm:hierBranch val="init"/>
        </dgm:presLayoutVars>
      </dgm:prSet>
      <dgm:spPr/>
    </dgm:pt>
    <dgm:pt modelId="{7E655076-F11F-4FC1-96D6-D21E42611420}" type="pres">
      <dgm:prSet presAssocID="{A2B00ECE-6F20-4819-8744-857D5EC073AE}" presName="rootComposite3" presStyleCnt="0"/>
      <dgm:spPr/>
    </dgm:pt>
    <dgm:pt modelId="{8803DD01-707C-4141-826F-B2BFD8D50F46}" type="pres">
      <dgm:prSet presAssocID="{A2B00ECE-6F20-4819-8744-857D5EC073AE}" presName="rootText3" presStyleLbl="asst1" presStyleIdx="1" presStyleCnt="2" custLinFactNeighborX="51069" custLinFactNeighborY="-19003">
        <dgm:presLayoutVars>
          <dgm:chPref val="3"/>
        </dgm:presLayoutVars>
      </dgm:prSet>
      <dgm:spPr/>
      <dgm:t>
        <a:bodyPr/>
        <a:lstStyle/>
        <a:p>
          <a:endParaRPr lang="uk-UA"/>
        </a:p>
      </dgm:t>
    </dgm:pt>
    <dgm:pt modelId="{D55A28BE-14E8-4ECB-9CA8-657B938CCCB2}" type="pres">
      <dgm:prSet presAssocID="{A2B00ECE-6F20-4819-8744-857D5EC073AE}" presName="rootConnector3" presStyleLbl="asst1" presStyleIdx="1" presStyleCnt="2"/>
      <dgm:spPr/>
      <dgm:t>
        <a:bodyPr/>
        <a:lstStyle/>
        <a:p>
          <a:endParaRPr lang="uk-UA"/>
        </a:p>
      </dgm:t>
    </dgm:pt>
    <dgm:pt modelId="{C59D000F-B1A8-4153-9F11-4FA3A93860BA}" type="pres">
      <dgm:prSet presAssocID="{A2B00ECE-6F20-4819-8744-857D5EC073AE}" presName="hierChild6" presStyleCnt="0"/>
      <dgm:spPr/>
    </dgm:pt>
    <dgm:pt modelId="{092D1926-4824-4A75-B0A6-E546DD615087}" type="pres">
      <dgm:prSet presAssocID="{9F021694-AD8F-4371-A2D1-13EE4F946CD7}" presName="Name37" presStyleLbl="parChTrans1D3" presStyleIdx="4" presStyleCnt="6"/>
      <dgm:spPr/>
      <dgm:t>
        <a:bodyPr/>
        <a:lstStyle/>
        <a:p>
          <a:endParaRPr lang="uk-UA"/>
        </a:p>
      </dgm:t>
    </dgm:pt>
    <dgm:pt modelId="{ADDE8380-ED52-4D60-A89D-DF5F7194D0C8}" type="pres">
      <dgm:prSet presAssocID="{CEE37B82-F776-4285-845F-CF580F9739D6}" presName="hierRoot2" presStyleCnt="0">
        <dgm:presLayoutVars>
          <dgm:hierBranch val="init"/>
        </dgm:presLayoutVars>
      </dgm:prSet>
      <dgm:spPr/>
    </dgm:pt>
    <dgm:pt modelId="{B44931B2-E0DF-4E11-941F-1AB240735788}" type="pres">
      <dgm:prSet presAssocID="{CEE37B82-F776-4285-845F-CF580F9739D6}" presName="rootComposite" presStyleCnt="0"/>
      <dgm:spPr/>
    </dgm:pt>
    <dgm:pt modelId="{5D381341-E99E-42F2-AD14-667359BED962}" type="pres">
      <dgm:prSet presAssocID="{CEE37B82-F776-4285-845F-CF580F9739D6}" presName="rootText" presStyleLbl="node3" presStyleIdx="4" presStyleCnt="6" custScaleX="122008" custScaleY="84832" custLinFactNeighborX="-11746" custLinFactNeighborY="-10592">
        <dgm:presLayoutVars>
          <dgm:chPref val="3"/>
        </dgm:presLayoutVars>
      </dgm:prSet>
      <dgm:spPr/>
      <dgm:t>
        <a:bodyPr/>
        <a:lstStyle/>
        <a:p>
          <a:endParaRPr lang="uk-UA"/>
        </a:p>
      </dgm:t>
    </dgm:pt>
    <dgm:pt modelId="{8CB8FF57-1035-42B6-8C4F-4851BDE4A6A6}" type="pres">
      <dgm:prSet presAssocID="{CEE37B82-F776-4285-845F-CF580F9739D6}" presName="rootConnector" presStyleLbl="node3" presStyleIdx="4" presStyleCnt="6"/>
      <dgm:spPr/>
      <dgm:t>
        <a:bodyPr/>
        <a:lstStyle/>
        <a:p>
          <a:endParaRPr lang="uk-UA"/>
        </a:p>
      </dgm:t>
    </dgm:pt>
    <dgm:pt modelId="{04EBF226-5917-459C-99B9-69089D27C666}" type="pres">
      <dgm:prSet presAssocID="{CEE37B82-F776-4285-845F-CF580F9739D6}" presName="hierChild4" presStyleCnt="0"/>
      <dgm:spPr/>
    </dgm:pt>
    <dgm:pt modelId="{F2AE1522-4092-427B-A928-89BB3F4A985C}" type="pres">
      <dgm:prSet presAssocID="{324A8C34-298D-49F1-B782-BF4465A828F3}" presName="Name37" presStyleLbl="parChTrans1D4" presStyleIdx="0" presStyleCnt="8"/>
      <dgm:spPr/>
      <dgm:t>
        <a:bodyPr/>
        <a:lstStyle/>
        <a:p>
          <a:endParaRPr lang="uk-UA"/>
        </a:p>
      </dgm:t>
    </dgm:pt>
    <dgm:pt modelId="{097E7DDC-4540-400D-9837-EE7279C7C39B}" type="pres">
      <dgm:prSet presAssocID="{F84D81DD-8FA3-4B2A-A638-EE3C3AD5F018}" presName="hierRoot2" presStyleCnt="0">
        <dgm:presLayoutVars>
          <dgm:hierBranch val="init"/>
        </dgm:presLayoutVars>
      </dgm:prSet>
      <dgm:spPr/>
    </dgm:pt>
    <dgm:pt modelId="{041453E2-5A86-4650-AA42-A15268CD0F3C}" type="pres">
      <dgm:prSet presAssocID="{F84D81DD-8FA3-4B2A-A638-EE3C3AD5F018}" presName="rootComposite" presStyleCnt="0"/>
      <dgm:spPr/>
    </dgm:pt>
    <dgm:pt modelId="{D0352B14-D69F-4240-92D9-87B4B9144B85}" type="pres">
      <dgm:prSet presAssocID="{F84D81DD-8FA3-4B2A-A638-EE3C3AD5F018}" presName="rootText" presStyleLbl="node4" presStyleIdx="0" presStyleCnt="8" custScaleX="119004" custScaleY="165583" custLinFactNeighborX="-75073" custLinFactNeighborY="7992">
        <dgm:presLayoutVars>
          <dgm:chPref val="3"/>
        </dgm:presLayoutVars>
      </dgm:prSet>
      <dgm:spPr/>
      <dgm:t>
        <a:bodyPr/>
        <a:lstStyle/>
        <a:p>
          <a:endParaRPr lang="uk-UA"/>
        </a:p>
      </dgm:t>
    </dgm:pt>
    <dgm:pt modelId="{24B19DB5-F751-4F8D-879B-84FB1B5D0B25}" type="pres">
      <dgm:prSet presAssocID="{F84D81DD-8FA3-4B2A-A638-EE3C3AD5F018}" presName="rootConnector" presStyleLbl="node4" presStyleIdx="0" presStyleCnt="8"/>
      <dgm:spPr/>
      <dgm:t>
        <a:bodyPr/>
        <a:lstStyle/>
        <a:p>
          <a:endParaRPr lang="uk-UA"/>
        </a:p>
      </dgm:t>
    </dgm:pt>
    <dgm:pt modelId="{D3517CA9-A053-41A4-9364-FF137853C41E}" type="pres">
      <dgm:prSet presAssocID="{F84D81DD-8FA3-4B2A-A638-EE3C3AD5F018}" presName="hierChild4" presStyleCnt="0"/>
      <dgm:spPr/>
    </dgm:pt>
    <dgm:pt modelId="{A1602072-F90D-4522-9FF4-8E22A42F57B3}" type="pres">
      <dgm:prSet presAssocID="{F84D81DD-8FA3-4B2A-A638-EE3C3AD5F018}" presName="hierChild5" presStyleCnt="0"/>
      <dgm:spPr/>
    </dgm:pt>
    <dgm:pt modelId="{20EC15D6-818F-4A5A-BB93-DEF8F02BE5AC}" type="pres">
      <dgm:prSet presAssocID="{CD089009-BA70-4EC7-9853-ED280E6635BE}" presName="Name37" presStyleLbl="parChTrans1D4" presStyleIdx="1" presStyleCnt="8"/>
      <dgm:spPr/>
      <dgm:t>
        <a:bodyPr/>
        <a:lstStyle/>
        <a:p>
          <a:endParaRPr lang="uk-UA"/>
        </a:p>
      </dgm:t>
    </dgm:pt>
    <dgm:pt modelId="{0764F77F-9AFE-4792-9D86-6A4D2BF7283A}" type="pres">
      <dgm:prSet presAssocID="{40E66A2B-760A-4FAD-8FC2-4C51D08E6EE6}" presName="hierRoot2" presStyleCnt="0">
        <dgm:presLayoutVars>
          <dgm:hierBranch val="init"/>
        </dgm:presLayoutVars>
      </dgm:prSet>
      <dgm:spPr/>
    </dgm:pt>
    <dgm:pt modelId="{70A858CB-6FB0-4430-8CE2-1BEFCC395CCD}" type="pres">
      <dgm:prSet presAssocID="{40E66A2B-760A-4FAD-8FC2-4C51D08E6EE6}" presName="rootComposite" presStyleCnt="0"/>
      <dgm:spPr/>
    </dgm:pt>
    <dgm:pt modelId="{A498F34B-50A1-4767-BAC8-4557C9DBD301}" type="pres">
      <dgm:prSet presAssocID="{40E66A2B-760A-4FAD-8FC2-4C51D08E6EE6}" presName="rootText" presStyleLbl="node4" presStyleIdx="1" presStyleCnt="8" custLinFactNeighborX="-76372" custLinFactNeighborY="1295">
        <dgm:presLayoutVars>
          <dgm:chPref val="3"/>
        </dgm:presLayoutVars>
      </dgm:prSet>
      <dgm:spPr/>
      <dgm:t>
        <a:bodyPr/>
        <a:lstStyle/>
        <a:p>
          <a:endParaRPr lang="uk-UA"/>
        </a:p>
      </dgm:t>
    </dgm:pt>
    <dgm:pt modelId="{A773D5FD-524B-4A26-9B75-E1853F22186C}" type="pres">
      <dgm:prSet presAssocID="{40E66A2B-760A-4FAD-8FC2-4C51D08E6EE6}" presName="rootConnector" presStyleLbl="node4" presStyleIdx="1" presStyleCnt="8"/>
      <dgm:spPr/>
      <dgm:t>
        <a:bodyPr/>
        <a:lstStyle/>
        <a:p>
          <a:endParaRPr lang="uk-UA"/>
        </a:p>
      </dgm:t>
    </dgm:pt>
    <dgm:pt modelId="{7C79A2C6-8FCA-43EC-B089-AE26018C77A4}" type="pres">
      <dgm:prSet presAssocID="{40E66A2B-760A-4FAD-8FC2-4C51D08E6EE6}" presName="hierChild4" presStyleCnt="0"/>
      <dgm:spPr/>
    </dgm:pt>
    <dgm:pt modelId="{58B3BCBA-91FA-433B-8E22-63BA87116337}" type="pres">
      <dgm:prSet presAssocID="{40E66A2B-760A-4FAD-8FC2-4C51D08E6EE6}" presName="hierChild5" presStyleCnt="0"/>
      <dgm:spPr/>
    </dgm:pt>
    <dgm:pt modelId="{04D3408C-D2D1-459A-961A-0CAA33B8C67D}" type="pres">
      <dgm:prSet presAssocID="{F47D62FD-CF7E-4549-A1E6-F5D6DDC0F0C5}" presName="Name37" presStyleLbl="parChTrans1D4" presStyleIdx="2" presStyleCnt="8"/>
      <dgm:spPr/>
      <dgm:t>
        <a:bodyPr/>
        <a:lstStyle/>
        <a:p>
          <a:endParaRPr lang="uk-UA"/>
        </a:p>
      </dgm:t>
    </dgm:pt>
    <dgm:pt modelId="{884579F5-C202-4C22-9E0A-96D2E0AB15F2}" type="pres">
      <dgm:prSet presAssocID="{3767FBF1-0690-46BC-9D79-951CE9221761}" presName="hierRoot2" presStyleCnt="0">
        <dgm:presLayoutVars>
          <dgm:hierBranch val="init"/>
        </dgm:presLayoutVars>
      </dgm:prSet>
      <dgm:spPr/>
    </dgm:pt>
    <dgm:pt modelId="{FA0DFCED-0920-4794-8DD8-BCED6F24C470}" type="pres">
      <dgm:prSet presAssocID="{3767FBF1-0690-46BC-9D79-951CE9221761}" presName="rootComposite" presStyleCnt="0"/>
      <dgm:spPr/>
    </dgm:pt>
    <dgm:pt modelId="{453DCF9C-28EB-4834-B461-8088802BC2DF}" type="pres">
      <dgm:prSet presAssocID="{3767FBF1-0690-46BC-9D79-951CE9221761}" presName="rootText" presStyleLbl="node4" presStyleIdx="2" presStyleCnt="8" custLinFactNeighborX="-75915" custLinFactNeighborY="-141">
        <dgm:presLayoutVars>
          <dgm:chPref val="3"/>
        </dgm:presLayoutVars>
      </dgm:prSet>
      <dgm:spPr/>
      <dgm:t>
        <a:bodyPr/>
        <a:lstStyle/>
        <a:p>
          <a:endParaRPr lang="uk-UA"/>
        </a:p>
      </dgm:t>
    </dgm:pt>
    <dgm:pt modelId="{0153C27F-F1D1-40A5-AC69-143030DA4605}" type="pres">
      <dgm:prSet presAssocID="{3767FBF1-0690-46BC-9D79-951CE9221761}" presName="rootConnector" presStyleLbl="node4" presStyleIdx="2" presStyleCnt="8"/>
      <dgm:spPr/>
      <dgm:t>
        <a:bodyPr/>
        <a:lstStyle/>
        <a:p>
          <a:endParaRPr lang="uk-UA"/>
        </a:p>
      </dgm:t>
    </dgm:pt>
    <dgm:pt modelId="{98F76A45-0770-435D-8120-DB7FBD014B76}" type="pres">
      <dgm:prSet presAssocID="{3767FBF1-0690-46BC-9D79-951CE9221761}" presName="hierChild4" presStyleCnt="0"/>
      <dgm:spPr/>
    </dgm:pt>
    <dgm:pt modelId="{C40E89FC-F3AA-4F74-BEDB-A2051701E053}" type="pres">
      <dgm:prSet presAssocID="{3767FBF1-0690-46BC-9D79-951CE9221761}" presName="hierChild5" presStyleCnt="0"/>
      <dgm:spPr/>
    </dgm:pt>
    <dgm:pt modelId="{6813C660-EC97-40C9-B71F-495CF8215AA0}" type="pres">
      <dgm:prSet presAssocID="{1E0C173F-3C62-4C96-A15A-F14919E1A93F}" presName="Name37" presStyleLbl="parChTrans1D4" presStyleIdx="3" presStyleCnt="8"/>
      <dgm:spPr/>
      <dgm:t>
        <a:bodyPr/>
        <a:lstStyle/>
        <a:p>
          <a:endParaRPr lang="uk-UA"/>
        </a:p>
      </dgm:t>
    </dgm:pt>
    <dgm:pt modelId="{EDF7F834-7DBE-4EF7-AFA5-2259938E06B3}" type="pres">
      <dgm:prSet presAssocID="{D849B33D-3B44-4892-92F4-EE877EB03F41}" presName="hierRoot2" presStyleCnt="0">
        <dgm:presLayoutVars>
          <dgm:hierBranch val="init"/>
        </dgm:presLayoutVars>
      </dgm:prSet>
      <dgm:spPr/>
    </dgm:pt>
    <dgm:pt modelId="{A3B305DA-FEF3-41B7-9155-FF39F39DF8FC}" type="pres">
      <dgm:prSet presAssocID="{D849B33D-3B44-4892-92F4-EE877EB03F41}" presName="rootComposite" presStyleCnt="0"/>
      <dgm:spPr/>
    </dgm:pt>
    <dgm:pt modelId="{BA6301BD-0033-44EA-BA1A-18A35FF65B55}" type="pres">
      <dgm:prSet presAssocID="{D849B33D-3B44-4892-92F4-EE877EB03F41}" presName="rootText" presStyleLbl="node4" presStyleIdx="3" presStyleCnt="8" custScaleX="105660" custScaleY="131178" custLinFactNeighborX="-73943" custLinFactNeighborY="5100">
        <dgm:presLayoutVars>
          <dgm:chPref val="3"/>
        </dgm:presLayoutVars>
      </dgm:prSet>
      <dgm:spPr/>
      <dgm:t>
        <a:bodyPr/>
        <a:lstStyle/>
        <a:p>
          <a:endParaRPr lang="uk-UA"/>
        </a:p>
      </dgm:t>
    </dgm:pt>
    <dgm:pt modelId="{BA269139-A381-4928-9D67-8428869497E1}" type="pres">
      <dgm:prSet presAssocID="{D849B33D-3B44-4892-92F4-EE877EB03F41}" presName="rootConnector" presStyleLbl="node4" presStyleIdx="3" presStyleCnt="8"/>
      <dgm:spPr/>
      <dgm:t>
        <a:bodyPr/>
        <a:lstStyle/>
        <a:p>
          <a:endParaRPr lang="uk-UA"/>
        </a:p>
      </dgm:t>
    </dgm:pt>
    <dgm:pt modelId="{B369D2DC-68E3-4918-9645-E495A260CF59}" type="pres">
      <dgm:prSet presAssocID="{D849B33D-3B44-4892-92F4-EE877EB03F41}" presName="hierChild4" presStyleCnt="0"/>
      <dgm:spPr/>
    </dgm:pt>
    <dgm:pt modelId="{BC904A00-8603-4762-980A-E3C7AFDA1A6E}" type="pres">
      <dgm:prSet presAssocID="{D849B33D-3B44-4892-92F4-EE877EB03F41}" presName="hierChild5" presStyleCnt="0"/>
      <dgm:spPr/>
    </dgm:pt>
    <dgm:pt modelId="{8FC292D6-6A45-4BFD-8FCE-ABB57706C69B}" type="pres">
      <dgm:prSet presAssocID="{CEE37B82-F776-4285-845F-CF580F9739D6}" presName="hierChild5" presStyleCnt="0"/>
      <dgm:spPr/>
    </dgm:pt>
    <dgm:pt modelId="{32D92D73-BE35-4C07-BB21-70E81DFEACC5}" type="pres">
      <dgm:prSet presAssocID="{16B30C51-1697-43EE-A090-E628AE2EBFB5}" presName="Name37" presStyleLbl="parChTrans1D3" presStyleIdx="5" presStyleCnt="6"/>
      <dgm:spPr/>
      <dgm:t>
        <a:bodyPr/>
        <a:lstStyle/>
        <a:p>
          <a:endParaRPr lang="uk-UA"/>
        </a:p>
      </dgm:t>
    </dgm:pt>
    <dgm:pt modelId="{431FABAD-F61C-4E8A-AEE5-0535785E34FF}" type="pres">
      <dgm:prSet presAssocID="{6E95CE70-2191-43E6-A8CE-F423ACC671F3}" presName="hierRoot2" presStyleCnt="0">
        <dgm:presLayoutVars>
          <dgm:hierBranch val="init"/>
        </dgm:presLayoutVars>
      </dgm:prSet>
      <dgm:spPr/>
    </dgm:pt>
    <dgm:pt modelId="{620533B7-888F-4A8B-A737-C0A9D8E1BB0A}" type="pres">
      <dgm:prSet presAssocID="{6E95CE70-2191-43E6-A8CE-F423ACC671F3}" presName="rootComposite" presStyleCnt="0"/>
      <dgm:spPr/>
    </dgm:pt>
    <dgm:pt modelId="{47951F34-5903-42BE-B089-07D28F15B6F1}" type="pres">
      <dgm:prSet presAssocID="{6E95CE70-2191-43E6-A8CE-F423ACC671F3}" presName="rootText" presStyleLbl="node3" presStyleIdx="5" presStyleCnt="6" custScaleX="141661" custScaleY="152436" custLinFactNeighborX="30699" custLinFactNeighborY="-1927">
        <dgm:presLayoutVars>
          <dgm:chPref val="3"/>
        </dgm:presLayoutVars>
      </dgm:prSet>
      <dgm:spPr/>
      <dgm:t>
        <a:bodyPr/>
        <a:lstStyle/>
        <a:p>
          <a:endParaRPr lang="uk-UA"/>
        </a:p>
      </dgm:t>
    </dgm:pt>
    <dgm:pt modelId="{4F9B9AFC-1FDF-4D52-BBA0-C17B95154A51}" type="pres">
      <dgm:prSet presAssocID="{6E95CE70-2191-43E6-A8CE-F423ACC671F3}" presName="rootConnector" presStyleLbl="node3" presStyleIdx="5" presStyleCnt="6"/>
      <dgm:spPr/>
      <dgm:t>
        <a:bodyPr/>
        <a:lstStyle/>
        <a:p>
          <a:endParaRPr lang="uk-UA"/>
        </a:p>
      </dgm:t>
    </dgm:pt>
    <dgm:pt modelId="{810FB067-E315-4FD4-AA98-264449244C32}" type="pres">
      <dgm:prSet presAssocID="{6E95CE70-2191-43E6-A8CE-F423ACC671F3}" presName="hierChild4" presStyleCnt="0"/>
      <dgm:spPr/>
    </dgm:pt>
    <dgm:pt modelId="{1A80534B-737C-456B-AA6B-01F3D4E10A00}" type="pres">
      <dgm:prSet presAssocID="{281E3BB5-FC79-4405-8490-ACFF047EF8C6}" presName="Name37" presStyleLbl="parChTrans1D4" presStyleIdx="4" presStyleCnt="8"/>
      <dgm:spPr/>
      <dgm:t>
        <a:bodyPr/>
        <a:lstStyle/>
        <a:p>
          <a:endParaRPr lang="uk-UA"/>
        </a:p>
      </dgm:t>
    </dgm:pt>
    <dgm:pt modelId="{9568AB93-C879-4C8A-9C35-DAF79C4D3842}" type="pres">
      <dgm:prSet presAssocID="{F38E7AFF-C76D-49B1-8481-9560CD70DB09}" presName="hierRoot2" presStyleCnt="0">
        <dgm:presLayoutVars>
          <dgm:hierBranch val="init"/>
        </dgm:presLayoutVars>
      </dgm:prSet>
      <dgm:spPr/>
    </dgm:pt>
    <dgm:pt modelId="{2DD9EFA2-8019-4322-ABA0-14CB328001AF}" type="pres">
      <dgm:prSet presAssocID="{F38E7AFF-C76D-49B1-8481-9560CD70DB09}" presName="rootComposite" presStyleCnt="0"/>
      <dgm:spPr/>
    </dgm:pt>
    <dgm:pt modelId="{591131AA-E6FA-4418-878C-1553518C391C}" type="pres">
      <dgm:prSet presAssocID="{F38E7AFF-C76D-49B1-8481-9560CD70DB09}" presName="rootText" presStyleLbl="node4" presStyleIdx="4" presStyleCnt="8" custLinFactX="-26130" custLinFactY="59664" custLinFactNeighborX="-100000" custLinFactNeighborY="100000">
        <dgm:presLayoutVars>
          <dgm:chPref val="3"/>
        </dgm:presLayoutVars>
      </dgm:prSet>
      <dgm:spPr/>
      <dgm:t>
        <a:bodyPr/>
        <a:lstStyle/>
        <a:p>
          <a:endParaRPr lang="uk-UA"/>
        </a:p>
      </dgm:t>
    </dgm:pt>
    <dgm:pt modelId="{3C35B1A7-77F7-4BA3-8CC7-82E9E1EED0A1}" type="pres">
      <dgm:prSet presAssocID="{F38E7AFF-C76D-49B1-8481-9560CD70DB09}" presName="rootConnector" presStyleLbl="node4" presStyleIdx="4" presStyleCnt="8"/>
      <dgm:spPr/>
      <dgm:t>
        <a:bodyPr/>
        <a:lstStyle/>
        <a:p>
          <a:endParaRPr lang="uk-UA"/>
        </a:p>
      </dgm:t>
    </dgm:pt>
    <dgm:pt modelId="{070CAA69-E901-4CF9-9600-1A848A515094}" type="pres">
      <dgm:prSet presAssocID="{F38E7AFF-C76D-49B1-8481-9560CD70DB09}" presName="hierChild4" presStyleCnt="0"/>
      <dgm:spPr/>
    </dgm:pt>
    <dgm:pt modelId="{9A61C845-65BF-4E79-9971-63E4FAA757E6}" type="pres">
      <dgm:prSet presAssocID="{F38E7AFF-C76D-49B1-8481-9560CD70DB09}" presName="hierChild5" presStyleCnt="0"/>
      <dgm:spPr/>
    </dgm:pt>
    <dgm:pt modelId="{7061B1EB-8660-446B-AF55-EE485C1E5557}" type="pres">
      <dgm:prSet presAssocID="{2AC7AEB9-BFD5-45C8-97E4-7397DF08456C}" presName="Name37" presStyleLbl="parChTrans1D4" presStyleIdx="5" presStyleCnt="8"/>
      <dgm:spPr/>
      <dgm:t>
        <a:bodyPr/>
        <a:lstStyle/>
        <a:p>
          <a:endParaRPr lang="uk-UA"/>
        </a:p>
      </dgm:t>
    </dgm:pt>
    <dgm:pt modelId="{4C67ADB6-CA9E-4B8B-BEF1-07282A031EC1}" type="pres">
      <dgm:prSet presAssocID="{29DBCC6E-056B-4E2E-A12E-DE7A44A7A7FE}" presName="hierRoot2" presStyleCnt="0">
        <dgm:presLayoutVars>
          <dgm:hierBranch val="init"/>
        </dgm:presLayoutVars>
      </dgm:prSet>
      <dgm:spPr/>
    </dgm:pt>
    <dgm:pt modelId="{98543922-0A9B-4FE9-9986-D09BE4A49486}" type="pres">
      <dgm:prSet presAssocID="{29DBCC6E-056B-4E2E-A12E-DE7A44A7A7FE}" presName="rootComposite" presStyleCnt="0"/>
      <dgm:spPr/>
    </dgm:pt>
    <dgm:pt modelId="{AABB2F3B-BF29-4EF4-BB61-25874CBCEF7A}" type="pres">
      <dgm:prSet presAssocID="{29DBCC6E-056B-4E2E-A12E-DE7A44A7A7FE}" presName="rootText" presStyleLbl="node4" presStyleIdx="5" presStyleCnt="8" custLinFactY="-51568" custLinFactNeighborX="35508" custLinFactNeighborY="-100000">
        <dgm:presLayoutVars>
          <dgm:chPref val="3"/>
        </dgm:presLayoutVars>
      </dgm:prSet>
      <dgm:spPr/>
      <dgm:t>
        <a:bodyPr/>
        <a:lstStyle/>
        <a:p>
          <a:endParaRPr lang="uk-UA"/>
        </a:p>
      </dgm:t>
    </dgm:pt>
    <dgm:pt modelId="{27968171-95B2-4083-B84A-2CA62502099E}" type="pres">
      <dgm:prSet presAssocID="{29DBCC6E-056B-4E2E-A12E-DE7A44A7A7FE}" presName="rootConnector" presStyleLbl="node4" presStyleIdx="5" presStyleCnt="8"/>
      <dgm:spPr/>
      <dgm:t>
        <a:bodyPr/>
        <a:lstStyle/>
        <a:p>
          <a:endParaRPr lang="uk-UA"/>
        </a:p>
      </dgm:t>
    </dgm:pt>
    <dgm:pt modelId="{EF954DBF-BB36-44B6-9DA6-ED4C270D542B}" type="pres">
      <dgm:prSet presAssocID="{29DBCC6E-056B-4E2E-A12E-DE7A44A7A7FE}" presName="hierChild4" presStyleCnt="0"/>
      <dgm:spPr/>
    </dgm:pt>
    <dgm:pt modelId="{895AEEC9-24CA-4264-ACF6-5BAE0B7A6ED8}" type="pres">
      <dgm:prSet presAssocID="{29DBCC6E-056B-4E2E-A12E-DE7A44A7A7FE}" presName="hierChild5" presStyleCnt="0"/>
      <dgm:spPr/>
    </dgm:pt>
    <dgm:pt modelId="{81942765-8EFA-495C-ACC2-6A8D596BEBAC}" type="pres">
      <dgm:prSet presAssocID="{9F0AC630-647C-40DC-B8E4-B8F94731C48F}" presName="Name37" presStyleLbl="parChTrans1D4" presStyleIdx="6" presStyleCnt="8"/>
      <dgm:spPr/>
      <dgm:t>
        <a:bodyPr/>
        <a:lstStyle/>
        <a:p>
          <a:endParaRPr lang="uk-UA"/>
        </a:p>
      </dgm:t>
    </dgm:pt>
    <dgm:pt modelId="{31D0EC15-CEF0-4B95-B2AB-0C95FB25D25A}" type="pres">
      <dgm:prSet presAssocID="{0E58181B-0416-4A77-9616-29B99FCB0A84}" presName="hierRoot2" presStyleCnt="0">
        <dgm:presLayoutVars>
          <dgm:hierBranch val="init"/>
        </dgm:presLayoutVars>
      </dgm:prSet>
      <dgm:spPr/>
    </dgm:pt>
    <dgm:pt modelId="{EECBDC50-0616-4553-A41D-B14E9DFC4202}" type="pres">
      <dgm:prSet presAssocID="{0E58181B-0416-4A77-9616-29B99FCB0A84}" presName="rootComposite" presStyleCnt="0"/>
      <dgm:spPr/>
    </dgm:pt>
    <dgm:pt modelId="{D6055233-D0EE-41D0-A765-CFE4A82AEFDD}" type="pres">
      <dgm:prSet presAssocID="{0E58181B-0416-4A77-9616-29B99FCB0A84}" presName="rootText" presStyleLbl="node4" presStyleIdx="6" presStyleCnt="8" custLinFactY="-59761" custLinFactNeighborX="45061" custLinFactNeighborY="-100000">
        <dgm:presLayoutVars>
          <dgm:chPref val="3"/>
        </dgm:presLayoutVars>
      </dgm:prSet>
      <dgm:spPr/>
      <dgm:t>
        <a:bodyPr/>
        <a:lstStyle/>
        <a:p>
          <a:endParaRPr lang="uk-UA"/>
        </a:p>
      </dgm:t>
    </dgm:pt>
    <dgm:pt modelId="{E64D8078-FDBC-44C0-8A5B-47E853808575}" type="pres">
      <dgm:prSet presAssocID="{0E58181B-0416-4A77-9616-29B99FCB0A84}" presName="rootConnector" presStyleLbl="node4" presStyleIdx="6" presStyleCnt="8"/>
      <dgm:spPr/>
      <dgm:t>
        <a:bodyPr/>
        <a:lstStyle/>
        <a:p>
          <a:endParaRPr lang="uk-UA"/>
        </a:p>
      </dgm:t>
    </dgm:pt>
    <dgm:pt modelId="{2CD5F1D3-2006-4252-BB41-0BA24BFA155F}" type="pres">
      <dgm:prSet presAssocID="{0E58181B-0416-4A77-9616-29B99FCB0A84}" presName="hierChild4" presStyleCnt="0"/>
      <dgm:spPr/>
    </dgm:pt>
    <dgm:pt modelId="{9A5E1D1F-EEDE-4BA9-8BE2-71FE39E886BE}" type="pres">
      <dgm:prSet presAssocID="{0E58181B-0416-4A77-9616-29B99FCB0A84}" presName="hierChild5" presStyleCnt="0"/>
      <dgm:spPr/>
    </dgm:pt>
    <dgm:pt modelId="{7B7BCF14-D84F-4D56-9E16-9369ECD3136A}" type="pres">
      <dgm:prSet presAssocID="{92C6218E-46F8-4B39-AB49-E6350D5CBEF3}" presName="Name37" presStyleLbl="parChTrans1D4" presStyleIdx="7" presStyleCnt="8"/>
      <dgm:spPr/>
      <dgm:t>
        <a:bodyPr/>
        <a:lstStyle/>
        <a:p>
          <a:endParaRPr lang="uk-UA"/>
        </a:p>
      </dgm:t>
    </dgm:pt>
    <dgm:pt modelId="{427302D4-2C3C-45E5-9398-30EB64111EED}" type="pres">
      <dgm:prSet presAssocID="{9CB0F2CD-FCFE-4A7E-AFE6-6FC063F7FBDB}" presName="hierRoot2" presStyleCnt="0">
        <dgm:presLayoutVars>
          <dgm:hierBranch val="init"/>
        </dgm:presLayoutVars>
      </dgm:prSet>
      <dgm:spPr/>
    </dgm:pt>
    <dgm:pt modelId="{17AA61E0-D7B7-4C40-AD10-305E0BF5619F}" type="pres">
      <dgm:prSet presAssocID="{9CB0F2CD-FCFE-4A7E-AFE6-6FC063F7FBDB}" presName="rootComposite" presStyleCnt="0"/>
      <dgm:spPr/>
    </dgm:pt>
    <dgm:pt modelId="{9F92FE16-D0AA-44BD-BFD9-0DAD99748B2B}" type="pres">
      <dgm:prSet presAssocID="{9CB0F2CD-FCFE-4A7E-AFE6-6FC063F7FBDB}" presName="rootText" presStyleLbl="node4" presStyleIdx="7" presStyleCnt="8" custLinFactX="-14840" custLinFactY="-200000" custLinFactNeighborX="-100000" custLinFactNeighborY="-245510">
        <dgm:presLayoutVars>
          <dgm:chPref val="3"/>
        </dgm:presLayoutVars>
      </dgm:prSet>
      <dgm:spPr/>
      <dgm:t>
        <a:bodyPr/>
        <a:lstStyle/>
        <a:p>
          <a:endParaRPr lang="uk-UA"/>
        </a:p>
      </dgm:t>
    </dgm:pt>
    <dgm:pt modelId="{20CD5958-B639-4E51-9502-7E8AB9146244}" type="pres">
      <dgm:prSet presAssocID="{9CB0F2CD-FCFE-4A7E-AFE6-6FC063F7FBDB}" presName="rootConnector" presStyleLbl="node4" presStyleIdx="7" presStyleCnt="8"/>
      <dgm:spPr/>
      <dgm:t>
        <a:bodyPr/>
        <a:lstStyle/>
        <a:p>
          <a:endParaRPr lang="uk-UA"/>
        </a:p>
      </dgm:t>
    </dgm:pt>
    <dgm:pt modelId="{BA302048-EA79-48CF-BCDA-C7C6F23305E3}" type="pres">
      <dgm:prSet presAssocID="{9CB0F2CD-FCFE-4A7E-AFE6-6FC063F7FBDB}" presName="hierChild4" presStyleCnt="0"/>
      <dgm:spPr/>
    </dgm:pt>
    <dgm:pt modelId="{6EAA692B-D473-49A4-B171-2C86368664B4}" type="pres">
      <dgm:prSet presAssocID="{9CB0F2CD-FCFE-4A7E-AFE6-6FC063F7FBDB}" presName="hierChild5" presStyleCnt="0"/>
      <dgm:spPr/>
    </dgm:pt>
    <dgm:pt modelId="{9887A4BC-1B51-4B89-9EEE-1EB7A03E774A}" type="pres">
      <dgm:prSet presAssocID="{6E95CE70-2191-43E6-A8CE-F423ACC671F3}" presName="hierChild5" presStyleCnt="0"/>
      <dgm:spPr/>
    </dgm:pt>
    <dgm:pt modelId="{8C2185DF-A457-40F1-8109-412019653CCD}" type="pres">
      <dgm:prSet presAssocID="{A2B00ECE-6F20-4819-8744-857D5EC073AE}" presName="hierChild7" presStyleCnt="0"/>
      <dgm:spPr/>
    </dgm:pt>
  </dgm:ptLst>
  <dgm:cxnLst>
    <dgm:cxn modelId="{8035C038-7DFF-4E74-9291-EFCD28868AD8}" type="presOf" srcId="{6E95CE70-2191-43E6-A8CE-F423ACC671F3}" destId="{47951F34-5903-42BE-B089-07D28F15B6F1}" srcOrd="0" destOrd="0" presId="urn:microsoft.com/office/officeart/2005/8/layout/orgChart1"/>
    <dgm:cxn modelId="{811E616B-E5D2-4FD8-8DAE-661293CD01F2}" type="presOf" srcId="{9F021694-AD8F-4371-A2D1-13EE4F946CD7}" destId="{092D1926-4824-4A75-B0A6-E546DD615087}" srcOrd="0" destOrd="0" presId="urn:microsoft.com/office/officeart/2005/8/layout/orgChart1"/>
    <dgm:cxn modelId="{7C605065-4CAB-4870-B829-05A3B9DF5049}" type="presOf" srcId="{F38E7AFF-C76D-49B1-8481-9560CD70DB09}" destId="{3C35B1A7-77F7-4BA3-8CC7-82E9E1EED0A1}" srcOrd="1" destOrd="0" presId="urn:microsoft.com/office/officeart/2005/8/layout/orgChart1"/>
    <dgm:cxn modelId="{176DF25C-29D5-48F5-A6EA-EDFC8D965970}" type="presOf" srcId="{9CB0F2CD-FCFE-4A7E-AFE6-6FC063F7FBDB}" destId="{9F92FE16-D0AA-44BD-BFD9-0DAD99748B2B}" srcOrd="0" destOrd="0" presId="urn:microsoft.com/office/officeart/2005/8/layout/orgChart1"/>
    <dgm:cxn modelId="{DC9903CA-B547-48B2-BE76-4AA64E1A7CF9}" type="presOf" srcId="{40E66A2B-760A-4FAD-8FC2-4C51D08E6EE6}" destId="{A498F34B-50A1-4767-BAC8-4557C9DBD301}" srcOrd="0" destOrd="0" presId="urn:microsoft.com/office/officeart/2005/8/layout/orgChart1"/>
    <dgm:cxn modelId="{7A094FB8-658A-45DC-A0FB-610A69FE6E7A}" type="presOf" srcId="{DB287439-9D3D-48F1-B2CD-5125C6C13B89}" destId="{1D4420C5-8F33-42C5-B383-FBED1AE92725}" srcOrd="1" destOrd="0" presId="urn:microsoft.com/office/officeart/2005/8/layout/orgChart1"/>
    <dgm:cxn modelId="{A074CF7E-9029-4656-BDFA-AE29CB35FC1C}" type="presOf" srcId="{29DBCC6E-056B-4E2E-A12E-DE7A44A7A7FE}" destId="{AABB2F3B-BF29-4EF4-BB61-25874CBCEF7A}" srcOrd="0" destOrd="0" presId="urn:microsoft.com/office/officeart/2005/8/layout/orgChart1"/>
    <dgm:cxn modelId="{910CF438-7059-4F43-B219-A626E9EE4C80}" type="presOf" srcId="{92C6218E-46F8-4B39-AB49-E6350D5CBEF3}" destId="{7B7BCF14-D84F-4D56-9E16-9369ECD3136A}" srcOrd="0" destOrd="0" presId="urn:microsoft.com/office/officeart/2005/8/layout/orgChart1"/>
    <dgm:cxn modelId="{EEE8DB5F-2EC2-4017-95B4-3FCFF39F9D3D}" type="presOf" srcId="{D849B33D-3B44-4892-92F4-EE877EB03F41}" destId="{BA6301BD-0033-44EA-BA1A-18A35FF65B55}" srcOrd="0" destOrd="0" presId="urn:microsoft.com/office/officeart/2005/8/layout/orgChart1"/>
    <dgm:cxn modelId="{895797DD-8A70-4A34-A11A-CC99896AA0EB}" type="presOf" srcId="{CEE37B82-F776-4285-845F-CF580F9739D6}" destId="{5D381341-E99E-42F2-AD14-667359BED962}" srcOrd="0" destOrd="0" presId="urn:microsoft.com/office/officeart/2005/8/layout/orgChart1"/>
    <dgm:cxn modelId="{42868DAF-FC00-4AE4-8C04-F96D18328EEC}" type="presOf" srcId="{5FB1B093-D2A2-43C1-89EE-521370A22F8B}" destId="{911CA37C-F4EC-430F-9B3C-AD91829B615B}" srcOrd="0" destOrd="0" presId="urn:microsoft.com/office/officeart/2005/8/layout/orgChart1"/>
    <dgm:cxn modelId="{B4A5A648-CA9D-4D09-9306-C18C6F291E5E}" type="presOf" srcId="{A2B00ECE-6F20-4819-8744-857D5EC073AE}" destId="{D55A28BE-14E8-4ECB-9CA8-657B938CCCB2}" srcOrd="1" destOrd="0" presId="urn:microsoft.com/office/officeart/2005/8/layout/orgChart1"/>
    <dgm:cxn modelId="{BAB298DE-2D55-42F9-8C71-14E55558DE26}" type="presOf" srcId="{314394AA-1EB4-4B6F-9820-F8A2270061A3}" destId="{D09F9F0D-C23D-40E4-843C-5B3C293FB655}" srcOrd="1" destOrd="0" presId="urn:microsoft.com/office/officeart/2005/8/layout/orgChart1"/>
    <dgm:cxn modelId="{7C23F429-7436-4DF1-98E4-BE3EC7C9E27A}" srcId="{A2B00ECE-6F20-4819-8744-857D5EC073AE}" destId="{6E95CE70-2191-43E6-A8CE-F423ACC671F3}" srcOrd="1" destOrd="0" parTransId="{16B30C51-1697-43EE-A090-E628AE2EBFB5}" sibTransId="{474DA9E9-2F7E-4AF6-9691-81141C3CA7E7}"/>
    <dgm:cxn modelId="{97CBAFC2-6A7B-4A60-9F31-CFADA279B055}" srcId="{A2B00ECE-6F20-4819-8744-857D5EC073AE}" destId="{CEE37B82-F776-4285-845F-CF580F9739D6}" srcOrd="0" destOrd="0" parTransId="{9F021694-AD8F-4371-A2D1-13EE4F946CD7}" sibTransId="{E2C20C84-DEFD-445E-A097-C8381729FF0E}"/>
    <dgm:cxn modelId="{B4946DB8-B78D-40D3-8720-3C25E5F310E1}" type="presOf" srcId="{359F3FEB-A982-47F3-9F6D-039DACD48A09}" destId="{04CBF98A-96C6-4FDC-A099-F7E7B5EFF4FE}" srcOrd="0" destOrd="0" presId="urn:microsoft.com/office/officeart/2005/8/layout/orgChart1"/>
    <dgm:cxn modelId="{2DC7EE3E-2F0D-43DF-B6FD-3609BC91D43E}" srcId="{CEE37B82-F776-4285-845F-CF580F9739D6}" destId="{D849B33D-3B44-4892-92F4-EE877EB03F41}" srcOrd="3" destOrd="0" parTransId="{1E0C173F-3C62-4C96-A15A-F14919E1A93F}" sibTransId="{9AA840C0-3EA4-4263-804C-E10D1629CF5A}"/>
    <dgm:cxn modelId="{7D1851CC-3C21-46D2-A12B-E73CFE25D5EA}" type="presOf" srcId="{CD089009-BA70-4EC7-9853-ED280E6635BE}" destId="{20EC15D6-818F-4A5A-BB93-DEF8F02BE5AC}" srcOrd="0" destOrd="0" presId="urn:microsoft.com/office/officeart/2005/8/layout/orgChart1"/>
    <dgm:cxn modelId="{6CF03085-3A60-4F35-B2F2-6785F6749197}" type="presOf" srcId="{314394AA-1EB4-4B6F-9820-F8A2270061A3}" destId="{5ECAE7D7-C4EC-4E10-B242-ED17731120C2}" srcOrd="0" destOrd="0" presId="urn:microsoft.com/office/officeart/2005/8/layout/orgChart1"/>
    <dgm:cxn modelId="{84257F81-00C4-47EB-AFCF-231761175073}" type="presOf" srcId="{16B30C51-1697-43EE-A090-E628AE2EBFB5}" destId="{32D92D73-BE35-4C07-BB21-70E81DFEACC5}" srcOrd="0" destOrd="0" presId="urn:microsoft.com/office/officeart/2005/8/layout/orgChart1"/>
    <dgm:cxn modelId="{C91D8ECC-1471-4D3F-829D-CEE037F68ECE}" srcId="{DB287439-9D3D-48F1-B2CD-5125C6C13B89}" destId="{E65BCD99-245B-4ADD-9DCA-62491E0E493D}" srcOrd="0" destOrd="0" parTransId="{B9DDE284-1446-4498-A344-B52EF08A1CFB}" sibTransId="{F181EB2F-D7A2-4E46-AEE4-F3DF2DDB5C07}"/>
    <dgm:cxn modelId="{8E06C6DD-7935-4CE5-A2C4-D46C32FB9516}" srcId="{6E95CE70-2191-43E6-A8CE-F423ACC671F3}" destId="{0E58181B-0416-4A77-9616-29B99FCB0A84}" srcOrd="2" destOrd="0" parTransId="{9F0AC630-647C-40DC-B8E4-B8F94731C48F}" sibTransId="{28CF2118-3E1F-45F9-B100-77684A76468A}"/>
    <dgm:cxn modelId="{421671E6-5AAF-43A5-9072-B8836758DEE2}" srcId="{6E95CE70-2191-43E6-A8CE-F423ACC671F3}" destId="{9CB0F2CD-FCFE-4A7E-AFE6-6FC063F7FBDB}" srcOrd="3" destOrd="0" parTransId="{92C6218E-46F8-4B39-AB49-E6350D5CBEF3}" sibTransId="{0381DEE6-5C33-48F2-A483-C036278712D3}"/>
    <dgm:cxn modelId="{D03B10EC-4C9C-473F-BDAA-A4538EBFAD0A}" type="presOf" srcId="{324A8C34-298D-49F1-B782-BF4465A828F3}" destId="{F2AE1522-4092-427B-A928-89BB3F4A985C}" srcOrd="0" destOrd="0" presId="urn:microsoft.com/office/officeart/2005/8/layout/orgChart1"/>
    <dgm:cxn modelId="{06486078-E03F-4148-A7AD-493CC3F38C40}" type="presOf" srcId="{E65BCD99-245B-4ADD-9DCA-62491E0E493D}" destId="{376541DA-572C-4024-AC47-05CDD18070C1}" srcOrd="1" destOrd="0" presId="urn:microsoft.com/office/officeart/2005/8/layout/orgChart1"/>
    <dgm:cxn modelId="{114DA6F4-B529-4E82-AF1B-6F31D7817399}" type="presOf" srcId="{281E3BB5-FC79-4405-8490-ACFF047EF8C6}" destId="{1A80534B-737C-456B-AA6B-01F3D4E10A00}" srcOrd="0" destOrd="0" presId="urn:microsoft.com/office/officeart/2005/8/layout/orgChart1"/>
    <dgm:cxn modelId="{031172D0-8517-4972-8B23-599E75B86BA3}" type="presOf" srcId="{F47D62FD-CF7E-4549-A1E6-F5D6DDC0F0C5}" destId="{04D3408C-D2D1-459A-961A-0CAA33B8C67D}" srcOrd="0" destOrd="0" presId="urn:microsoft.com/office/officeart/2005/8/layout/orgChart1"/>
    <dgm:cxn modelId="{EEAE9FAA-858C-47A8-8B4E-8A1904751E57}" type="presOf" srcId="{0CA6D434-0D8E-49FC-B209-B8767446B8A7}" destId="{1EF179EA-41FD-4489-8A24-77C0D724AC3E}" srcOrd="1" destOrd="0" presId="urn:microsoft.com/office/officeart/2005/8/layout/orgChart1"/>
    <dgm:cxn modelId="{2D5B14F1-2645-4761-8208-A684ADA10094}" srcId="{E65BCD99-245B-4ADD-9DCA-62491E0E493D}" destId="{C6F1E3D9-B455-4DBB-AF81-84D3513AD72F}" srcOrd="2" destOrd="0" parTransId="{E9D9BECE-01CD-4647-8748-C2CD20EC1476}" sibTransId="{B5DF13E4-5666-46BA-BE8F-D24F21C9DB67}"/>
    <dgm:cxn modelId="{9BD2A3E7-7666-41D2-A29E-4856984B3605}" type="presOf" srcId="{0CA6D434-0D8E-49FC-B209-B8767446B8A7}" destId="{EC20E33D-2693-41A3-8CEC-0B13673405AB}" srcOrd="0" destOrd="0" presId="urn:microsoft.com/office/officeart/2005/8/layout/orgChart1"/>
    <dgm:cxn modelId="{839AC282-5D94-4122-A4DB-CAB18481743D}" type="presOf" srcId="{F84D81DD-8FA3-4B2A-A638-EE3C3AD5F018}" destId="{D0352B14-D69F-4240-92D9-87B4B9144B85}" srcOrd="0" destOrd="0" presId="urn:microsoft.com/office/officeart/2005/8/layout/orgChart1"/>
    <dgm:cxn modelId="{80A8AE91-DA02-4D5E-A91E-2A5F343AF693}" type="presOf" srcId="{0E58181B-0416-4A77-9616-29B99FCB0A84}" destId="{E64D8078-FDBC-44C0-8A5B-47E853808575}" srcOrd="1" destOrd="0" presId="urn:microsoft.com/office/officeart/2005/8/layout/orgChart1"/>
    <dgm:cxn modelId="{0B583890-DA71-4859-A0BC-2DBA29A0199B}" type="presOf" srcId="{397A495D-808A-4C52-B185-116DE71F5070}" destId="{CBC5DB70-0C49-44A1-A73C-8D1FDFADB896}" srcOrd="0" destOrd="0" presId="urn:microsoft.com/office/officeart/2005/8/layout/orgChart1"/>
    <dgm:cxn modelId="{9E10DBA1-4A32-4BB5-816E-1DB97D607833}" srcId="{CEE37B82-F776-4285-845F-CF580F9739D6}" destId="{40E66A2B-760A-4FAD-8FC2-4C51D08E6EE6}" srcOrd="1" destOrd="0" parTransId="{CD089009-BA70-4EC7-9853-ED280E6635BE}" sibTransId="{19C01659-3A5B-4E67-BADF-F3DF58109769}"/>
    <dgm:cxn modelId="{CCEA9FE0-AE14-4D47-86B6-461E7F804762}" srcId="{CEE37B82-F776-4285-845F-CF580F9739D6}" destId="{F84D81DD-8FA3-4B2A-A638-EE3C3AD5F018}" srcOrd="0" destOrd="0" parTransId="{324A8C34-298D-49F1-B782-BF4465A828F3}" sibTransId="{27F808CC-5C3A-4048-9C4B-7266E3A1E5B9}"/>
    <dgm:cxn modelId="{E9AE0483-98CF-4152-85AB-6BB29173D8F8}" type="presOf" srcId="{9F0AC630-647C-40DC-B8E4-B8F94731C48F}" destId="{81942765-8EFA-495C-ACC2-6A8D596BEBAC}" srcOrd="0" destOrd="0" presId="urn:microsoft.com/office/officeart/2005/8/layout/orgChart1"/>
    <dgm:cxn modelId="{3AA8A06E-5B7A-4922-BF5C-C3E932D7ED20}" srcId="{E65BCD99-245B-4ADD-9DCA-62491E0E493D}" destId="{D94B3EF4-5175-45E8-AE0A-B1AC33C85480}" srcOrd="0" destOrd="0" parTransId="{5FB1B093-D2A2-43C1-89EE-521370A22F8B}" sibTransId="{37D44BCC-9C85-47F4-8FE0-9F3C47CEF188}"/>
    <dgm:cxn modelId="{17E53930-D2D6-45D8-991B-4E1D9DC43C26}" type="presOf" srcId="{9CB0F2CD-FCFE-4A7E-AFE6-6FC063F7FBDB}" destId="{20CD5958-B639-4E51-9502-7E8AB9146244}" srcOrd="1" destOrd="0" presId="urn:microsoft.com/office/officeart/2005/8/layout/orgChart1"/>
    <dgm:cxn modelId="{F9EC2E30-4721-406A-84C8-D8ABB3D041DD}" type="presOf" srcId="{A2B00ECE-6F20-4819-8744-857D5EC073AE}" destId="{8803DD01-707C-4141-826F-B2BFD8D50F46}" srcOrd="0" destOrd="0" presId="urn:microsoft.com/office/officeart/2005/8/layout/orgChart1"/>
    <dgm:cxn modelId="{4E9601CE-50B8-41FD-BF81-7A4987A790C5}" type="presOf" srcId="{6E95CE70-2191-43E6-A8CE-F423ACC671F3}" destId="{4F9B9AFC-1FDF-4D52-BBA0-C17B95154A51}" srcOrd="1" destOrd="0" presId="urn:microsoft.com/office/officeart/2005/8/layout/orgChart1"/>
    <dgm:cxn modelId="{8F57B52B-A835-4830-805E-84C83F2F00E9}" srcId="{6E95CE70-2191-43E6-A8CE-F423ACC671F3}" destId="{F38E7AFF-C76D-49B1-8481-9560CD70DB09}" srcOrd="0" destOrd="0" parTransId="{281E3BB5-FC79-4405-8490-ACFF047EF8C6}" sibTransId="{5B79162F-0658-487D-A83A-D1A7EED9CE92}"/>
    <dgm:cxn modelId="{19B78D4C-FE2F-4A56-8AC1-41D59A8CDF88}" type="presOf" srcId="{E9D9BECE-01CD-4647-8748-C2CD20EC1476}" destId="{9480D1FE-C189-4E53-B8FF-03CB7555120F}" srcOrd="0" destOrd="0" presId="urn:microsoft.com/office/officeart/2005/8/layout/orgChart1"/>
    <dgm:cxn modelId="{0949F65D-8DB0-4943-A97C-6DAC9B237B01}" type="presOf" srcId="{D849B33D-3B44-4892-92F4-EE877EB03F41}" destId="{BA269139-A381-4928-9D67-8428869497E1}" srcOrd="1" destOrd="0" presId="urn:microsoft.com/office/officeart/2005/8/layout/orgChart1"/>
    <dgm:cxn modelId="{E663E0E7-0D52-4D94-A2F2-C12D414AA80C}" type="presOf" srcId="{6F0EDF83-3477-45D1-85E6-21681F0C2BB1}" destId="{923EE1E2-4467-4961-A708-616B1CD67725}" srcOrd="0" destOrd="0" presId="urn:microsoft.com/office/officeart/2005/8/layout/orgChart1"/>
    <dgm:cxn modelId="{5AF98011-EF0F-464B-B02B-8B51DAF73773}" type="presOf" srcId="{C6F1E3D9-B455-4DBB-AF81-84D3513AD72F}" destId="{1A42E9DE-B083-4C0D-B909-19CEA4B7CD7E}" srcOrd="1" destOrd="0" presId="urn:microsoft.com/office/officeart/2005/8/layout/orgChart1"/>
    <dgm:cxn modelId="{3717CCB7-B736-4DF8-99C4-7454F663EC22}" type="presOf" srcId="{E65BCD99-245B-4ADD-9DCA-62491E0E493D}" destId="{6AD6FDFE-4FA4-416B-BFE6-2EDF1D2F62D3}" srcOrd="0" destOrd="0" presId="urn:microsoft.com/office/officeart/2005/8/layout/orgChart1"/>
    <dgm:cxn modelId="{49DC2927-6EDC-400C-A585-560CED488830}" type="presOf" srcId="{F38E7AFF-C76D-49B1-8481-9560CD70DB09}" destId="{591131AA-E6FA-4418-878C-1553518C391C}" srcOrd="0" destOrd="0" presId="urn:microsoft.com/office/officeart/2005/8/layout/orgChart1"/>
    <dgm:cxn modelId="{39952CC8-E7AE-4308-8017-DF3F60B8530F}" type="presOf" srcId="{CEE37B82-F776-4285-845F-CF580F9739D6}" destId="{8CB8FF57-1035-42B6-8C4F-4851BDE4A6A6}" srcOrd="1" destOrd="0" presId="urn:microsoft.com/office/officeart/2005/8/layout/orgChart1"/>
    <dgm:cxn modelId="{EF982C76-7550-4840-B943-F283798637E7}" type="presOf" srcId="{F84D81DD-8FA3-4B2A-A638-EE3C3AD5F018}" destId="{24B19DB5-F751-4F8D-879B-84FB1B5D0B25}" srcOrd="1" destOrd="0" presId="urn:microsoft.com/office/officeart/2005/8/layout/orgChart1"/>
    <dgm:cxn modelId="{DEB017E6-32D9-43E9-B9E0-619BBA686917}" srcId="{DB287439-9D3D-48F1-B2CD-5125C6C13B89}" destId="{A2B00ECE-6F20-4819-8744-857D5EC073AE}" srcOrd="1" destOrd="0" parTransId="{397A495D-808A-4C52-B185-116DE71F5070}" sibTransId="{0271DE13-AA04-4BF7-9FC1-C23717E07C91}"/>
    <dgm:cxn modelId="{F273FA3E-A0B7-49A5-A81D-0EF75A79A7AF}" type="presOf" srcId="{3767FBF1-0690-46BC-9D79-951CE9221761}" destId="{0153C27F-F1D1-40A5-AC69-143030DA4605}" srcOrd="1" destOrd="0" presId="urn:microsoft.com/office/officeart/2005/8/layout/orgChart1"/>
    <dgm:cxn modelId="{F36D9E09-219D-4DB5-AC4F-40B6E8243CB0}" srcId="{359F3FEB-A982-47F3-9F6D-039DACD48A09}" destId="{DB287439-9D3D-48F1-B2CD-5125C6C13B89}" srcOrd="0" destOrd="0" parTransId="{34609C65-B12C-4ABF-9D05-C1C41DE5DE13}" sibTransId="{28B5AEA5-3F55-4097-9576-35F47FDA6E2C}"/>
    <dgm:cxn modelId="{BAFAA89F-406A-460D-83AA-EDF76011F848}" type="presOf" srcId="{3767FBF1-0690-46BC-9D79-951CE9221761}" destId="{453DCF9C-28EB-4834-B461-8088802BC2DF}" srcOrd="0" destOrd="0" presId="urn:microsoft.com/office/officeart/2005/8/layout/orgChart1"/>
    <dgm:cxn modelId="{91EB5F06-F624-4CAE-9FF7-463508325B4E}" type="presOf" srcId="{D94B3EF4-5175-45E8-AE0A-B1AC33C85480}" destId="{72024929-DA72-48E5-85F1-EC930BBCD67B}" srcOrd="0" destOrd="0" presId="urn:microsoft.com/office/officeart/2005/8/layout/orgChart1"/>
    <dgm:cxn modelId="{40FF0C03-F43B-4627-AB76-BDF2BAA74137}" type="presOf" srcId="{DB287439-9D3D-48F1-B2CD-5125C6C13B89}" destId="{FA513C75-F6FF-444E-9A31-228B4C24405D}" srcOrd="0" destOrd="0" presId="urn:microsoft.com/office/officeart/2005/8/layout/orgChart1"/>
    <dgm:cxn modelId="{C285166E-DD9A-4A3D-8187-F37DB0A344D4}" srcId="{E65BCD99-245B-4ADD-9DCA-62491E0E493D}" destId="{0CA6D434-0D8E-49FC-B209-B8767446B8A7}" srcOrd="1" destOrd="0" parTransId="{1FD4C5E6-3D2F-408A-BEE4-BC1040B8756D}" sibTransId="{4BD4157A-B170-4DD3-ADFD-6DF287791C25}"/>
    <dgm:cxn modelId="{CD943B16-D09D-4652-A7DC-BB63F4B3269D}" type="presOf" srcId="{2AC7AEB9-BFD5-45C8-97E4-7397DF08456C}" destId="{7061B1EB-8660-446B-AF55-EE485C1E5557}" srcOrd="0" destOrd="0" presId="urn:microsoft.com/office/officeart/2005/8/layout/orgChart1"/>
    <dgm:cxn modelId="{DA393559-D2E5-4B7D-8D8E-B2348C505A21}" type="presOf" srcId="{29DBCC6E-056B-4E2E-A12E-DE7A44A7A7FE}" destId="{27968171-95B2-4083-B84A-2CA62502099E}" srcOrd="1" destOrd="0" presId="urn:microsoft.com/office/officeart/2005/8/layout/orgChart1"/>
    <dgm:cxn modelId="{63EA0469-0E0E-460B-9265-535DCAB94214}" type="presOf" srcId="{C6F1E3D9-B455-4DBB-AF81-84D3513AD72F}" destId="{33B5AA7F-6413-4BAA-A8EC-E7D87E47413C}" srcOrd="0" destOrd="0" presId="urn:microsoft.com/office/officeart/2005/8/layout/orgChart1"/>
    <dgm:cxn modelId="{27D95592-5BBC-479E-88F0-D2BD07D89F54}" srcId="{6E95CE70-2191-43E6-A8CE-F423ACC671F3}" destId="{29DBCC6E-056B-4E2E-A12E-DE7A44A7A7FE}" srcOrd="1" destOrd="0" parTransId="{2AC7AEB9-BFD5-45C8-97E4-7397DF08456C}" sibTransId="{01F7FD33-91CC-4669-AB4D-C87C5C9D6383}"/>
    <dgm:cxn modelId="{950B1B64-819F-4642-9654-77B385BF2F7E}" type="presOf" srcId="{B9DDE284-1446-4498-A344-B52EF08A1CFB}" destId="{2CDBC3E9-C162-498E-8EF7-3669DE6F3D55}" srcOrd="0" destOrd="0" presId="urn:microsoft.com/office/officeart/2005/8/layout/orgChart1"/>
    <dgm:cxn modelId="{35F27C98-A140-46D2-98BE-FE7DE5D8EA98}" type="presOf" srcId="{D94B3EF4-5175-45E8-AE0A-B1AC33C85480}" destId="{B63487C5-8A88-4519-A74E-F60500049AA5}" srcOrd="1" destOrd="0" presId="urn:microsoft.com/office/officeart/2005/8/layout/orgChart1"/>
    <dgm:cxn modelId="{E9BA3B4A-FA61-46BD-9129-C281F442AB9A}" srcId="{CEE37B82-F776-4285-845F-CF580F9739D6}" destId="{3767FBF1-0690-46BC-9D79-951CE9221761}" srcOrd="2" destOrd="0" parTransId="{F47D62FD-CF7E-4549-A1E6-F5D6DDC0F0C5}" sibTransId="{99C6D44F-B770-496F-B3C5-0945BEC18982}"/>
    <dgm:cxn modelId="{B3E65CBC-0B60-415F-A212-7F581595D7E3}" type="presOf" srcId="{40E66A2B-760A-4FAD-8FC2-4C51D08E6EE6}" destId="{A773D5FD-524B-4A26-9B75-E1853F22186C}" srcOrd="1" destOrd="0" presId="urn:microsoft.com/office/officeart/2005/8/layout/orgChart1"/>
    <dgm:cxn modelId="{2437114F-A70A-4E2D-99B0-7E60C7E510F9}" type="presOf" srcId="{1FD4C5E6-3D2F-408A-BEE4-BC1040B8756D}" destId="{6A2E1535-C969-4EAA-8DA6-2878576F715B}" srcOrd="0" destOrd="0" presId="urn:microsoft.com/office/officeart/2005/8/layout/orgChart1"/>
    <dgm:cxn modelId="{60F36222-1B78-4FA1-BBAE-B259F6871494}" srcId="{E65BCD99-245B-4ADD-9DCA-62491E0E493D}" destId="{314394AA-1EB4-4B6F-9820-F8A2270061A3}" srcOrd="3" destOrd="0" parTransId="{6F0EDF83-3477-45D1-85E6-21681F0C2BB1}" sibTransId="{26503039-1A0E-45A5-947F-43A9752A030E}"/>
    <dgm:cxn modelId="{1E4792F1-AE9A-45AD-81F2-3C060ADB4BF7}" type="presOf" srcId="{0E58181B-0416-4A77-9616-29B99FCB0A84}" destId="{D6055233-D0EE-41D0-A765-CFE4A82AEFDD}" srcOrd="0" destOrd="0" presId="urn:microsoft.com/office/officeart/2005/8/layout/orgChart1"/>
    <dgm:cxn modelId="{1C4CCA98-1678-4DAA-86C1-7EF3918402DA}" type="presOf" srcId="{1E0C173F-3C62-4C96-A15A-F14919E1A93F}" destId="{6813C660-EC97-40C9-B71F-495CF8215AA0}" srcOrd="0" destOrd="0" presId="urn:microsoft.com/office/officeart/2005/8/layout/orgChart1"/>
    <dgm:cxn modelId="{C2CF08C1-EB1D-453C-AA7D-1F83D8748BF0}" type="presParOf" srcId="{04CBF98A-96C6-4FDC-A099-F7E7B5EFF4FE}" destId="{D39A17FF-C2E4-4CCF-AE32-5B0E0A2FB59B}" srcOrd="0" destOrd="0" presId="urn:microsoft.com/office/officeart/2005/8/layout/orgChart1"/>
    <dgm:cxn modelId="{2BB9E911-7BE8-4BC3-B7A6-7D21EA442B3B}" type="presParOf" srcId="{D39A17FF-C2E4-4CCF-AE32-5B0E0A2FB59B}" destId="{C45F9D07-A49F-47B4-83A9-C10E06A20083}" srcOrd="0" destOrd="0" presId="urn:microsoft.com/office/officeart/2005/8/layout/orgChart1"/>
    <dgm:cxn modelId="{9522EE31-C6FA-4A94-B0E2-D2204ECE63E4}" type="presParOf" srcId="{C45F9D07-A49F-47B4-83A9-C10E06A20083}" destId="{FA513C75-F6FF-444E-9A31-228B4C24405D}" srcOrd="0" destOrd="0" presId="urn:microsoft.com/office/officeart/2005/8/layout/orgChart1"/>
    <dgm:cxn modelId="{823DFE32-461E-48F3-ACF0-1525D345E5D8}" type="presParOf" srcId="{C45F9D07-A49F-47B4-83A9-C10E06A20083}" destId="{1D4420C5-8F33-42C5-B383-FBED1AE92725}" srcOrd="1" destOrd="0" presId="urn:microsoft.com/office/officeart/2005/8/layout/orgChart1"/>
    <dgm:cxn modelId="{78C53683-36E3-4E75-A160-531D2D1ABC8F}" type="presParOf" srcId="{D39A17FF-C2E4-4CCF-AE32-5B0E0A2FB59B}" destId="{430E85B7-A4AE-4C2E-A94B-7ADAA1613E7B}" srcOrd="1" destOrd="0" presId="urn:microsoft.com/office/officeart/2005/8/layout/orgChart1"/>
    <dgm:cxn modelId="{D2253C80-C72B-421C-BB28-E19A94FC80ED}" type="presParOf" srcId="{D39A17FF-C2E4-4CCF-AE32-5B0E0A2FB59B}" destId="{E3CE39FA-0E7F-440C-AB38-185D7F4FF32B}" srcOrd="2" destOrd="0" presId="urn:microsoft.com/office/officeart/2005/8/layout/orgChart1"/>
    <dgm:cxn modelId="{DE43B59D-99D2-412D-84E5-4532F89FFFC7}" type="presParOf" srcId="{E3CE39FA-0E7F-440C-AB38-185D7F4FF32B}" destId="{2CDBC3E9-C162-498E-8EF7-3669DE6F3D55}" srcOrd="0" destOrd="0" presId="urn:microsoft.com/office/officeart/2005/8/layout/orgChart1"/>
    <dgm:cxn modelId="{673F8213-DBCF-449A-A8DD-AF776892080B}" type="presParOf" srcId="{E3CE39FA-0E7F-440C-AB38-185D7F4FF32B}" destId="{03E0CFF3-124E-48BB-8A1A-B8DCE6B9062A}" srcOrd="1" destOrd="0" presId="urn:microsoft.com/office/officeart/2005/8/layout/orgChart1"/>
    <dgm:cxn modelId="{02FBD084-4AF2-43A4-8793-FA0C70284C51}" type="presParOf" srcId="{03E0CFF3-124E-48BB-8A1A-B8DCE6B9062A}" destId="{5A99142C-D0E6-47A4-B83F-96FD7EE7F295}" srcOrd="0" destOrd="0" presId="urn:microsoft.com/office/officeart/2005/8/layout/orgChart1"/>
    <dgm:cxn modelId="{F165866E-41AB-493D-96A5-CB1FC9122C46}" type="presParOf" srcId="{5A99142C-D0E6-47A4-B83F-96FD7EE7F295}" destId="{6AD6FDFE-4FA4-416B-BFE6-2EDF1D2F62D3}" srcOrd="0" destOrd="0" presId="urn:microsoft.com/office/officeart/2005/8/layout/orgChart1"/>
    <dgm:cxn modelId="{C29E7E21-7F6E-4BA4-9FFF-FB876ED191DD}" type="presParOf" srcId="{5A99142C-D0E6-47A4-B83F-96FD7EE7F295}" destId="{376541DA-572C-4024-AC47-05CDD18070C1}" srcOrd="1" destOrd="0" presId="urn:microsoft.com/office/officeart/2005/8/layout/orgChart1"/>
    <dgm:cxn modelId="{F78C03AC-4C2D-4A4B-83D6-027310172C4D}" type="presParOf" srcId="{03E0CFF3-124E-48BB-8A1A-B8DCE6B9062A}" destId="{BF6746AC-71BB-4275-ABD6-4CCE1AB58E0D}" srcOrd="1" destOrd="0" presId="urn:microsoft.com/office/officeart/2005/8/layout/orgChart1"/>
    <dgm:cxn modelId="{C4B16928-6456-47B1-931D-DEB1EE4380D1}" type="presParOf" srcId="{BF6746AC-71BB-4275-ABD6-4CCE1AB58E0D}" destId="{911CA37C-F4EC-430F-9B3C-AD91829B615B}" srcOrd="0" destOrd="0" presId="urn:microsoft.com/office/officeart/2005/8/layout/orgChart1"/>
    <dgm:cxn modelId="{4B1B078D-02E0-4642-94C5-8FE877523B5B}" type="presParOf" srcId="{BF6746AC-71BB-4275-ABD6-4CCE1AB58E0D}" destId="{2396B32C-8104-4A12-98E7-3A43C73C6964}" srcOrd="1" destOrd="0" presId="urn:microsoft.com/office/officeart/2005/8/layout/orgChart1"/>
    <dgm:cxn modelId="{CF96253B-714D-4464-896D-6A7E69A59F5D}" type="presParOf" srcId="{2396B32C-8104-4A12-98E7-3A43C73C6964}" destId="{C4A3D363-DB1E-430C-BD95-E879D37DB233}" srcOrd="0" destOrd="0" presId="urn:microsoft.com/office/officeart/2005/8/layout/orgChart1"/>
    <dgm:cxn modelId="{588EC1F1-570F-4E87-9366-867E249EFD76}" type="presParOf" srcId="{C4A3D363-DB1E-430C-BD95-E879D37DB233}" destId="{72024929-DA72-48E5-85F1-EC930BBCD67B}" srcOrd="0" destOrd="0" presId="urn:microsoft.com/office/officeart/2005/8/layout/orgChart1"/>
    <dgm:cxn modelId="{E26E07AE-80F8-4DBC-8E65-518D5FC601AE}" type="presParOf" srcId="{C4A3D363-DB1E-430C-BD95-E879D37DB233}" destId="{B63487C5-8A88-4519-A74E-F60500049AA5}" srcOrd="1" destOrd="0" presId="urn:microsoft.com/office/officeart/2005/8/layout/orgChart1"/>
    <dgm:cxn modelId="{3DB3A57A-48A7-48F2-9097-518A8CF0E87B}" type="presParOf" srcId="{2396B32C-8104-4A12-98E7-3A43C73C6964}" destId="{58CB1E83-DE7A-4772-A5C5-0CFB5FC295C5}" srcOrd="1" destOrd="0" presId="urn:microsoft.com/office/officeart/2005/8/layout/orgChart1"/>
    <dgm:cxn modelId="{C2ABF0B5-879A-4A01-B786-A6A353D54F0B}" type="presParOf" srcId="{2396B32C-8104-4A12-98E7-3A43C73C6964}" destId="{2C8BDCEE-EA68-466A-8AE6-4E8439380258}" srcOrd="2" destOrd="0" presId="urn:microsoft.com/office/officeart/2005/8/layout/orgChart1"/>
    <dgm:cxn modelId="{DDF46DC0-30E7-49FC-99DD-CF1BA809A71F}" type="presParOf" srcId="{BF6746AC-71BB-4275-ABD6-4CCE1AB58E0D}" destId="{6A2E1535-C969-4EAA-8DA6-2878576F715B}" srcOrd="2" destOrd="0" presId="urn:microsoft.com/office/officeart/2005/8/layout/orgChart1"/>
    <dgm:cxn modelId="{FA57A7C8-D84A-4A53-9205-C0E024A0B3D7}" type="presParOf" srcId="{BF6746AC-71BB-4275-ABD6-4CCE1AB58E0D}" destId="{CD70FF2B-F6B9-4C06-A0F3-A33588B94BA7}" srcOrd="3" destOrd="0" presId="urn:microsoft.com/office/officeart/2005/8/layout/orgChart1"/>
    <dgm:cxn modelId="{3CA3F957-121E-4F0C-8CDC-5C01FB2E3AD0}" type="presParOf" srcId="{CD70FF2B-F6B9-4C06-A0F3-A33588B94BA7}" destId="{B95D8A93-C50B-4F66-8EA5-DF1407F7CF8B}" srcOrd="0" destOrd="0" presId="urn:microsoft.com/office/officeart/2005/8/layout/orgChart1"/>
    <dgm:cxn modelId="{B17F8CB7-41F2-47A3-9475-0F7202CECC4C}" type="presParOf" srcId="{B95D8A93-C50B-4F66-8EA5-DF1407F7CF8B}" destId="{EC20E33D-2693-41A3-8CEC-0B13673405AB}" srcOrd="0" destOrd="0" presId="urn:microsoft.com/office/officeart/2005/8/layout/orgChart1"/>
    <dgm:cxn modelId="{5DDBFD02-06B0-415C-8F5D-CBAEDE1CFA03}" type="presParOf" srcId="{B95D8A93-C50B-4F66-8EA5-DF1407F7CF8B}" destId="{1EF179EA-41FD-4489-8A24-77C0D724AC3E}" srcOrd="1" destOrd="0" presId="urn:microsoft.com/office/officeart/2005/8/layout/orgChart1"/>
    <dgm:cxn modelId="{2CC16853-7832-48A4-8533-01B7E3E73F27}" type="presParOf" srcId="{CD70FF2B-F6B9-4C06-A0F3-A33588B94BA7}" destId="{C97F6951-13BE-4213-B2AF-E504B4E28393}" srcOrd="1" destOrd="0" presId="urn:microsoft.com/office/officeart/2005/8/layout/orgChart1"/>
    <dgm:cxn modelId="{CF1FDD89-30CF-4636-BA13-3242B2BCF860}" type="presParOf" srcId="{CD70FF2B-F6B9-4C06-A0F3-A33588B94BA7}" destId="{C4D23150-D776-45DD-A2DA-96FEC6511119}" srcOrd="2" destOrd="0" presId="urn:microsoft.com/office/officeart/2005/8/layout/orgChart1"/>
    <dgm:cxn modelId="{A9117FD2-7004-4C51-B1DD-C370A0B94B20}" type="presParOf" srcId="{BF6746AC-71BB-4275-ABD6-4CCE1AB58E0D}" destId="{9480D1FE-C189-4E53-B8FF-03CB7555120F}" srcOrd="4" destOrd="0" presId="urn:microsoft.com/office/officeart/2005/8/layout/orgChart1"/>
    <dgm:cxn modelId="{6057A28F-1255-43A6-A15F-E1ADA5AC540A}" type="presParOf" srcId="{BF6746AC-71BB-4275-ABD6-4CCE1AB58E0D}" destId="{ED0DBDF7-3E16-41DF-AE3B-7B80360A8839}" srcOrd="5" destOrd="0" presId="urn:microsoft.com/office/officeart/2005/8/layout/orgChart1"/>
    <dgm:cxn modelId="{2D97BB3B-4DC9-465E-BB63-7662738B7D6E}" type="presParOf" srcId="{ED0DBDF7-3E16-41DF-AE3B-7B80360A8839}" destId="{60F8E94B-9450-4119-9B5D-DD1F0A52B5A3}" srcOrd="0" destOrd="0" presId="urn:microsoft.com/office/officeart/2005/8/layout/orgChart1"/>
    <dgm:cxn modelId="{0BD35543-4FCC-48B2-AB3B-0379D0281217}" type="presParOf" srcId="{60F8E94B-9450-4119-9B5D-DD1F0A52B5A3}" destId="{33B5AA7F-6413-4BAA-A8EC-E7D87E47413C}" srcOrd="0" destOrd="0" presId="urn:microsoft.com/office/officeart/2005/8/layout/orgChart1"/>
    <dgm:cxn modelId="{0FB69BD2-91B2-4543-AE8F-9034975F8FBB}" type="presParOf" srcId="{60F8E94B-9450-4119-9B5D-DD1F0A52B5A3}" destId="{1A42E9DE-B083-4C0D-B909-19CEA4B7CD7E}" srcOrd="1" destOrd="0" presId="urn:microsoft.com/office/officeart/2005/8/layout/orgChart1"/>
    <dgm:cxn modelId="{D5255E89-0EE0-437B-BB2C-B290717D4B47}" type="presParOf" srcId="{ED0DBDF7-3E16-41DF-AE3B-7B80360A8839}" destId="{A3CBE4D1-A968-4D74-9566-1A36251B600B}" srcOrd="1" destOrd="0" presId="urn:microsoft.com/office/officeart/2005/8/layout/orgChart1"/>
    <dgm:cxn modelId="{EE48FE96-2528-48F9-9DC9-E4CC5D02ECE7}" type="presParOf" srcId="{ED0DBDF7-3E16-41DF-AE3B-7B80360A8839}" destId="{728A8E1E-E842-44FB-892D-816592FB9519}" srcOrd="2" destOrd="0" presId="urn:microsoft.com/office/officeart/2005/8/layout/orgChart1"/>
    <dgm:cxn modelId="{3C04A953-2745-4BFC-B1EB-11465A6A26E7}" type="presParOf" srcId="{BF6746AC-71BB-4275-ABD6-4CCE1AB58E0D}" destId="{923EE1E2-4467-4961-A708-616B1CD67725}" srcOrd="6" destOrd="0" presId="urn:microsoft.com/office/officeart/2005/8/layout/orgChart1"/>
    <dgm:cxn modelId="{1EE1647D-A52D-4BD3-85E2-968A52D065AE}" type="presParOf" srcId="{BF6746AC-71BB-4275-ABD6-4CCE1AB58E0D}" destId="{FB6D271B-367B-4F3C-A536-64C0F56707D8}" srcOrd="7" destOrd="0" presId="urn:microsoft.com/office/officeart/2005/8/layout/orgChart1"/>
    <dgm:cxn modelId="{7A64752E-76C1-41FF-A6D4-DE3EDD009413}" type="presParOf" srcId="{FB6D271B-367B-4F3C-A536-64C0F56707D8}" destId="{431E5A49-1B8E-436F-8C9B-1EFC16907D8E}" srcOrd="0" destOrd="0" presId="urn:microsoft.com/office/officeart/2005/8/layout/orgChart1"/>
    <dgm:cxn modelId="{59B799BA-687E-48D5-89AA-15B01765DB6C}" type="presParOf" srcId="{431E5A49-1B8E-436F-8C9B-1EFC16907D8E}" destId="{5ECAE7D7-C4EC-4E10-B242-ED17731120C2}" srcOrd="0" destOrd="0" presId="urn:microsoft.com/office/officeart/2005/8/layout/orgChart1"/>
    <dgm:cxn modelId="{04839D32-FAA1-432C-A0C1-555D756C5AD1}" type="presParOf" srcId="{431E5A49-1B8E-436F-8C9B-1EFC16907D8E}" destId="{D09F9F0D-C23D-40E4-843C-5B3C293FB655}" srcOrd="1" destOrd="0" presId="urn:microsoft.com/office/officeart/2005/8/layout/orgChart1"/>
    <dgm:cxn modelId="{398D061B-2A45-4970-899E-5A2987022D86}" type="presParOf" srcId="{FB6D271B-367B-4F3C-A536-64C0F56707D8}" destId="{DBB29116-68F4-4877-9A47-A25A4289D0F0}" srcOrd="1" destOrd="0" presId="urn:microsoft.com/office/officeart/2005/8/layout/orgChart1"/>
    <dgm:cxn modelId="{D35D41CB-2822-4B12-853E-6FF476B772AC}" type="presParOf" srcId="{FB6D271B-367B-4F3C-A536-64C0F56707D8}" destId="{276AA002-C365-4A53-A5AE-73014090B9DE}" srcOrd="2" destOrd="0" presId="urn:microsoft.com/office/officeart/2005/8/layout/orgChart1"/>
    <dgm:cxn modelId="{2CD5687E-041C-4CD4-9C21-5D6BAB2038CC}" type="presParOf" srcId="{03E0CFF3-124E-48BB-8A1A-B8DCE6B9062A}" destId="{6CEA9CAF-FFFB-4400-BFD8-667B9E799F35}" srcOrd="2" destOrd="0" presId="urn:microsoft.com/office/officeart/2005/8/layout/orgChart1"/>
    <dgm:cxn modelId="{E91685FB-9C6C-4381-A94F-2749697E1EFF}" type="presParOf" srcId="{E3CE39FA-0E7F-440C-AB38-185D7F4FF32B}" destId="{CBC5DB70-0C49-44A1-A73C-8D1FDFADB896}" srcOrd="2" destOrd="0" presId="urn:microsoft.com/office/officeart/2005/8/layout/orgChart1"/>
    <dgm:cxn modelId="{F16277AB-A49C-46CC-A325-0222E963E16A}" type="presParOf" srcId="{E3CE39FA-0E7F-440C-AB38-185D7F4FF32B}" destId="{2D904726-5726-4189-A73E-44E039ED3889}" srcOrd="3" destOrd="0" presId="urn:microsoft.com/office/officeart/2005/8/layout/orgChart1"/>
    <dgm:cxn modelId="{090F6913-7DF9-4E58-B1A9-472A6AF31555}" type="presParOf" srcId="{2D904726-5726-4189-A73E-44E039ED3889}" destId="{7E655076-F11F-4FC1-96D6-D21E42611420}" srcOrd="0" destOrd="0" presId="urn:microsoft.com/office/officeart/2005/8/layout/orgChart1"/>
    <dgm:cxn modelId="{EC1AEB94-383C-4DDE-B074-822FC7602F25}" type="presParOf" srcId="{7E655076-F11F-4FC1-96D6-D21E42611420}" destId="{8803DD01-707C-4141-826F-B2BFD8D50F46}" srcOrd="0" destOrd="0" presId="urn:microsoft.com/office/officeart/2005/8/layout/orgChart1"/>
    <dgm:cxn modelId="{25CE2312-9940-4199-AEFF-733A29E208C7}" type="presParOf" srcId="{7E655076-F11F-4FC1-96D6-D21E42611420}" destId="{D55A28BE-14E8-4ECB-9CA8-657B938CCCB2}" srcOrd="1" destOrd="0" presId="urn:microsoft.com/office/officeart/2005/8/layout/orgChart1"/>
    <dgm:cxn modelId="{2735BA5B-9948-4D39-9FD7-6F280C88813F}" type="presParOf" srcId="{2D904726-5726-4189-A73E-44E039ED3889}" destId="{C59D000F-B1A8-4153-9F11-4FA3A93860BA}" srcOrd="1" destOrd="0" presId="urn:microsoft.com/office/officeart/2005/8/layout/orgChart1"/>
    <dgm:cxn modelId="{B6677BDB-887A-43E7-8894-23B2BA425651}" type="presParOf" srcId="{C59D000F-B1A8-4153-9F11-4FA3A93860BA}" destId="{092D1926-4824-4A75-B0A6-E546DD615087}" srcOrd="0" destOrd="0" presId="urn:microsoft.com/office/officeart/2005/8/layout/orgChart1"/>
    <dgm:cxn modelId="{D9E397CB-60D5-4616-826D-7A7B78A25C3C}" type="presParOf" srcId="{C59D000F-B1A8-4153-9F11-4FA3A93860BA}" destId="{ADDE8380-ED52-4D60-A89D-DF5F7194D0C8}" srcOrd="1" destOrd="0" presId="urn:microsoft.com/office/officeart/2005/8/layout/orgChart1"/>
    <dgm:cxn modelId="{A741DFB3-0342-4E43-A654-A4EA4091B4A1}" type="presParOf" srcId="{ADDE8380-ED52-4D60-A89D-DF5F7194D0C8}" destId="{B44931B2-E0DF-4E11-941F-1AB240735788}" srcOrd="0" destOrd="0" presId="urn:microsoft.com/office/officeart/2005/8/layout/orgChart1"/>
    <dgm:cxn modelId="{AB01ABA4-FB75-4964-BF5D-633F1FCCEA33}" type="presParOf" srcId="{B44931B2-E0DF-4E11-941F-1AB240735788}" destId="{5D381341-E99E-42F2-AD14-667359BED962}" srcOrd="0" destOrd="0" presId="urn:microsoft.com/office/officeart/2005/8/layout/orgChart1"/>
    <dgm:cxn modelId="{53BB20AE-A312-44BC-9D68-9CCEC62903BF}" type="presParOf" srcId="{B44931B2-E0DF-4E11-941F-1AB240735788}" destId="{8CB8FF57-1035-42B6-8C4F-4851BDE4A6A6}" srcOrd="1" destOrd="0" presId="urn:microsoft.com/office/officeart/2005/8/layout/orgChart1"/>
    <dgm:cxn modelId="{84860A14-69B6-4A32-A6DF-0036B95CBD72}" type="presParOf" srcId="{ADDE8380-ED52-4D60-A89D-DF5F7194D0C8}" destId="{04EBF226-5917-459C-99B9-69089D27C666}" srcOrd="1" destOrd="0" presId="urn:microsoft.com/office/officeart/2005/8/layout/orgChart1"/>
    <dgm:cxn modelId="{BC62B1ED-4050-402A-8EFD-BDD4DA3ED6D6}" type="presParOf" srcId="{04EBF226-5917-459C-99B9-69089D27C666}" destId="{F2AE1522-4092-427B-A928-89BB3F4A985C}" srcOrd="0" destOrd="0" presId="urn:microsoft.com/office/officeart/2005/8/layout/orgChart1"/>
    <dgm:cxn modelId="{57EB16CA-9476-4993-824D-D567CFA2915F}" type="presParOf" srcId="{04EBF226-5917-459C-99B9-69089D27C666}" destId="{097E7DDC-4540-400D-9837-EE7279C7C39B}" srcOrd="1" destOrd="0" presId="urn:microsoft.com/office/officeart/2005/8/layout/orgChart1"/>
    <dgm:cxn modelId="{428DE548-D7CC-4C6F-A858-6021412DE878}" type="presParOf" srcId="{097E7DDC-4540-400D-9837-EE7279C7C39B}" destId="{041453E2-5A86-4650-AA42-A15268CD0F3C}" srcOrd="0" destOrd="0" presId="urn:microsoft.com/office/officeart/2005/8/layout/orgChart1"/>
    <dgm:cxn modelId="{F08D65C6-99D7-42DA-BE17-B4EFEBDE3D0C}" type="presParOf" srcId="{041453E2-5A86-4650-AA42-A15268CD0F3C}" destId="{D0352B14-D69F-4240-92D9-87B4B9144B85}" srcOrd="0" destOrd="0" presId="urn:microsoft.com/office/officeart/2005/8/layout/orgChart1"/>
    <dgm:cxn modelId="{2F83FB26-73B3-43C1-8063-1674F033F7FB}" type="presParOf" srcId="{041453E2-5A86-4650-AA42-A15268CD0F3C}" destId="{24B19DB5-F751-4F8D-879B-84FB1B5D0B25}" srcOrd="1" destOrd="0" presId="urn:microsoft.com/office/officeart/2005/8/layout/orgChart1"/>
    <dgm:cxn modelId="{D1AEC004-81B7-4758-AFB3-A9905708894C}" type="presParOf" srcId="{097E7DDC-4540-400D-9837-EE7279C7C39B}" destId="{D3517CA9-A053-41A4-9364-FF137853C41E}" srcOrd="1" destOrd="0" presId="urn:microsoft.com/office/officeart/2005/8/layout/orgChart1"/>
    <dgm:cxn modelId="{E6804B81-1D34-42AF-A98A-992BFE281883}" type="presParOf" srcId="{097E7DDC-4540-400D-9837-EE7279C7C39B}" destId="{A1602072-F90D-4522-9FF4-8E22A42F57B3}" srcOrd="2" destOrd="0" presId="urn:microsoft.com/office/officeart/2005/8/layout/orgChart1"/>
    <dgm:cxn modelId="{D3B1B29E-445C-4075-B377-648E4D58E1D6}" type="presParOf" srcId="{04EBF226-5917-459C-99B9-69089D27C666}" destId="{20EC15D6-818F-4A5A-BB93-DEF8F02BE5AC}" srcOrd="2" destOrd="0" presId="urn:microsoft.com/office/officeart/2005/8/layout/orgChart1"/>
    <dgm:cxn modelId="{561BA0E5-2CFE-49DF-B50E-8D6962702ABD}" type="presParOf" srcId="{04EBF226-5917-459C-99B9-69089D27C666}" destId="{0764F77F-9AFE-4792-9D86-6A4D2BF7283A}" srcOrd="3" destOrd="0" presId="urn:microsoft.com/office/officeart/2005/8/layout/orgChart1"/>
    <dgm:cxn modelId="{00F2C251-9A2E-4EB2-AE7A-3CB0AE7D00F1}" type="presParOf" srcId="{0764F77F-9AFE-4792-9D86-6A4D2BF7283A}" destId="{70A858CB-6FB0-4430-8CE2-1BEFCC395CCD}" srcOrd="0" destOrd="0" presId="urn:microsoft.com/office/officeart/2005/8/layout/orgChart1"/>
    <dgm:cxn modelId="{3414445F-2D92-4F29-8BF0-E4DDB4269EAD}" type="presParOf" srcId="{70A858CB-6FB0-4430-8CE2-1BEFCC395CCD}" destId="{A498F34B-50A1-4767-BAC8-4557C9DBD301}" srcOrd="0" destOrd="0" presId="urn:microsoft.com/office/officeart/2005/8/layout/orgChart1"/>
    <dgm:cxn modelId="{7401AAF9-6923-41CC-AD6C-9F6BE9A7EA12}" type="presParOf" srcId="{70A858CB-6FB0-4430-8CE2-1BEFCC395CCD}" destId="{A773D5FD-524B-4A26-9B75-E1853F22186C}" srcOrd="1" destOrd="0" presId="urn:microsoft.com/office/officeart/2005/8/layout/orgChart1"/>
    <dgm:cxn modelId="{86A7134A-74F2-4B14-A587-86896A3B6483}" type="presParOf" srcId="{0764F77F-9AFE-4792-9D86-6A4D2BF7283A}" destId="{7C79A2C6-8FCA-43EC-B089-AE26018C77A4}" srcOrd="1" destOrd="0" presId="urn:microsoft.com/office/officeart/2005/8/layout/orgChart1"/>
    <dgm:cxn modelId="{C9A09C01-7621-4FF6-A05B-B981B5BF8F9E}" type="presParOf" srcId="{0764F77F-9AFE-4792-9D86-6A4D2BF7283A}" destId="{58B3BCBA-91FA-433B-8E22-63BA87116337}" srcOrd="2" destOrd="0" presId="urn:microsoft.com/office/officeart/2005/8/layout/orgChart1"/>
    <dgm:cxn modelId="{D59E61DA-248F-42E1-9B55-BE606CCE4186}" type="presParOf" srcId="{04EBF226-5917-459C-99B9-69089D27C666}" destId="{04D3408C-D2D1-459A-961A-0CAA33B8C67D}" srcOrd="4" destOrd="0" presId="urn:microsoft.com/office/officeart/2005/8/layout/orgChart1"/>
    <dgm:cxn modelId="{D3D3ED9B-0A87-40E8-850C-41787DD01094}" type="presParOf" srcId="{04EBF226-5917-459C-99B9-69089D27C666}" destId="{884579F5-C202-4C22-9E0A-96D2E0AB15F2}" srcOrd="5" destOrd="0" presId="urn:microsoft.com/office/officeart/2005/8/layout/orgChart1"/>
    <dgm:cxn modelId="{4D141CE4-0F02-442B-BC37-363D59FBA62F}" type="presParOf" srcId="{884579F5-C202-4C22-9E0A-96D2E0AB15F2}" destId="{FA0DFCED-0920-4794-8DD8-BCED6F24C470}" srcOrd="0" destOrd="0" presId="urn:microsoft.com/office/officeart/2005/8/layout/orgChart1"/>
    <dgm:cxn modelId="{B5929F14-CE19-494C-B5DF-19D3FEB68A46}" type="presParOf" srcId="{FA0DFCED-0920-4794-8DD8-BCED6F24C470}" destId="{453DCF9C-28EB-4834-B461-8088802BC2DF}" srcOrd="0" destOrd="0" presId="urn:microsoft.com/office/officeart/2005/8/layout/orgChart1"/>
    <dgm:cxn modelId="{79CE96FB-C028-4B56-8AED-01315BAE9836}" type="presParOf" srcId="{FA0DFCED-0920-4794-8DD8-BCED6F24C470}" destId="{0153C27F-F1D1-40A5-AC69-143030DA4605}" srcOrd="1" destOrd="0" presId="urn:microsoft.com/office/officeart/2005/8/layout/orgChart1"/>
    <dgm:cxn modelId="{F34D18B5-7701-4CEF-A1F0-F10FD75560EA}" type="presParOf" srcId="{884579F5-C202-4C22-9E0A-96D2E0AB15F2}" destId="{98F76A45-0770-435D-8120-DB7FBD014B76}" srcOrd="1" destOrd="0" presId="urn:microsoft.com/office/officeart/2005/8/layout/orgChart1"/>
    <dgm:cxn modelId="{BC20D5DF-1423-4AD2-92B6-D1FA3E48CD9C}" type="presParOf" srcId="{884579F5-C202-4C22-9E0A-96D2E0AB15F2}" destId="{C40E89FC-F3AA-4F74-BEDB-A2051701E053}" srcOrd="2" destOrd="0" presId="urn:microsoft.com/office/officeart/2005/8/layout/orgChart1"/>
    <dgm:cxn modelId="{7CA4E8F6-086C-4513-AE8E-E2E2B1F07AAD}" type="presParOf" srcId="{04EBF226-5917-459C-99B9-69089D27C666}" destId="{6813C660-EC97-40C9-B71F-495CF8215AA0}" srcOrd="6" destOrd="0" presId="urn:microsoft.com/office/officeart/2005/8/layout/orgChart1"/>
    <dgm:cxn modelId="{5F36A02E-79A5-4F03-AD1F-076FA8F15791}" type="presParOf" srcId="{04EBF226-5917-459C-99B9-69089D27C666}" destId="{EDF7F834-7DBE-4EF7-AFA5-2259938E06B3}" srcOrd="7" destOrd="0" presId="urn:microsoft.com/office/officeart/2005/8/layout/orgChart1"/>
    <dgm:cxn modelId="{BBE77CF6-D035-4D8D-BAAE-3F69DB543F07}" type="presParOf" srcId="{EDF7F834-7DBE-4EF7-AFA5-2259938E06B3}" destId="{A3B305DA-FEF3-41B7-9155-FF39F39DF8FC}" srcOrd="0" destOrd="0" presId="urn:microsoft.com/office/officeart/2005/8/layout/orgChart1"/>
    <dgm:cxn modelId="{2DD97AC5-61A7-457E-9BCF-D4DD9F3D7A85}" type="presParOf" srcId="{A3B305DA-FEF3-41B7-9155-FF39F39DF8FC}" destId="{BA6301BD-0033-44EA-BA1A-18A35FF65B55}" srcOrd="0" destOrd="0" presId="urn:microsoft.com/office/officeart/2005/8/layout/orgChart1"/>
    <dgm:cxn modelId="{53B6F093-81E5-41CC-9122-1F9772D5D385}" type="presParOf" srcId="{A3B305DA-FEF3-41B7-9155-FF39F39DF8FC}" destId="{BA269139-A381-4928-9D67-8428869497E1}" srcOrd="1" destOrd="0" presId="urn:microsoft.com/office/officeart/2005/8/layout/orgChart1"/>
    <dgm:cxn modelId="{9A324135-BA95-4087-9E1B-E5E13DB67E2F}" type="presParOf" srcId="{EDF7F834-7DBE-4EF7-AFA5-2259938E06B3}" destId="{B369D2DC-68E3-4918-9645-E495A260CF59}" srcOrd="1" destOrd="0" presId="urn:microsoft.com/office/officeart/2005/8/layout/orgChart1"/>
    <dgm:cxn modelId="{237F7B99-F0F3-45B2-BD62-4BE80725DEF0}" type="presParOf" srcId="{EDF7F834-7DBE-4EF7-AFA5-2259938E06B3}" destId="{BC904A00-8603-4762-980A-E3C7AFDA1A6E}" srcOrd="2" destOrd="0" presId="urn:microsoft.com/office/officeart/2005/8/layout/orgChart1"/>
    <dgm:cxn modelId="{3928A68F-56B4-4B39-82C3-90CE2C73FAA8}" type="presParOf" srcId="{ADDE8380-ED52-4D60-A89D-DF5F7194D0C8}" destId="{8FC292D6-6A45-4BFD-8FCE-ABB57706C69B}" srcOrd="2" destOrd="0" presId="urn:microsoft.com/office/officeart/2005/8/layout/orgChart1"/>
    <dgm:cxn modelId="{0E2FE9FD-FDA7-40FD-825B-BC24FCC3E69B}" type="presParOf" srcId="{C59D000F-B1A8-4153-9F11-4FA3A93860BA}" destId="{32D92D73-BE35-4C07-BB21-70E81DFEACC5}" srcOrd="2" destOrd="0" presId="urn:microsoft.com/office/officeart/2005/8/layout/orgChart1"/>
    <dgm:cxn modelId="{A2761022-4E11-46C8-9BBE-02EB58DEA965}" type="presParOf" srcId="{C59D000F-B1A8-4153-9F11-4FA3A93860BA}" destId="{431FABAD-F61C-4E8A-AEE5-0535785E34FF}" srcOrd="3" destOrd="0" presId="urn:microsoft.com/office/officeart/2005/8/layout/orgChart1"/>
    <dgm:cxn modelId="{1CB5FF99-7C63-4F17-A371-BABAAC60DCAD}" type="presParOf" srcId="{431FABAD-F61C-4E8A-AEE5-0535785E34FF}" destId="{620533B7-888F-4A8B-A737-C0A9D8E1BB0A}" srcOrd="0" destOrd="0" presId="urn:microsoft.com/office/officeart/2005/8/layout/orgChart1"/>
    <dgm:cxn modelId="{E7B7F3B8-0805-4928-9B47-CE3A4FF73652}" type="presParOf" srcId="{620533B7-888F-4A8B-A737-C0A9D8E1BB0A}" destId="{47951F34-5903-42BE-B089-07D28F15B6F1}" srcOrd="0" destOrd="0" presId="urn:microsoft.com/office/officeart/2005/8/layout/orgChart1"/>
    <dgm:cxn modelId="{AF5D1501-A5ED-47D1-8077-50B907610911}" type="presParOf" srcId="{620533B7-888F-4A8B-A737-C0A9D8E1BB0A}" destId="{4F9B9AFC-1FDF-4D52-BBA0-C17B95154A51}" srcOrd="1" destOrd="0" presId="urn:microsoft.com/office/officeart/2005/8/layout/orgChart1"/>
    <dgm:cxn modelId="{EA2FAEA0-5080-4DE5-8376-C5DE732FC124}" type="presParOf" srcId="{431FABAD-F61C-4E8A-AEE5-0535785E34FF}" destId="{810FB067-E315-4FD4-AA98-264449244C32}" srcOrd="1" destOrd="0" presId="urn:microsoft.com/office/officeart/2005/8/layout/orgChart1"/>
    <dgm:cxn modelId="{997AA991-2589-4D1D-A717-FEC7931F1793}" type="presParOf" srcId="{810FB067-E315-4FD4-AA98-264449244C32}" destId="{1A80534B-737C-456B-AA6B-01F3D4E10A00}" srcOrd="0" destOrd="0" presId="urn:microsoft.com/office/officeart/2005/8/layout/orgChart1"/>
    <dgm:cxn modelId="{5BAAE53C-C3EA-4D29-AA8B-C40021356C4B}" type="presParOf" srcId="{810FB067-E315-4FD4-AA98-264449244C32}" destId="{9568AB93-C879-4C8A-9C35-DAF79C4D3842}" srcOrd="1" destOrd="0" presId="urn:microsoft.com/office/officeart/2005/8/layout/orgChart1"/>
    <dgm:cxn modelId="{3FDC13BA-B47D-4D51-A613-9E4E0157062E}" type="presParOf" srcId="{9568AB93-C879-4C8A-9C35-DAF79C4D3842}" destId="{2DD9EFA2-8019-4322-ABA0-14CB328001AF}" srcOrd="0" destOrd="0" presId="urn:microsoft.com/office/officeart/2005/8/layout/orgChart1"/>
    <dgm:cxn modelId="{25BA80E5-B205-4621-B2AA-F5183836445F}" type="presParOf" srcId="{2DD9EFA2-8019-4322-ABA0-14CB328001AF}" destId="{591131AA-E6FA-4418-878C-1553518C391C}" srcOrd="0" destOrd="0" presId="urn:microsoft.com/office/officeart/2005/8/layout/orgChart1"/>
    <dgm:cxn modelId="{828A1193-1A83-49EF-B85F-269EDB7114D3}" type="presParOf" srcId="{2DD9EFA2-8019-4322-ABA0-14CB328001AF}" destId="{3C35B1A7-77F7-4BA3-8CC7-82E9E1EED0A1}" srcOrd="1" destOrd="0" presId="urn:microsoft.com/office/officeart/2005/8/layout/orgChart1"/>
    <dgm:cxn modelId="{73EC9D1B-7CC8-4E76-BECB-7748A74DE947}" type="presParOf" srcId="{9568AB93-C879-4C8A-9C35-DAF79C4D3842}" destId="{070CAA69-E901-4CF9-9600-1A848A515094}" srcOrd="1" destOrd="0" presId="urn:microsoft.com/office/officeart/2005/8/layout/orgChart1"/>
    <dgm:cxn modelId="{B8446A4C-8452-4593-B72D-FC1F458A984B}" type="presParOf" srcId="{9568AB93-C879-4C8A-9C35-DAF79C4D3842}" destId="{9A61C845-65BF-4E79-9971-63E4FAA757E6}" srcOrd="2" destOrd="0" presId="urn:microsoft.com/office/officeart/2005/8/layout/orgChart1"/>
    <dgm:cxn modelId="{9A794C97-8F12-4801-BBE8-511980DCDCD8}" type="presParOf" srcId="{810FB067-E315-4FD4-AA98-264449244C32}" destId="{7061B1EB-8660-446B-AF55-EE485C1E5557}" srcOrd="2" destOrd="0" presId="urn:microsoft.com/office/officeart/2005/8/layout/orgChart1"/>
    <dgm:cxn modelId="{C2E89380-EE3F-4537-8318-D2B7C217058C}" type="presParOf" srcId="{810FB067-E315-4FD4-AA98-264449244C32}" destId="{4C67ADB6-CA9E-4B8B-BEF1-07282A031EC1}" srcOrd="3" destOrd="0" presId="urn:microsoft.com/office/officeart/2005/8/layout/orgChart1"/>
    <dgm:cxn modelId="{87F2EFCB-19AC-4F71-A541-BAF0A8B03C8A}" type="presParOf" srcId="{4C67ADB6-CA9E-4B8B-BEF1-07282A031EC1}" destId="{98543922-0A9B-4FE9-9986-D09BE4A49486}" srcOrd="0" destOrd="0" presId="urn:microsoft.com/office/officeart/2005/8/layout/orgChart1"/>
    <dgm:cxn modelId="{8B5DA87E-23B7-4DB1-B78D-C708817E1635}" type="presParOf" srcId="{98543922-0A9B-4FE9-9986-D09BE4A49486}" destId="{AABB2F3B-BF29-4EF4-BB61-25874CBCEF7A}" srcOrd="0" destOrd="0" presId="urn:microsoft.com/office/officeart/2005/8/layout/orgChart1"/>
    <dgm:cxn modelId="{D4559B53-78B9-4832-96E5-EE94030787DA}" type="presParOf" srcId="{98543922-0A9B-4FE9-9986-D09BE4A49486}" destId="{27968171-95B2-4083-B84A-2CA62502099E}" srcOrd="1" destOrd="0" presId="urn:microsoft.com/office/officeart/2005/8/layout/orgChart1"/>
    <dgm:cxn modelId="{964908D3-8DB1-4FE7-BBE9-D4BCF797D7D6}" type="presParOf" srcId="{4C67ADB6-CA9E-4B8B-BEF1-07282A031EC1}" destId="{EF954DBF-BB36-44B6-9DA6-ED4C270D542B}" srcOrd="1" destOrd="0" presId="urn:microsoft.com/office/officeart/2005/8/layout/orgChart1"/>
    <dgm:cxn modelId="{98064BE1-DDEB-42F4-AB4E-139B2D51EDE3}" type="presParOf" srcId="{4C67ADB6-CA9E-4B8B-BEF1-07282A031EC1}" destId="{895AEEC9-24CA-4264-ACF6-5BAE0B7A6ED8}" srcOrd="2" destOrd="0" presId="urn:microsoft.com/office/officeart/2005/8/layout/orgChart1"/>
    <dgm:cxn modelId="{E3867EAA-8165-4C7B-915D-B1EE36C587B9}" type="presParOf" srcId="{810FB067-E315-4FD4-AA98-264449244C32}" destId="{81942765-8EFA-495C-ACC2-6A8D596BEBAC}" srcOrd="4" destOrd="0" presId="urn:microsoft.com/office/officeart/2005/8/layout/orgChart1"/>
    <dgm:cxn modelId="{0FB9D684-298C-49AB-BD94-F9E911B087FA}" type="presParOf" srcId="{810FB067-E315-4FD4-AA98-264449244C32}" destId="{31D0EC15-CEF0-4B95-B2AB-0C95FB25D25A}" srcOrd="5" destOrd="0" presId="urn:microsoft.com/office/officeart/2005/8/layout/orgChart1"/>
    <dgm:cxn modelId="{46D77667-027E-4EC2-BF24-340D20C7DE87}" type="presParOf" srcId="{31D0EC15-CEF0-4B95-B2AB-0C95FB25D25A}" destId="{EECBDC50-0616-4553-A41D-B14E9DFC4202}" srcOrd="0" destOrd="0" presId="urn:microsoft.com/office/officeart/2005/8/layout/orgChart1"/>
    <dgm:cxn modelId="{A17AED24-32ED-4898-A31B-317AAF0B4645}" type="presParOf" srcId="{EECBDC50-0616-4553-A41D-B14E9DFC4202}" destId="{D6055233-D0EE-41D0-A765-CFE4A82AEFDD}" srcOrd="0" destOrd="0" presId="urn:microsoft.com/office/officeart/2005/8/layout/orgChart1"/>
    <dgm:cxn modelId="{0785DBF0-4CE1-4B00-AC55-81F16A28E64C}" type="presParOf" srcId="{EECBDC50-0616-4553-A41D-B14E9DFC4202}" destId="{E64D8078-FDBC-44C0-8A5B-47E853808575}" srcOrd="1" destOrd="0" presId="urn:microsoft.com/office/officeart/2005/8/layout/orgChart1"/>
    <dgm:cxn modelId="{CBA2D6D1-C370-4322-96A7-930D220352BD}" type="presParOf" srcId="{31D0EC15-CEF0-4B95-B2AB-0C95FB25D25A}" destId="{2CD5F1D3-2006-4252-BB41-0BA24BFA155F}" srcOrd="1" destOrd="0" presId="urn:microsoft.com/office/officeart/2005/8/layout/orgChart1"/>
    <dgm:cxn modelId="{F1FB0AA7-4587-4BA2-B7D8-119237553CD3}" type="presParOf" srcId="{31D0EC15-CEF0-4B95-B2AB-0C95FB25D25A}" destId="{9A5E1D1F-EEDE-4BA9-8BE2-71FE39E886BE}" srcOrd="2" destOrd="0" presId="urn:microsoft.com/office/officeart/2005/8/layout/orgChart1"/>
    <dgm:cxn modelId="{6C6B270B-4184-4AB5-BE23-7EA841D16DE4}" type="presParOf" srcId="{810FB067-E315-4FD4-AA98-264449244C32}" destId="{7B7BCF14-D84F-4D56-9E16-9369ECD3136A}" srcOrd="6" destOrd="0" presId="urn:microsoft.com/office/officeart/2005/8/layout/orgChart1"/>
    <dgm:cxn modelId="{75E8DD91-310A-4691-B2AF-088E64B0D5BB}" type="presParOf" srcId="{810FB067-E315-4FD4-AA98-264449244C32}" destId="{427302D4-2C3C-45E5-9398-30EB64111EED}" srcOrd="7" destOrd="0" presId="urn:microsoft.com/office/officeart/2005/8/layout/orgChart1"/>
    <dgm:cxn modelId="{D4FA0AFD-0486-44D2-B15D-639EF2A23611}" type="presParOf" srcId="{427302D4-2C3C-45E5-9398-30EB64111EED}" destId="{17AA61E0-D7B7-4C40-AD10-305E0BF5619F}" srcOrd="0" destOrd="0" presId="urn:microsoft.com/office/officeart/2005/8/layout/orgChart1"/>
    <dgm:cxn modelId="{13039E34-AD47-4D96-8B61-7FDD35423A48}" type="presParOf" srcId="{17AA61E0-D7B7-4C40-AD10-305E0BF5619F}" destId="{9F92FE16-D0AA-44BD-BFD9-0DAD99748B2B}" srcOrd="0" destOrd="0" presId="urn:microsoft.com/office/officeart/2005/8/layout/orgChart1"/>
    <dgm:cxn modelId="{571044D1-9390-44F2-97DB-9177221A91E1}" type="presParOf" srcId="{17AA61E0-D7B7-4C40-AD10-305E0BF5619F}" destId="{20CD5958-B639-4E51-9502-7E8AB9146244}" srcOrd="1" destOrd="0" presId="urn:microsoft.com/office/officeart/2005/8/layout/orgChart1"/>
    <dgm:cxn modelId="{EFB1DD16-FD4A-456E-9886-CB6146845C0C}" type="presParOf" srcId="{427302D4-2C3C-45E5-9398-30EB64111EED}" destId="{BA302048-EA79-48CF-BCDA-C7C6F23305E3}" srcOrd="1" destOrd="0" presId="urn:microsoft.com/office/officeart/2005/8/layout/orgChart1"/>
    <dgm:cxn modelId="{FDA4F489-DECA-4224-9424-38885648207E}" type="presParOf" srcId="{427302D4-2C3C-45E5-9398-30EB64111EED}" destId="{6EAA692B-D473-49A4-B171-2C86368664B4}" srcOrd="2" destOrd="0" presId="urn:microsoft.com/office/officeart/2005/8/layout/orgChart1"/>
    <dgm:cxn modelId="{E49D2778-B615-4622-A617-EABC97BD64E1}" type="presParOf" srcId="{431FABAD-F61C-4E8A-AEE5-0535785E34FF}" destId="{9887A4BC-1B51-4B89-9EEE-1EB7A03E774A}" srcOrd="2" destOrd="0" presId="urn:microsoft.com/office/officeart/2005/8/layout/orgChart1"/>
    <dgm:cxn modelId="{6CC64A61-1C55-4BE3-AEFE-8C80E8602C72}" type="presParOf" srcId="{2D904726-5726-4189-A73E-44E039ED3889}" destId="{8C2185DF-A457-40F1-8109-412019653CCD}" srcOrd="2" destOrd="0" presId="urn:microsoft.com/office/officeart/2005/8/layout/orgChart1"/>
  </dgm:cxnLst>
  <dgm:bg/>
  <dgm:whole/>
</dgm:dataModel>
</file>

<file path=word/diagrams/data3.xml><?xml version="1.0" encoding="utf-8"?>
<dgm:dataModel xmlns:dgm="http://schemas.openxmlformats.org/drawingml/2006/diagram" xmlns:a="http://schemas.openxmlformats.org/drawingml/2006/main">
  <dgm:ptLst>
    <dgm:pt modelId="{02894F5D-93E5-4E5B-BD47-90383D22B394}" type="doc">
      <dgm:prSet loTypeId="urn:microsoft.com/office/officeart/2005/8/layout/pyramid1" loCatId="pyramid" qsTypeId="urn:microsoft.com/office/officeart/2005/8/quickstyle/simple1" qsCatId="simple" csTypeId="urn:microsoft.com/office/officeart/2005/8/colors/accent1_2" csCatId="accent1" phldr="1"/>
      <dgm:spPr/>
    </dgm:pt>
    <dgm:pt modelId="{887182BF-8739-486E-969A-74F5447647CF}">
      <dgm:prSet phldrT="[Текст]" custT="1"/>
      <dgm:spPr/>
      <dgm:t>
        <a:bodyPr/>
        <a:lstStyle/>
        <a:p>
          <a:endParaRPr lang="uk-UA" sz="1100" baseline="0">
            <a:solidFill>
              <a:schemeClr val="tx1"/>
            </a:solidFill>
          </a:endParaRPr>
        </a:p>
        <a:p>
          <a:endParaRPr lang="uk-UA" sz="1100" baseline="0">
            <a:solidFill>
              <a:schemeClr val="tx1"/>
            </a:solidFill>
          </a:endParaRPr>
        </a:p>
        <a:p>
          <a:endParaRPr lang="uk-UA" sz="1100" baseline="0">
            <a:solidFill>
              <a:schemeClr val="tx1"/>
            </a:solidFill>
          </a:endParaRPr>
        </a:p>
        <a:p>
          <a:r>
            <a:rPr lang="uk-UA" sz="1100" b="1" baseline="0">
              <a:solidFill>
                <a:schemeClr val="tx1"/>
              </a:solidFill>
            </a:rPr>
            <a:t>3 рівень - </a:t>
          </a:r>
        </a:p>
        <a:p>
          <a:r>
            <a:rPr lang="uk-UA" sz="1100" b="0" baseline="0">
              <a:solidFill>
                <a:schemeClr val="tx1"/>
              </a:solidFill>
            </a:rPr>
            <a:t>професійні </a:t>
          </a:r>
        </a:p>
        <a:p>
          <a:r>
            <a:rPr lang="uk-UA" sz="1100" b="0" baseline="0">
              <a:solidFill>
                <a:schemeClr val="tx1"/>
              </a:solidFill>
            </a:rPr>
            <a:t>та індивідуальні </a:t>
          </a:r>
        </a:p>
        <a:p>
          <a:r>
            <a:rPr lang="uk-UA" sz="1100" b="0" baseline="0">
              <a:solidFill>
                <a:schemeClr val="tx1"/>
              </a:solidFill>
            </a:rPr>
            <a:t>пенсійні схеми</a:t>
          </a:r>
        </a:p>
        <a:p>
          <a:endParaRPr lang="uk-UA" sz="1500" b="1" baseline="0">
            <a:solidFill>
              <a:schemeClr val="tx1"/>
            </a:solidFill>
          </a:endParaRPr>
        </a:p>
      </dgm:t>
    </dgm:pt>
    <dgm:pt modelId="{3466C9F5-2A56-4B67-873B-04B8B83FD682}" type="parTrans" cxnId="{FC0E34B5-2EBD-415E-B978-F43503E770FD}">
      <dgm:prSet/>
      <dgm:spPr/>
      <dgm:t>
        <a:bodyPr/>
        <a:lstStyle/>
        <a:p>
          <a:endParaRPr lang="uk-UA"/>
        </a:p>
      </dgm:t>
    </dgm:pt>
    <dgm:pt modelId="{8FB9FD46-DC50-4F59-8A45-745A497DB5AD}" type="sibTrans" cxnId="{FC0E34B5-2EBD-415E-B978-F43503E770FD}">
      <dgm:prSet/>
      <dgm:spPr/>
      <dgm:t>
        <a:bodyPr/>
        <a:lstStyle/>
        <a:p>
          <a:endParaRPr lang="uk-UA"/>
        </a:p>
      </dgm:t>
    </dgm:pt>
    <dgm:pt modelId="{3F3CC4FC-51AC-4D57-B302-DF80A5615B12}">
      <dgm:prSet phldrT="[Текст]"/>
      <dgm:spPr/>
      <dgm:t>
        <a:bodyPr/>
        <a:lstStyle/>
        <a:p>
          <a:r>
            <a:rPr lang="uk-UA" b="1"/>
            <a:t>2 рівень - </a:t>
          </a:r>
          <a:r>
            <a:rPr lang="uk-UA" b="0"/>
            <a:t>обовязкові державні розподільчі пенсії,засновані на страхових принципах</a:t>
          </a:r>
        </a:p>
      </dgm:t>
    </dgm:pt>
    <dgm:pt modelId="{C007719A-B0A1-4661-8AF5-6CBF200C0762}" type="parTrans" cxnId="{1A8DFACD-0E8B-44A6-A065-19D0F6685315}">
      <dgm:prSet/>
      <dgm:spPr/>
      <dgm:t>
        <a:bodyPr/>
        <a:lstStyle/>
        <a:p>
          <a:endParaRPr lang="uk-UA"/>
        </a:p>
      </dgm:t>
    </dgm:pt>
    <dgm:pt modelId="{D90FE350-C304-4B8A-B6E8-EC3E41B1BF12}" type="sibTrans" cxnId="{1A8DFACD-0E8B-44A6-A065-19D0F6685315}">
      <dgm:prSet/>
      <dgm:spPr/>
      <dgm:t>
        <a:bodyPr/>
        <a:lstStyle/>
        <a:p>
          <a:endParaRPr lang="uk-UA"/>
        </a:p>
      </dgm:t>
    </dgm:pt>
    <dgm:pt modelId="{90527E36-FC19-402E-BC66-9FFD5378B9CF}">
      <dgm:prSet phldrT="[Текст]"/>
      <dgm:spPr/>
      <dgm:t>
        <a:bodyPr/>
        <a:lstStyle/>
        <a:p>
          <a:r>
            <a:rPr lang="uk-UA" b="1"/>
            <a:t>1 рівень </a:t>
          </a:r>
          <a:r>
            <a:rPr lang="uk-UA"/>
            <a:t>- мінімальні пенсії (охоплюють усе населення; спрямовані на подолання бідності)</a:t>
          </a:r>
        </a:p>
      </dgm:t>
    </dgm:pt>
    <dgm:pt modelId="{0A797521-0972-484E-94F8-3DC43A77DE4E}" type="parTrans" cxnId="{800DB701-497B-4849-B59C-EF26A8422AB5}">
      <dgm:prSet/>
      <dgm:spPr/>
      <dgm:t>
        <a:bodyPr/>
        <a:lstStyle/>
        <a:p>
          <a:endParaRPr lang="uk-UA"/>
        </a:p>
      </dgm:t>
    </dgm:pt>
    <dgm:pt modelId="{46025AFA-1F08-4374-A220-65A9337CB4C9}" type="sibTrans" cxnId="{800DB701-497B-4849-B59C-EF26A8422AB5}">
      <dgm:prSet/>
      <dgm:spPr/>
      <dgm:t>
        <a:bodyPr/>
        <a:lstStyle/>
        <a:p>
          <a:endParaRPr lang="uk-UA"/>
        </a:p>
      </dgm:t>
    </dgm:pt>
    <dgm:pt modelId="{55F2901D-EAD0-48F6-A5F3-DB7FF13E306F}" type="pres">
      <dgm:prSet presAssocID="{02894F5D-93E5-4E5B-BD47-90383D22B394}" presName="Name0" presStyleCnt="0">
        <dgm:presLayoutVars>
          <dgm:dir/>
          <dgm:animLvl val="lvl"/>
          <dgm:resizeHandles val="exact"/>
        </dgm:presLayoutVars>
      </dgm:prSet>
      <dgm:spPr/>
    </dgm:pt>
    <dgm:pt modelId="{C87E728D-B070-4E37-BB9F-C0FB1B3DFCBF}" type="pres">
      <dgm:prSet presAssocID="{887182BF-8739-486E-969A-74F5447647CF}" presName="Name8" presStyleCnt="0"/>
      <dgm:spPr/>
    </dgm:pt>
    <dgm:pt modelId="{43794C4C-A85E-41E9-9352-C9B08656E773}" type="pres">
      <dgm:prSet presAssocID="{887182BF-8739-486E-969A-74F5447647CF}" presName="level" presStyleLbl="node1" presStyleIdx="0" presStyleCnt="3" custScaleX="98902" custScaleY="161290">
        <dgm:presLayoutVars>
          <dgm:chMax val="1"/>
          <dgm:bulletEnabled val="1"/>
        </dgm:presLayoutVars>
      </dgm:prSet>
      <dgm:spPr/>
      <dgm:t>
        <a:bodyPr/>
        <a:lstStyle/>
        <a:p>
          <a:endParaRPr lang="uk-UA"/>
        </a:p>
      </dgm:t>
    </dgm:pt>
    <dgm:pt modelId="{509B87C9-8C2D-45E6-8703-9FA0BBDA6E9E}" type="pres">
      <dgm:prSet presAssocID="{887182BF-8739-486E-969A-74F5447647CF}" presName="levelTx" presStyleLbl="revTx" presStyleIdx="0" presStyleCnt="0">
        <dgm:presLayoutVars>
          <dgm:chMax val="1"/>
          <dgm:bulletEnabled val="1"/>
        </dgm:presLayoutVars>
      </dgm:prSet>
      <dgm:spPr/>
      <dgm:t>
        <a:bodyPr/>
        <a:lstStyle/>
        <a:p>
          <a:endParaRPr lang="uk-UA"/>
        </a:p>
      </dgm:t>
    </dgm:pt>
    <dgm:pt modelId="{D275B0A2-DF2D-4BF6-B7CD-1BEA22E40803}" type="pres">
      <dgm:prSet presAssocID="{3F3CC4FC-51AC-4D57-B302-DF80A5615B12}" presName="Name8" presStyleCnt="0"/>
      <dgm:spPr/>
    </dgm:pt>
    <dgm:pt modelId="{FCF5116A-DBD6-4609-8A4A-677D42B7B297}" type="pres">
      <dgm:prSet presAssocID="{3F3CC4FC-51AC-4D57-B302-DF80A5615B12}" presName="level" presStyleLbl="node1" presStyleIdx="1" presStyleCnt="3">
        <dgm:presLayoutVars>
          <dgm:chMax val="1"/>
          <dgm:bulletEnabled val="1"/>
        </dgm:presLayoutVars>
      </dgm:prSet>
      <dgm:spPr/>
      <dgm:t>
        <a:bodyPr/>
        <a:lstStyle/>
        <a:p>
          <a:endParaRPr lang="uk-UA"/>
        </a:p>
      </dgm:t>
    </dgm:pt>
    <dgm:pt modelId="{B1E1A653-84A7-4B42-B7A7-E9E83186B75A}" type="pres">
      <dgm:prSet presAssocID="{3F3CC4FC-51AC-4D57-B302-DF80A5615B12}" presName="levelTx" presStyleLbl="revTx" presStyleIdx="0" presStyleCnt="0">
        <dgm:presLayoutVars>
          <dgm:chMax val="1"/>
          <dgm:bulletEnabled val="1"/>
        </dgm:presLayoutVars>
      </dgm:prSet>
      <dgm:spPr/>
      <dgm:t>
        <a:bodyPr/>
        <a:lstStyle/>
        <a:p>
          <a:endParaRPr lang="uk-UA"/>
        </a:p>
      </dgm:t>
    </dgm:pt>
    <dgm:pt modelId="{A12687AD-C30B-4439-9F45-4C1392B280A3}" type="pres">
      <dgm:prSet presAssocID="{90527E36-FC19-402E-BC66-9FFD5378B9CF}" presName="Name8" presStyleCnt="0"/>
      <dgm:spPr/>
    </dgm:pt>
    <dgm:pt modelId="{B0412C6A-E5D5-4B03-8A7E-0560F2DD3949}" type="pres">
      <dgm:prSet presAssocID="{90527E36-FC19-402E-BC66-9FFD5378B9CF}" presName="level" presStyleLbl="node1" presStyleIdx="2" presStyleCnt="3">
        <dgm:presLayoutVars>
          <dgm:chMax val="1"/>
          <dgm:bulletEnabled val="1"/>
        </dgm:presLayoutVars>
      </dgm:prSet>
      <dgm:spPr/>
      <dgm:t>
        <a:bodyPr/>
        <a:lstStyle/>
        <a:p>
          <a:endParaRPr lang="uk-UA"/>
        </a:p>
      </dgm:t>
    </dgm:pt>
    <dgm:pt modelId="{786161CE-2D34-41AC-B29A-C50D4780AF1E}" type="pres">
      <dgm:prSet presAssocID="{90527E36-FC19-402E-BC66-9FFD5378B9CF}" presName="levelTx" presStyleLbl="revTx" presStyleIdx="0" presStyleCnt="0">
        <dgm:presLayoutVars>
          <dgm:chMax val="1"/>
          <dgm:bulletEnabled val="1"/>
        </dgm:presLayoutVars>
      </dgm:prSet>
      <dgm:spPr/>
      <dgm:t>
        <a:bodyPr/>
        <a:lstStyle/>
        <a:p>
          <a:endParaRPr lang="uk-UA"/>
        </a:p>
      </dgm:t>
    </dgm:pt>
  </dgm:ptLst>
  <dgm:cxnLst>
    <dgm:cxn modelId="{3828A8C8-7E99-4E6C-8178-24D40DD51812}" type="presOf" srcId="{887182BF-8739-486E-969A-74F5447647CF}" destId="{43794C4C-A85E-41E9-9352-C9B08656E773}" srcOrd="0" destOrd="0" presId="urn:microsoft.com/office/officeart/2005/8/layout/pyramid1"/>
    <dgm:cxn modelId="{CC61ED6B-AE8D-48F0-AD2D-5FE1BD457135}" type="presOf" srcId="{02894F5D-93E5-4E5B-BD47-90383D22B394}" destId="{55F2901D-EAD0-48F6-A5F3-DB7FF13E306F}" srcOrd="0" destOrd="0" presId="urn:microsoft.com/office/officeart/2005/8/layout/pyramid1"/>
    <dgm:cxn modelId="{32590EB0-3F86-4F41-B0CA-7B964740BC75}" type="presOf" srcId="{3F3CC4FC-51AC-4D57-B302-DF80A5615B12}" destId="{FCF5116A-DBD6-4609-8A4A-677D42B7B297}" srcOrd="0" destOrd="0" presId="urn:microsoft.com/office/officeart/2005/8/layout/pyramid1"/>
    <dgm:cxn modelId="{0C263C07-F9E6-4565-9125-38CD6E168F71}" type="presOf" srcId="{3F3CC4FC-51AC-4D57-B302-DF80A5615B12}" destId="{B1E1A653-84A7-4B42-B7A7-E9E83186B75A}" srcOrd="1" destOrd="0" presId="urn:microsoft.com/office/officeart/2005/8/layout/pyramid1"/>
    <dgm:cxn modelId="{49ECA289-7707-467C-B5A0-3A3CA62C1E9E}" type="presOf" srcId="{887182BF-8739-486E-969A-74F5447647CF}" destId="{509B87C9-8C2D-45E6-8703-9FA0BBDA6E9E}" srcOrd="1" destOrd="0" presId="urn:microsoft.com/office/officeart/2005/8/layout/pyramid1"/>
    <dgm:cxn modelId="{9F700825-215F-4B84-AC16-4623D9F8B990}" type="presOf" srcId="{90527E36-FC19-402E-BC66-9FFD5378B9CF}" destId="{B0412C6A-E5D5-4B03-8A7E-0560F2DD3949}" srcOrd="0" destOrd="0" presId="urn:microsoft.com/office/officeart/2005/8/layout/pyramid1"/>
    <dgm:cxn modelId="{1A8DFACD-0E8B-44A6-A065-19D0F6685315}" srcId="{02894F5D-93E5-4E5B-BD47-90383D22B394}" destId="{3F3CC4FC-51AC-4D57-B302-DF80A5615B12}" srcOrd="1" destOrd="0" parTransId="{C007719A-B0A1-4661-8AF5-6CBF200C0762}" sibTransId="{D90FE350-C304-4B8A-B6E8-EC3E41B1BF12}"/>
    <dgm:cxn modelId="{800DB701-497B-4849-B59C-EF26A8422AB5}" srcId="{02894F5D-93E5-4E5B-BD47-90383D22B394}" destId="{90527E36-FC19-402E-BC66-9FFD5378B9CF}" srcOrd="2" destOrd="0" parTransId="{0A797521-0972-484E-94F8-3DC43A77DE4E}" sibTransId="{46025AFA-1F08-4374-A220-65A9337CB4C9}"/>
    <dgm:cxn modelId="{4255472C-9AEF-473A-BE44-5861085BF2F7}" type="presOf" srcId="{90527E36-FC19-402E-BC66-9FFD5378B9CF}" destId="{786161CE-2D34-41AC-B29A-C50D4780AF1E}" srcOrd="1" destOrd="0" presId="urn:microsoft.com/office/officeart/2005/8/layout/pyramid1"/>
    <dgm:cxn modelId="{FC0E34B5-2EBD-415E-B978-F43503E770FD}" srcId="{02894F5D-93E5-4E5B-BD47-90383D22B394}" destId="{887182BF-8739-486E-969A-74F5447647CF}" srcOrd="0" destOrd="0" parTransId="{3466C9F5-2A56-4B67-873B-04B8B83FD682}" sibTransId="{8FB9FD46-DC50-4F59-8A45-745A497DB5AD}"/>
    <dgm:cxn modelId="{A6CD6337-FC66-455C-80C2-47D7555A1AC9}" type="presParOf" srcId="{55F2901D-EAD0-48F6-A5F3-DB7FF13E306F}" destId="{C87E728D-B070-4E37-BB9F-C0FB1B3DFCBF}" srcOrd="0" destOrd="0" presId="urn:microsoft.com/office/officeart/2005/8/layout/pyramid1"/>
    <dgm:cxn modelId="{97CA7EE1-0CA7-40E0-95C1-35CE6B2F0BEA}" type="presParOf" srcId="{C87E728D-B070-4E37-BB9F-C0FB1B3DFCBF}" destId="{43794C4C-A85E-41E9-9352-C9B08656E773}" srcOrd="0" destOrd="0" presId="urn:microsoft.com/office/officeart/2005/8/layout/pyramid1"/>
    <dgm:cxn modelId="{9051BEB1-D7D1-4B2C-894C-707B18726EDC}" type="presParOf" srcId="{C87E728D-B070-4E37-BB9F-C0FB1B3DFCBF}" destId="{509B87C9-8C2D-45E6-8703-9FA0BBDA6E9E}" srcOrd="1" destOrd="0" presId="urn:microsoft.com/office/officeart/2005/8/layout/pyramid1"/>
    <dgm:cxn modelId="{E6A48201-B13B-4284-A6DD-16CA35850AAB}" type="presParOf" srcId="{55F2901D-EAD0-48F6-A5F3-DB7FF13E306F}" destId="{D275B0A2-DF2D-4BF6-B7CD-1BEA22E40803}" srcOrd="1" destOrd="0" presId="urn:microsoft.com/office/officeart/2005/8/layout/pyramid1"/>
    <dgm:cxn modelId="{E27DAB73-AE58-4203-A267-9A5FA3FB507D}" type="presParOf" srcId="{D275B0A2-DF2D-4BF6-B7CD-1BEA22E40803}" destId="{FCF5116A-DBD6-4609-8A4A-677D42B7B297}" srcOrd="0" destOrd="0" presId="urn:microsoft.com/office/officeart/2005/8/layout/pyramid1"/>
    <dgm:cxn modelId="{FEA21D4F-4782-44CB-8123-DFE4E94E5B5C}" type="presParOf" srcId="{D275B0A2-DF2D-4BF6-B7CD-1BEA22E40803}" destId="{B1E1A653-84A7-4B42-B7A7-E9E83186B75A}" srcOrd="1" destOrd="0" presId="urn:microsoft.com/office/officeart/2005/8/layout/pyramid1"/>
    <dgm:cxn modelId="{4217AD6C-D9CF-4ED5-B250-3437C3717B6D}" type="presParOf" srcId="{55F2901D-EAD0-48F6-A5F3-DB7FF13E306F}" destId="{A12687AD-C30B-4439-9F45-4C1392B280A3}" srcOrd="2" destOrd="0" presId="urn:microsoft.com/office/officeart/2005/8/layout/pyramid1"/>
    <dgm:cxn modelId="{0E46E952-5DD0-4D2F-86DF-56E82F17928B}" type="presParOf" srcId="{A12687AD-C30B-4439-9F45-4C1392B280A3}" destId="{B0412C6A-E5D5-4B03-8A7E-0560F2DD3949}" srcOrd="0" destOrd="0" presId="urn:microsoft.com/office/officeart/2005/8/layout/pyramid1"/>
    <dgm:cxn modelId="{CB37E99F-592A-4A58-9375-272EDBB18128}" type="presParOf" srcId="{A12687AD-C30B-4439-9F45-4C1392B280A3}" destId="{786161CE-2D34-41AC-B29A-C50D4780AF1E}" srcOrd="1" destOrd="0" presId="urn:microsoft.com/office/officeart/2005/8/layout/pyramid1"/>
  </dgm:cxnLst>
  <dgm:bg>
    <a:solidFill>
      <a:schemeClr val="bg1"/>
    </a:solidFill>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0.69922</cdr:x>
      <cdr:y>0.09348</cdr:y>
    </cdr:from>
    <cdr:to>
      <cdr:x>0.90388</cdr:x>
      <cdr:y>0.1898</cdr:y>
    </cdr:to>
    <cdr:sp macro="" textlink="">
      <cdr:nvSpPr>
        <cdr:cNvPr id="2" name="Поле 1"/>
        <cdr:cNvSpPr txBox="1"/>
      </cdr:nvSpPr>
      <cdr:spPr>
        <a:xfrm xmlns:a="http://schemas.openxmlformats.org/drawingml/2006/main">
          <a:off x="4295775" y="314325"/>
          <a:ext cx="1257300"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0.49302</cdr:x>
      <cdr:y>0.09915</cdr:y>
    </cdr:from>
    <cdr:to>
      <cdr:x>0.88062</cdr:x>
      <cdr:y>0.3711</cdr:y>
    </cdr:to>
    <cdr:sp macro="" textlink="">
      <cdr:nvSpPr>
        <cdr:cNvPr id="3" name="Поле 2"/>
        <cdr:cNvSpPr txBox="1"/>
      </cdr:nvSpPr>
      <cdr:spPr>
        <a:xfrm xmlns:a="http://schemas.openxmlformats.org/drawingml/2006/main">
          <a:off x="3028950" y="333375"/>
          <a:ext cx="238125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0.57984</cdr:x>
      <cdr:y>0.2238</cdr:y>
    </cdr:from>
    <cdr:to>
      <cdr:x>0.72868</cdr:x>
      <cdr:y>0.49575</cdr:y>
    </cdr:to>
    <cdr:sp macro="" textlink="">
      <cdr:nvSpPr>
        <cdr:cNvPr id="4" name="Поле 3"/>
        <cdr:cNvSpPr txBox="1"/>
      </cdr:nvSpPr>
      <cdr:spPr>
        <a:xfrm xmlns:a="http://schemas.openxmlformats.org/drawingml/2006/main">
          <a:off x="3562350" y="75247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0.64961</cdr:x>
      <cdr:y>0.10198</cdr:y>
    </cdr:from>
    <cdr:to>
      <cdr:x>0.92713</cdr:x>
      <cdr:y>0.21246</cdr:y>
    </cdr:to>
    <cdr:sp macro="" textlink="">
      <cdr:nvSpPr>
        <cdr:cNvPr id="5" name="Поле 4"/>
        <cdr:cNvSpPr txBox="1"/>
      </cdr:nvSpPr>
      <cdr:spPr>
        <a:xfrm xmlns:a="http://schemas.openxmlformats.org/drawingml/2006/main">
          <a:off x="3990975" y="342900"/>
          <a:ext cx="1704975"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userShapes>
</file>

<file path=word/drawings/drawing2.xml><?xml version="1.0" encoding="utf-8"?>
<c:userShapes xmlns:c="http://schemas.openxmlformats.org/drawingml/2006/chart">
  <cdr:relSizeAnchor xmlns:cdr="http://schemas.openxmlformats.org/drawingml/2006/chartDrawing">
    <cdr:from>
      <cdr:x>0.69922</cdr:x>
      <cdr:y>0.09348</cdr:y>
    </cdr:from>
    <cdr:to>
      <cdr:x>0.90388</cdr:x>
      <cdr:y>0.1898</cdr:y>
    </cdr:to>
    <cdr:sp macro="" textlink="">
      <cdr:nvSpPr>
        <cdr:cNvPr id="2" name="Поле 1"/>
        <cdr:cNvSpPr txBox="1"/>
      </cdr:nvSpPr>
      <cdr:spPr>
        <a:xfrm xmlns:a="http://schemas.openxmlformats.org/drawingml/2006/main">
          <a:off x="4295775" y="314325"/>
          <a:ext cx="1257300"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0.49302</cdr:x>
      <cdr:y>0.09915</cdr:y>
    </cdr:from>
    <cdr:to>
      <cdr:x>0.88062</cdr:x>
      <cdr:y>0.3711</cdr:y>
    </cdr:to>
    <cdr:sp macro="" textlink="">
      <cdr:nvSpPr>
        <cdr:cNvPr id="3" name="Поле 2"/>
        <cdr:cNvSpPr txBox="1"/>
      </cdr:nvSpPr>
      <cdr:spPr>
        <a:xfrm xmlns:a="http://schemas.openxmlformats.org/drawingml/2006/main">
          <a:off x="3028950" y="333375"/>
          <a:ext cx="238125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0.57984</cdr:x>
      <cdr:y>0.2238</cdr:y>
    </cdr:from>
    <cdr:to>
      <cdr:x>0.72868</cdr:x>
      <cdr:y>0.49575</cdr:y>
    </cdr:to>
    <cdr:sp macro="" textlink="">
      <cdr:nvSpPr>
        <cdr:cNvPr id="4" name="Поле 3"/>
        <cdr:cNvSpPr txBox="1"/>
      </cdr:nvSpPr>
      <cdr:spPr>
        <a:xfrm xmlns:a="http://schemas.openxmlformats.org/drawingml/2006/main">
          <a:off x="3562350" y="75247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0.64961</cdr:x>
      <cdr:y>0.10198</cdr:y>
    </cdr:from>
    <cdr:to>
      <cdr:x>0.92713</cdr:x>
      <cdr:y>0.21246</cdr:y>
    </cdr:to>
    <cdr:sp macro="" textlink="">
      <cdr:nvSpPr>
        <cdr:cNvPr id="5" name="Поле 4"/>
        <cdr:cNvSpPr txBox="1"/>
      </cdr:nvSpPr>
      <cdr:spPr>
        <a:xfrm xmlns:a="http://schemas.openxmlformats.org/drawingml/2006/main">
          <a:off x="3990975" y="342900"/>
          <a:ext cx="1704975"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0B8E5-D51E-4968-ADFF-ADA31B2E6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263</Pages>
  <Words>283623</Words>
  <Characters>161666</Characters>
  <Application>Microsoft Office Word</Application>
  <DocSecurity>0</DocSecurity>
  <Lines>1347</Lines>
  <Paragraphs>888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444401</CharactersWithSpaces>
  <SharedDoc>false</SharedDoc>
  <HLinks>
    <vt:vector size="168" baseType="variant">
      <vt:variant>
        <vt:i4>7012474</vt:i4>
      </vt:variant>
      <vt:variant>
        <vt:i4>21</vt:i4>
      </vt:variant>
      <vt:variant>
        <vt:i4>0</vt:i4>
      </vt:variant>
      <vt:variant>
        <vt:i4>5</vt:i4>
      </vt:variant>
      <vt:variant>
        <vt:lpwstr>http://search.ligazakon.ua/l_doc2.nsf/link1/ed_2009_07_09/pravo1/RE11731.html?pravo=1</vt:lpwstr>
      </vt:variant>
      <vt:variant>
        <vt:lpwstr/>
      </vt:variant>
      <vt:variant>
        <vt:i4>2883646</vt:i4>
      </vt:variant>
      <vt:variant>
        <vt:i4>18</vt:i4>
      </vt:variant>
      <vt:variant>
        <vt:i4>0</vt:i4>
      </vt:variant>
      <vt:variant>
        <vt:i4>5</vt:i4>
      </vt:variant>
      <vt:variant>
        <vt:lpwstr>https://uk.wikipedia.org/wiki/%D0%9B%D0%B5%D0%BC%D0%BA%D1%96%D0%B2%D1%89%D0%B8%D0%BD%D0%B0</vt:lpwstr>
      </vt:variant>
      <vt:variant>
        <vt:lpwstr/>
      </vt:variant>
      <vt:variant>
        <vt:i4>5963795</vt:i4>
      </vt:variant>
      <vt:variant>
        <vt:i4>15</vt:i4>
      </vt:variant>
      <vt:variant>
        <vt:i4>0</vt:i4>
      </vt:variant>
      <vt:variant>
        <vt:i4>5</vt:i4>
      </vt:variant>
      <vt:variant>
        <vt:lpwstr>https://uk.wikipedia.org/wiki/%D0%9F%D0%BE%D1%81%D1%8F%D0%BD%D0%BD%D1%8F</vt:lpwstr>
      </vt:variant>
      <vt:variant>
        <vt:lpwstr/>
      </vt:variant>
      <vt:variant>
        <vt:i4>2424832</vt:i4>
      </vt:variant>
      <vt:variant>
        <vt:i4>12</vt:i4>
      </vt:variant>
      <vt:variant>
        <vt:i4>0</vt:i4>
      </vt:variant>
      <vt:variant>
        <vt:i4>5</vt:i4>
      </vt:variant>
      <vt:variant>
        <vt:lpwstr>https://uk.wikipedia.org/wiki/%D0%97%D0%B0%D1%85%D1%96%D0%B4%D0%BD%D0%B5_%D0%9F%D0%BE%D0%BB%D1%96%D1%81%D1%81%D1%8F</vt:lpwstr>
      </vt:variant>
      <vt:variant>
        <vt:lpwstr/>
      </vt:variant>
      <vt:variant>
        <vt:i4>852095</vt:i4>
      </vt:variant>
      <vt:variant>
        <vt:i4>9</vt:i4>
      </vt:variant>
      <vt:variant>
        <vt:i4>0</vt:i4>
      </vt:variant>
      <vt:variant>
        <vt:i4>5</vt:i4>
      </vt:variant>
      <vt:variant>
        <vt:lpwstr>https://uk.wikipedia.org/wiki/%D0%97%D0%B0%D1%85%D1%96%D0%B4%D0%BD%D0%B0_%D0%92%D0%BE%D0%BB%D0%B8%D0%BD%D1%8C</vt:lpwstr>
      </vt:variant>
      <vt:variant>
        <vt:lpwstr/>
      </vt:variant>
      <vt:variant>
        <vt:i4>3014757</vt:i4>
      </vt:variant>
      <vt:variant>
        <vt:i4>6</vt:i4>
      </vt:variant>
      <vt:variant>
        <vt:i4>0</vt:i4>
      </vt:variant>
      <vt:variant>
        <vt:i4>5</vt:i4>
      </vt:variant>
      <vt:variant>
        <vt:lpwstr>https://uk.wikipedia.org/wiki/%D0%9F%D1%96%D0%B4%D0%BB%D1%8F%D1%88%D1%88%D1%8F</vt:lpwstr>
      </vt:variant>
      <vt:variant>
        <vt:lpwstr/>
      </vt:variant>
      <vt:variant>
        <vt:i4>2883644</vt:i4>
      </vt:variant>
      <vt:variant>
        <vt:i4>3</vt:i4>
      </vt:variant>
      <vt:variant>
        <vt:i4>0</vt:i4>
      </vt:variant>
      <vt:variant>
        <vt:i4>5</vt:i4>
      </vt:variant>
      <vt:variant>
        <vt:lpwstr>https://uk.wikipedia.org/wiki/%D0%A5%D0%BE%D0%BB%D0%BC%D1%89%D0%B8%D0%BD%D0%B0</vt:lpwstr>
      </vt:variant>
      <vt:variant>
        <vt:lpwstr/>
      </vt:variant>
      <vt:variant>
        <vt:i4>2752612</vt:i4>
      </vt:variant>
      <vt:variant>
        <vt:i4>0</vt:i4>
      </vt:variant>
      <vt:variant>
        <vt:i4>0</vt:i4>
      </vt:variant>
      <vt:variant>
        <vt:i4>5</vt:i4>
      </vt:variant>
      <vt:variant>
        <vt:lpwstr>https://uk.wikipedia.org/wiki/%D0%93%D0%B0%D0%BB%D0%B8%D1%87%D0%B8%D0%BD%D0%B0</vt:lpwstr>
      </vt:variant>
      <vt:variant>
        <vt:lpwstr/>
      </vt:variant>
      <vt:variant>
        <vt:i4>4391037</vt:i4>
      </vt:variant>
      <vt:variant>
        <vt:i4>57</vt:i4>
      </vt:variant>
      <vt:variant>
        <vt:i4>0</vt:i4>
      </vt:variant>
      <vt:variant>
        <vt:i4>5</vt:i4>
      </vt:variant>
      <vt:variant>
        <vt:lpwstr>https://archive.org/details/_x000b_in.ernet.dli.2015.228995</vt:lpwstr>
      </vt:variant>
      <vt:variant>
        <vt:lpwstr/>
      </vt:variant>
      <vt:variant>
        <vt:i4>983075</vt:i4>
      </vt:variant>
      <vt:variant>
        <vt:i4>54</vt:i4>
      </vt:variant>
      <vt:variant>
        <vt:i4>0</vt:i4>
      </vt:variant>
      <vt:variant>
        <vt:i4>5</vt:i4>
      </vt:variant>
      <vt:variant>
        <vt:lpwstr>https://cyberleninka.ru/article_x000b_/v/zarubezhnyy-opyt-negosudarstvennogo-pensionnogo-strahovaniya</vt:lpwstr>
      </vt:variant>
      <vt:variant>
        <vt:lpwstr/>
      </vt:variant>
      <vt:variant>
        <vt:i4>8060960</vt:i4>
      </vt:variant>
      <vt:variant>
        <vt:i4>51</vt:i4>
      </vt:variant>
      <vt:variant>
        <vt:i4>0</vt:i4>
      </vt:variant>
      <vt:variant>
        <vt:i4>5</vt:i4>
      </vt:variant>
      <vt:variant>
        <vt:lpwstr>https://zakon.rada.gov.ua/laws/ show/39-92</vt:lpwstr>
      </vt:variant>
      <vt:variant>
        <vt:lpwstr/>
      </vt:variant>
      <vt:variant>
        <vt:i4>4718693</vt:i4>
      </vt:variant>
      <vt:variant>
        <vt:i4>48</vt:i4>
      </vt:variant>
      <vt:variant>
        <vt:i4>0</vt:i4>
      </vt:variant>
      <vt:variant>
        <vt:i4>5</vt:i4>
      </vt:variant>
      <vt:variant>
        <vt:lpwstr>http://www.libussr.ru/doc_ussr/</vt:lpwstr>
      </vt:variant>
      <vt:variant>
        <vt:lpwstr/>
      </vt:variant>
      <vt:variant>
        <vt:i4>2818174</vt:i4>
      </vt:variant>
      <vt:variant>
        <vt:i4>45</vt:i4>
      </vt:variant>
      <vt:variant>
        <vt:i4>0</vt:i4>
      </vt:variant>
      <vt:variant>
        <vt:i4>5</vt:i4>
      </vt:variant>
      <vt:variant>
        <vt:lpwstr>http://www/</vt:lpwstr>
      </vt:variant>
      <vt:variant>
        <vt:lpwstr/>
      </vt:variant>
      <vt:variant>
        <vt:i4>2556002</vt:i4>
      </vt:variant>
      <vt:variant>
        <vt:i4>42</vt:i4>
      </vt:variant>
      <vt:variant>
        <vt:i4>0</vt:i4>
      </vt:variant>
      <vt:variant>
        <vt:i4>5</vt:i4>
      </vt:variant>
      <vt:variant>
        <vt:lpwstr>http://www.univer.km.ua/visnyk/</vt:lpwstr>
      </vt:variant>
      <vt:variant>
        <vt:lpwstr/>
      </vt:variant>
      <vt:variant>
        <vt:i4>1376326</vt:i4>
      </vt:variant>
      <vt:variant>
        <vt:i4>39</vt:i4>
      </vt:variant>
      <vt:variant>
        <vt:i4>0</vt:i4>
      </vt:variant>
      <vt:variant>
        <vt:i4>5</vt:i4>
      </vt:variant>
      <vt:variant>
        <vt:lpwstr>https://googl/HzPMZ4</vt:lpwstr>
      </vt:variant>
      <vt:variant>
        <vt:lpwstr/>
      </vt:variant>
      <vt:variant>
        <vt:i4>5963849</vt:i4>
      </vt:variant>
      <vt:variant>
        <vt:i4>36</vt:i4>
      </vt:variant>
      <vt:variant>
        <vt:i4>0</vt:i4>
      </vt:variant>
      <vt:variant>
        <vt:i4>5</vt:i4>
      </vt:variant>
      <vt:variant>
        <vt:lpwstr>https://zakon.rada.gov.ua/laws/show/1767-14</vt:lpwstr>
      </vt:variant>
      <vt:variant>
        <vt:lpwstr>o12</vt:lpwstr>
      </vt:variant>
      <vt:variant>
        <vt:i4>7471166</vt:i4>
      </vt:variant>
      <vt:variant>
        <vt:i4>33</vt:i4>
      </vt:variant>
      <vt:variant>
        <vt:i4>0</vt:i4>
      </vt:variant>
      <vt:variant>
        <vt:i4>5</vt:i4>
      </vt:variant>
      <vt:variant>
        <vt:lpwstr>https://zakon.rada.gov.ua/laws/show/239/95</vt:lpwstr>
      </vt:variant>
      <vt:variant>
        <vt:lpwstr/>
      </vt:variant>
      <vt:variant>
        <vt:i4>7274613</vt:i4>
      </vt:variant>
      <vt:variant>
        <vt:i4>30</vt:i4>
      </vt:variant>
      <vt:variant>
        <vt:i4>0</vt:i4>
      </vt:variant>
      <vt:variant>
        <vt:i4>5</vt:i4>
      </vt:variant>
      <vt:variant>
        <vt:lpwstr>https://zakon.rada.gov.ua/laws/show/2493-14</vt:lpwstr>
      </vt:variant>
      <vt:variant>
        <vt:lpwstr>n210</vt:lpwstr>
      </vt:variant>
      <vt:variant>
        <vt:i4>458800</vt:i4>
      </vt:variant>
      <vt:variant>
        <vt:i4>27</vt:i4>
      </vt:variant>
      <vt:variant>
        <vt:i4>0</vt:i4>
      </vt:variant>
      <vt:variant>
        <vt:i4>5</vt:i4>
      </vt:variant>
      <vt:variant>
        <vt:lpwstr>https://zakon.rada.gov.ua/laws/show/428_010</vt:lpwstr>
      </vt:variant>
      <vt:variant>
        <vt:lpwstr/>
      </vt:variant>
      <vt:variant>
        <vt:i4>131128</vt:i4>
      </vt:variant>
      <vt:variant>
        <vt:i4>24</vt:i4>
      </vt:variant>
      <vt:variant>
        <vt:i4>0</vt:i4>
      </vt:variant>
      <vt:variant>
        <vt:i4>5</vt:i4>
      </vt:variant>
      <vt:variant>
        <vt:lpwstr>https://zakon.rada.gov.ua/laws/show/440_022</vt:lpwstr>
      </vt:variant>
      <vt:variant>
        <vt:lpwstr/>
      </vt:variant>
      <vt:variant>
        <vt:i4>393277</vt:i4>
      </vt:variant>
      <vt:variant>
        <vt:i4>21</vt:i4>
      </vt:variant>
      <vt:variant>
        <vt:i4>0</vt:i4>
      </vt:variant>
      <vt:variant>
        <vt:i4>5</vt:i4>
      </vt:variant>
      <vt:variant>
        <vt:lpwstr>https://zakon.rada.gov.ua/laws/show/100_028</vt:lpwstr>
      </vt:variant>
      <vt:variant>
        <vt:lpwstr/>
      </vt:variant>
      <vt:variant>
        <vt:i4>327741</vt:i4>
      </vt:variant>
      <vt:variant>
        <vt:i4>18</vt:i4>
      </vt:variant>
      <vt:variant>
        <vt:i4>0</vt:i4>
      </vt:variant>
      <vt:variant>
        <vt:i4>5</vt:i4>
      </vt:variant>
      <vt:variant>
        <vt:lpwstr>https://zakon.rada.gov.ua/laws/show/203_019</vt:lpwstr>
      </vt:variant>
      <vt:variant>
        <vt:lpwstr/>
      </vt:variant>
      <vt:variant>
        <vt:i4>196669</vt:i4>
      </vt:variant>
      <vt:variant>
        <vt:i4>15</vt:i4>
      </vt:variant>
      <vt:variant>
        <vt:i4>0</vt:i4>
      </vt:variant>
      <vt:variant>
        <vt:i4>5</vt:i4>
      </vt:variant>
      <vt:variant>
        <vt:lpwstr>https://zakon.rada.gov.ua/laws/show/233_040</vt:lpwstr>
      </vt:variant>
      <vt:variant>
        <vt:lpwstr/>
      </vt:variant>
      <vt:variant>
        <vt:i4>262202</vt:i4>
      </vt:variant>
      <vt:variant>
        <vt:i4>12</vt:i4>
      </vt:variant>
      <vt:variant>
        <vt:i4>0</vt:i4>
      </vt:variant>
      <vt:variant>
        <vt:i4>5</vt:i4>
      </vt:variant>
      <vt:variant>
        <vt:lpwstr>https://zakon.rada.gov.ua/laws/show/620_024</vt:lpwstr>
      </vt:variant>
      <vt:variant>
        <vt:lpwstr/>
      </vt:variant>
      <vt:variant>
        <vt:i4>917543</vt:i4>
      </vt:variant>
      <vt:variant>
        <vt:i4>9</vt:i4>
      </vt:variant>
      <vt:variant>
        <vt:i4>0</vt:i4>
      </vt:variant>
      <vt:variant>
        <vt:i4>5</vt:i4>
      </vt:variant>
      <vt:variant>
        <vt:lpwstr>https://zakon.rada.gov.ua/laws/card/616_161</vt:lpwstr>
      </vt:variant>
      <vt:variant>
        <vt:lpwstr/>
      </vt:variant>
      <vt:variant>
        <vt:i4>6422580</vt:i4>
      </vt:variant>
      <vt:variant>
        <vt:i4>6</vt:i4>
      </vt:variant>
      <vt:variant>
        <vt:i4>0</vt:i4>
      </vt:variant>
      <vt:variant>
        <vt:i4>5</vt:i4>
      </vt:variant>
      <vt:variant>
        <vt:lpwstr>http://www.pfrf.ru/files/id/pensii/pens_zarubej/mejpravitel_soglsh/mongol.doc.</vt:lpwstr>
      </vt:variant>
      <vt:variant>
        <vt:lpwstr/>
      </vt:variant>
      <vt:variant>
        <vt:i4>196659</vt:i4>
      </vt:variant>
      <vt:variant>
        <vt:i4>3</vt:i4>
      </vt:variant>
      <vt:variant>
        <vt:i4>0</vt:i4>
      </vt:variant>
      <vt:variant>
        <vt:i4>5</vt:i4>
      </vt:variant>
      <vt:variant>
        <vt:lpwstr>https://zakon.rada.gov.ua/laws/show/268_513</vt:lpwstr>
      </vt:variant>
      <vt:variant>
        <vt:lpwstr/>
      </vt:variant>
      <vt:variant>
        <vt:i4>196667</vt:i4>
      </vt:variant>
      <vt:variant>
        <vt:i4>0</vt:i4>
      </vt:variant>
      <vt:variant>
        <vt:i4>0</vt:i4>
      </vt:variant>
      <vt:variant>
        <vt:i4>5</vt:i4>
      </vt:variant>
      <vt:variant>
        <vt:lpwstr>https://zakon.rada.gov.ua/laws/show/031_644</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Natalya</dc:creator>
  <cp:lastModifiedBy>A-5315</cp:lastModifiedBy>
  <cp:revision>105</cp:revision>
  <dcterms:created xsi:type="dcterms:W3CDTF">2019-08-06T23:26:00Z</dcterms:created>
  <dcterms:modified xsi:type="dcterms:W3CDTF">2019-08-15T07:05:00Z</dcterms:modified>
</cp:coreProperties>
</file>