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0C14" w:rsidRDefault="00E16C6E">
      <w:pPr>
        <w:spacing w:line="271" w:lineRule="exact"/>
        <w:ind w:right="160"/>
        <w:jc w:val="center"/>
        <w:rPr>
          <w:rFonts w:ascii="Times New Roman" w:hAnsi="Times New Roman" w:cs="Times New Roman"/>
          <w:sz w:val="24"/>
          <w:lang w:val="ru-RU"/>
        </w:rPr>
      </w:pPr>
      <w:r>
        <w:rPr>
          <w:rFonts w:ascii="Times New Roman" w:hAnsi="Times New Roman" w:cs="Times New Roman"/>
          <w:sz w:val="24"/>
          <w:lang w:val="ru-RU"/>
        </w:rPr>
        <w:t>Міністерство освіти і науки України</w:t>
      </w:r>
    </w:p>
    <w:p w:rsidR="001D0C14" w:rsidRDefault="00E16C6E">
      <w:pPr>
        <w:spacing w:line="271" w:lineRule="exact"/>
        <w:ind w:right="160"/>
        <w:jc w:val="center"/>
        <w:rPr>
          <w:rFonts w:ascii="Times New Roman" w:hAnsi="Times New Roman" w:cs="Times New Roman"/>
          <w:sz w:val="24"/>
          <w:lang w:val="ru-RU"/>
        </w:rPr>
      </w:pPr>
      <w:r>
        <w:rPr>
          <w:rFonts w:ascii="Times New Roman" w:hAnsi="Times New Roman" w:cs="Times New Roman"/>
          <w:sz w:val="24"/>
          <w:lang w:val="ru-RU"/>
        </w:rPr>
        <w:t>Івано-Франківський національний технічний університет нафти і газу</w:t>
      </w:r>
    </w:p>
    <w:p w:rsidR="001D0C14" w:rsidRDefault="00E16C6E">
      <w:pPr>
        <w:spacing w:line="271" w:lineRule="exact"/>
        <w:ind w:right="160"/>
        <w:jc w:val="center"/>
        <w:rPr>
          <w:rFonts w:ascii="Times New Roman" w:hAnsi="Times New Roman" w:cs="Times New Roman"/>
          <w:sz w:val="24"/>
          <w:lang w:val="ru-RU"/>
        </w:rPr>
      </w:pPr>
      <w:r>
        <w:rPr>
          <w:rFonts w:ascii="Times New Roman" w:hAnsi="Times New Roman" w:cs="Times New Roman"/>
          <w:sz w:val="24"/>
          <w:lang w:val="ru-RU"/>
        </w:rPr>
        <w:t>Інститут економіки та менеджменту</w:t>
      </w:r>
    </w:p>
    <w:p w:rsidR="001D0C14" w:rsidRDefault="00E16C6E">
      <w:pPr>
        <w:spacing w:line="271" w:lineRule="exact"/>
        <w:ind w:right="160"/>
        <w:jc w:val="center"/>
        <w:rPr>
          <w:rFonts w:ascii="Times New Roman" w:hAnsi="Times New Roman" w:cs="Times New Roman"/>
          <w:sz w:val="24"/>
          <w:lang w:val="ru-RU"/>
        </w:rPr>
      </w:pPr>
      <w:r>
        <w:rPr>
          <w:rFonts w:ascii="Times New Roman" w:hAnsi="Times New Roman" w:cs="Times New Roman"/>
          <w:sz w:val="24"/>
          <w:lang w:val="ru-RU"/>
        </w:rPr>
        <w:t>Кафедра туризму</w:t>
      </w:r>
    </w:p>
    <w:p w:rsidR="001D0C14" w:rsidRDefault="001D0C14">
      <w:pPr>
        <w:pStyle w:val="af4"/>
        <w:ind w:left="0"/>
        <w:jc w:val="left"/>
        <w:rPr>
          <w:sz w:val="20"/>
        </w:rPr>
      </w:pPr>
    </w:p>
    <w:p w:rsidR="001D0C14" w:rsidRDefault="00E16C6E">
      <w:pPr>
        <w:pStyle w:val="af4"/>
        <w:spacing w:before="91"/>
        <w:ind w:left="0"/>
        <w:jc w:val="center"/>
      </w:pPr>
      <w:r>
        <w:t>Савчук Вікторія Іванівна</w:t>
      </w:r>
    </w:p>
    <w:tbl>
      <w:tblPr>
        <w:tblStyle w:val="TableNormal"/>
        <w:tblW w:w="9563" w:type="dxa"/>
        <w:tblInd w:w="213" w:type="dxa"/>
        <w:tblLayout w:type="fixed"/>
        <w:tblLook w:val="01E0" w:firstRow="1" w:lastRow="1" w:firstColumn="1" w:lastColumn="1" w:noHBand="0" w:noVBand="0"/>
      </w:tblPr>
      <w:tblGrid>
        <w:gridCol w:w="9563"/>
      </w:tblGrid>
      <w:tr w:rsidR="001D0C14">
        <w:trPr>
          <w:trHeight w:val="411"/>
        </w:trPr>
        <w:tc>
          <w:tcPr>
            <w:tcW w:w="9563" w:type="dxa"/>
          </w:tcPr>
          <w:p w:rsidR="001D0C14" w:rsidRDefault="00E16C6E">
            <w:pPr>
              <w:pStyle w:val="TableParagraph"/>
              <w:spacing w:line="266" w:lineRule="exact"/>
              <w:ind w:left="3680"/>
              <w:rPr>
                <w:sz w:val="24"/>
              </w:rPr>
            </w:pPr>
            <w:r>
              <w:rPr>
                <w:noProof/>
              </w:rPr>
              <mc:AlternateContent>
                <mc:Choice Requires="wpg">
                  <w:drawing>
                    <wp:anchor distT="0" distB="0" distL="0" distR="0" simplePos="0" relativeHeight="2" behindDoc="1" locked="0" layoutInCell="1" allowOverlap="1" wp14:anchorId="67964370">
                      <wp:simplePos x="0" y="0"/>
                      <wp:positionH relativeFrom="column">
                        <wp:posOffset>4445</wp:posOffset>
                      </wp:positionH>
                      <wp:positionV relativeFrom="paragraph">
                        <wp:posOffset>38100</wp:posOffset>
                      </wp:positionV>
                      <wp:extent cx="6069330" cy="7620"/>
                      <wp:effectExtent l="0" t="0" r="0" b="0"/>
                      <wp:wrapNone/>
                      <wp:docPr id="1" name="Group 5"/>
                      <wp:cNvGraphicFramePr/>
                      <a:graphic xmlns:a="http://schemas.openxmlformats.org/drawingml/2006/main">
                        <a:graphicData uri="http://schemas.microsoft.com/office/word/2010/wordprocessingGroup">
                          <wpg:wgp>
                            <wpg:cNvGrpSpPr/>
                            <wpg:grpSpPr>
                              <a:xfrm>
                                <a:off x="0" y="0"/>
                                <a:ext cx="6068520" cy="6840"/>
                                <a:chOff x="4320" y="38160"/>
                                <a:chExt cx="6068520" cy="6840"/>
                              </a:xfrm>
                            </wpg:grpSpPr>
                            <wps:wsp>
                              <wps:cNvPr id="2" name="Полілінія: фігура 2"/>
                              <wps:cNvSpPr/>
                              <wps:spPr>
                                <a:xfrm>
                                  <a:off x="0" y="0"/>
                                  <a:ext cx="6068520" cy="6840"/>
                                </a:xfrm>
                                <a:custGeom>
                                  <a:avLst/>
                                  <a:gdLst/>
                                  <a:ahLst/>
                                  <a:cxnLst/>
                                  <a:rect l="l" t="t" r="r" b="b"/>
                                  <a:pathLst>
                                    <a:path w="6068060" h="6350">
                                      <a:moveTo>
                                        <a:pt x="4820666" y="0"/>
                                      </a:moveTo>
                                      <a:lnTo>
                                        <a:pt x="0" y="0"/>
                                      </a:lnTo>
                                      <a:lnTo>
                                        <a:pt x="0" y="6096"/>
                                      </a:lnTo>
                                      <a:lnTo>
                                        <a:pt x="4820666" y="6096"/>
                                      </a:lnTo>
                                      <a:lnTo>
                                        <a:pt x="4820666" y="0"/>
                                      </a:lnTo>
                                      <a:close/>
                                      <a:moveTo>
                                        <a:pt x="4826825" y="0"/>
                                      </a:moveTo>
                                      <a:lnTo>
                                        <a:pt x="4820742" y="0"/>
                                      </a:lnTo>
                                      <a:lnTo>
                                        <a:pt x="4820742" y="6096"/>
                                      </a:lnTo>
                                      <a:lnTo>
                                        <a:pt x="4826825" y="6096"/>
                                      </a:lnTo>
                                      <a:lnTo>
                                        <a:pt x="4826825" y="0"/>
                                      </a:lnTo>
                                      <a:close/>
                                      <a:moveTo>
                                        <a:pt x="6067984" y="0"/>
                                      </a:moveTo>
                                      <a:lnTo>
                                        <a:pt x="4826838" y="0"/>
                                      </a:lnTo>
                                      <a:lnTo>
                                        <a:pt x="4826838" y="6096"/>
                                      </a:lnTo>
                                      <a:lnTo>
                                        <a:pt x="6067984" y="6096"/>
                                      </a:lnTo>
                                      <a:lnTo>
                                        <a:pt x="6067984"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g:wgp>
                        </a:graphicData>
                      </a:graphic>
                    </wp:anchor>
                  </w:drawing>
                </mc:Choice>
                <mc:Fallback>
                  <w:pict>
                    <v:group id="shape_0" alt="Group 5" style="position:absolute;margin-left:0.35pt;margin-top:3pt;width:477.85pt;height:0.55pt" coordorigin="7,60" coordsize="9557,11"/>
                  </w:pict>
                </mc:Fallback>
              </mc:AlternateContent>
            </w:r>
            <w:r>
              <w:rPr>
                <w:sz w:val="24"/>
              </w:rPr>
              <w:t>(прізвище,</w:t>
            </w:r>
            <w:r>
              <w:rPr>
                <w:spacing w:val="-3"/>
                <w:sz w:val="24"/>
              </w:rPr>
              <w:t xml:space="preserve"> </w:t>
            </w:r>
            <w:r>
              <w:rPr>
                <w:sz w:val="24"/>
              </w:rPr>
              <w:t>ім’я,</w:t>
            </w:r>
            <w:r>
              <w:rPr>
                <w:spacing w:val="-3"/>
                <w:sz w:val="24"/>
              </w:rPr>
              <w:t xml:space="preserve"> </w:t>
            </w:r>
            <w:r>
              <w:rPr>
                <w:sz w:val="24"/>
              </w:rPr>
              <w:t>по</w:t>
            </w:r>
            <w:r>
              <w:rPr>
                <w:spacing w:val="-4"/>
                <w:sz w:val="24"/>
              </w:rPr>
              <w:t xml:space="preserve"> </w:t>
            </w:r>
            <w:r>
              <w:rPr>
                <w:spacing w:val="-2"/>
                <w:sz w:val="24"/>
              </w:rPr>
              <w:t>батькові)</w:t>
            </w:r>
          </w:p>
        </w:tc>
      </w:tr>
      <w:tr w:rsidR="001D0C14">
        <w:trPr>
          <w:trHeight w:val="1091"/>
        </w:trPr>
        <w:tc>
          <w:tcPr>
            <w:tcW w:w="9563" w:type="dxa"/>
          </w:tcPr>
          <w:p w:rsidR="001D0C14" w:rsidRDefault="005B551B" w:rsidP="005B551B">
            <w:pPr>
              <w:pStyle w:val="TableParagraph"/>
              <w:spacing w:before="135" w:line="268" w:lineRule="exact"/>
              <w:ind w:right="29"/>
              <w:jc w:val="right"/>
              <w:rPr>
                <w:sz w:val="24"/>
              </w:rPr>
            </w:pPr>
            <w:r>
              <w:rPr>
                <w:spacing w:val="-5"/>
                <w:sz w:val="24"/>
              </w:rPr>
              <w:t>УДК</w:t>
            </w:r>
            <w:r>
              <w:rPr>
                <w:sz w:val="24"/>
                <w:lang w:val="de-DE"/>
              </w:rPr>
              <w:t xml:space="preserve"> </w:t>
            </w:r>
            <w:bookmarkStart w:id="0" w:name="_GoBack"/>
            <w:bookmarkEnd w:id="0"/>
            <w:r w:rsidR="00E16C6E">
              <w:rPr>
                <w:spacing w:val="-5"/>
                <w:sz w:val="24"/>
              </w:rPr>
              <w:t>338.48-611</w:t>
            </w:r>
          </w:p>
          <w:p w:rsidR="001D0C14" w:rsidRDefault="001D0C14" w:rsidP="005B551B">
            <w:pPr>
              <w:pStyle w:val="TableParagraph"/>
              <w:spacing w:before="135" w:line="268" w:lineRule="exact"/>
              <w:ind w:left="7058" w:right="29"/>
              <w:jc w:val="center"/>
              <w:rPr>
                <w:sz w:val="24"/>
              </w:rPr>
            </w:pPr>
          </w:p>
        </w:tc>
      </w:tr>
      <w:tr w:rsidR="001D0C14">
        <w:trPr>
          <w:trHeight w:val="1091"/>
        </w:trPr>
        <w:tc>
          <w:tcPr>
            <w:tcW w:w="9563" w:type="dxa"/>
            <w:tcBorders>
              <w:bottom w:val="single" w:sz="4" w:space="0" w:color="000000"/>
            </w:tcBorders>
          </w:tcPr>
          <w:p w:rsidR="001D0C14" w:rsidRDefault="00E16C6E">
            <w:pPr>
              <w:pStyle w:val="TableParagraph"/>
              <w:spacing w:before="135" w:line="268" w:lineRule="exact"/>
              <w:jc w:val="center"/>
              <w:rPr>
                <w:b/>
                <w:spacing w:val="-5"/>
                <w:sz w:val="24"/>
              </w:rPr>
            </w:pPr>
            <w:r>
              <w:rPr>
                <w:b/>
                <w:spacing w:val="-5"/>
                <w:sz w:val="40"/>
              </w:rPr>
              <w:t>БАКАЛАВРСЬКА РОБОТА</w:t>
            </w:r>
          </w:p>
          <w:p w:rsidR="001D0C14" w:rsidRDefault="001D0C14">
            <w:pPr>
              <w:pStyle w:val="TableParagraph"/>
              <w:spacing w:before="135" w:line="268" w:lineRule="exact"/>
              <w:jc w:val="center"/>
              <w:rPr>
                <w:b/>
                <w:spacing w:val="-5"/>
                <w:sz w:val="24"/>
              </w:rPr>
            </w:pPr>
          </w:p>
          <w:p w:rsidR="001D0C14" w:rsidRDefault="00E16C6E">
            <w:pPr>
              <w:widowControl w:val="0"/>
              <w:tabs>
                <w:tab w:val="center" w:pos="5155"/>
              </w:tabs>
              <w:spacing w:after="0" w:line="360" w:lineRule="auto"/>
              <w:ind w:firstLine="709"/>
              <w:jc w:val="center"/>
              <w:rPr>
                <w:spacing w:val="-5"/>
                <w:sz w:val="40"/>
              </w:rPr>
            </w:pPr>
            <w:r>
              <w:rPr>
                <w:rFonts w:ascii="Times New Roman" w:hAnsi="Times New Roman"/>
                <w:spacing w:val="-5"/>
                <w:sz w:val="28"/>
                <w:szCs w:val="28"/>
                <w:lang w:val="uk-UA"/>
              </w:rPr>
              <w:t>Фестивальна діяльність Витвицької ОТГ як інструмент активізації туризму</w:t>
            </w:r>
          </w:p>
        </w:tc>
      </w:tr>
      <w:tr w:rsidR="001D0C14">
        <w:trPr>
          <w:trHeight w:val="613"/>
        </w:trPr>
        <w:tc>
          <w:tcPr>
            <w:tcW w:w="9563" w:type="dxa"/>
            <w:tcBorders>
              <w:top w:val="single" w:sz="4" w:space="0" w:color="000000"/>
              <w:bottom w:val="single" w:sz="4" w:space="0" w:color="000000"/>
            </w:tcBorders>
          </w:tcPr>
          <w:p w:rsidR="001D0C14" w:rsidRDefault="00E16C6E">
            <w:pPr>
              <w:pStyle w:val="TableParagraph"/>
              <w:spacing w:line="183" w:lineRule="exact"/>
              <w:ind w:left="421" w:right="418"/>
              <w:jc w:val="center"/>
              <w:rPr>
                <w:sz w:val="18"/>
              </w:rPr>
            </w:pPr>
            <w:r>
              <w:rPr>
                <w:sz w:val="18"/>
              </w:rPr>
              <w:t>(назва</w:t>
            </w:r>
            <w:r>
              <w:rPr>
                <w:spacing w:val="-5"/>
                <w:sz w:val="18"/>
              </w:rPr>
              <w:t xml:space="preserve"> </w:t>
            </w:r>
            <w:r>
              <w:rPr>
                <w:spacing w:val="-2"/>
                <w:sz w:val="18"/>
              </w:rPr>
              <w:t>роботи)</w:t>
            </w:r>
          </w:p>
          <w:p w:rsidR="001D0C14" w:rsidRDefault="001D0C14">
            <w:pPr>
              <w:pStyle w:val="TableParagraph"/>
              <w:spacing w:line="183" w:lineRule="exact"/>
              <w:ind w:left="421" w:right="418"/>
              <w:jc w:val="center"/>
              <w:rPr>
                <w:sz w:val="18"/>
              </w:rPr>
            </w:pPr>
          </w:p>
          <w:p w:rsidR="001D0C14" w:rsidRDefault="00E16C6E">
            <w:pPr>
              <w:pStyle w:val="TableParagraph"/>
              <w:spacing w:line="183" w:lineRule="exact"/>
              <w:ind w:left="421" w:right="418"/>
              <w:jc w:val="center"/>
              <w:rPr>
                <w:sz w:val="28"/>
                <w:szCs w:val="28"/>
              </w:rPr>
            </w:pPr>
            <w:r>
              <w:rPr>
                <w:spacing w:val="-2"/>
                <w:sz w:val="28"/>
                <w:szCs w:val="28"/>
              </w:rPr>
              <w:t>бакалавр</w:t>
            </w:r>
          </w:p>
        </w:tc>
      </w:tr>
      <w:tr w:rsidR="001D0C14">
        <w:trPr>
          <w:trHeight w:val="589"/>
        </w:trPr>
        <w:tc>
          <w:tcPr>
            <w:tcW w:w="9563" w:type="dxa"/>
            <w:tcBorders>
              <w:top w:val="single" w:sz="4" w:space="0" w:color="000000"/>
              <w:bottom w:val="single" w:sz="4" w:space="0" w:color="000000"/>
            </w:tcBorders>
          </w:tcPr>
          <w:p w:rsidR="001D0C14" w:rsidRDefault="00E16C6E">
            <w:pPr>
              <w:pStyle w:val="TableParagraph"/>
              <w:spacing w:line="183" w:lineRule="exact"/>
              <w:ind w:left="421" w:right="414"/>
              <w:jc w:val="center"/>
              <w:rPr>
                <w:sz w:val="18"/>
              </w:rPr>
            </w:pPr>
            <w:r>
              <w:rPr>
                <w:sz w:val="18"/>
              </w:rPr>
              <w:t>(назва</w:t>
            </w:r>
            <w:r>
              <w:rPr>
                <w:spacing w:val="-3"/>
                <w:sz w:val="18"/>
              </w:rPr>
              <w:t xml:space="preserve"> </w:t>
            </w:r>
            <w:r>
              <w:rPr>
                <w:sz w:val="18"/>
              </w:rPr>
              <w:t>освітньої</w:t>
            </w:r>
            <w:r>
              <w:rPr>
                <w:spacing w:val="-6"/>
                <w:sz w:val="18"/>
              </w:rPr>
              <w:t xml:space="preserve"> </w:t>
            </w:r>
            <w:r>
              <w:rPr>
                <w:spacing w:val="-2"/>
                <w:sz w:val="18"/>
              </w:rPr>
              <w:t>програми)</w:t>
            </w:r>
          </w:p>
          <w:p w:rsidR="001D0C14" w:rsidRDefault="001D0C14">
            <w:pPr>
              <w:pStyle w:val="TableParagraph"/>
              <w:spacing w:line="183" w:lineRule="exact"/>
              <w:ind w:left="421" w:right="414"/>
              <w:jc w:val="center"/>
              <w:rPr>
                <w:sz w:val="18"/>
              </w:rPr>
            </w:pPr>
          </w:p>
          <w:p w:rsidR="001D0C14" w:rsidRDefault="00E16C6E">
            <w:pPr>
              <w:pStyle w:val="TableParagraph"/>
              <w:spacing w:line="183" w:lineRule="exact"/>
              <w:ind w:left="421" w:right="414"/>
              <w:jc w:val="center"/>
              <w:rPr>
                <w:sz w:val="24"/>
                <w:szCs w:val="24"/>
              </w:rPr>
            </w:pPr>
            <w:r>
              <w:rPr>
                <w:spacing w:val="-2"/>
                <w:sz w:val="24"/>
                <w:szCs w:val="24"/>
              </w:rPr>
              <w:t>242 “Туризм”</w:t>
            </w:r>
          </w:p>
        </w:tc>
      </w:tr>
    </w:tbl>
    <w:p w:rsidR="001D0C14" w:rsidRDefault="00E16C6E">
      <w:pPr>
        <w:spacing w:before="109"/>
        <w:ind w:right="113"/>
        <w:jc w:val="center"/>
        <w:rPr>
          <w:rFonts w:ascii="Times New Roman" w:hAnsi="Times New Roman" w:cs="Times New Roman"/>
          <w:b/>
          <w:sz w:val="18"/>
          <w:lang w:val="ru-RU"/>
        </w:rPr>
      </w:pPr>
      <w:r>
        <w:rPr>
          <w:rFonts w:ascii="Times New Roman" w:hAnsi="Times New Roman" w:cs="Times New Roman"/>
          <w:b/>
          <w:sz w:val="18"/>
          <w:lang w:val="ru-RU"/>
        </w:rPr>
        <w:t>(шифр</w:t>
      </w:r>
      <w:r>
        <w:rPr>
          <w:rFonts w:ascii="Times New Roman" w:hAnsi="Times New Roman" w:cs="Times New Roman"/>
          <w:b/>
          <w:spacing w:val="-7"/>
          <w:sz w:val="18"/>
          <w:lang w:val="ru-RU"/>
        </w:rPr>
        <w:t xml:space="preserve"> </w:t>
      </w:r>
      <w:r>
        <w:rPr>
          <w:rFonts w:ascii="Times New Roman" w:hAnsi="Times New Roman" w:cs="Times New Roman"/>
          <w:b/>
          <w:sz w:val="18"/>
          <w:lang w:val="ru-RU"/>
        </w:rPr>
        <w:t>і</w:t>
      </w:r>
      <w:r>
        <w:rPr>
          <w:rFonts w:ascii="Times New Roman" w:hAnsi="Times New Roman" w:cs="Times New Roman"/>
          <w:b/>
          <w:spacing w:val="1"/>
          <w:sz w:val="18"/>
          <w:lang w:val="ru-RU"/>
        </w:rPr>
        <w:t xml:space="preserve"> </w:t>
      </w:r>
      <w:r>
        <w:rPr>
          <w:rFonts w:ascii="Times New Roman" w:hAnsi="Times New Roman" w:cs="Times New Roman"/>
          <w:b/>
          <w:sz w:val="18"/>
          <w:lang w:val="ru-RU"/>
        </w:rPr>
        <w:t xml:space="preserve">назва </w:t>
      </w:r>
      <w:r>
        <w:rPr>
          <w:rFonts w:ascii="Times New Roman" w:hAnsi="Times New Roman" w:cs="Times New Roman"/>
          <w:b/>
          <w:spacing w:val="-2"/>
          <w:sz w:val="18"/>
          <w:lang w:val="ru-RU"/>
        </w:rPr>
        <w:t>спеціальності)</w:t>
      </w:r>
    </w:p>
    <w:p w:rsidR="001D0C14" w:rsidRDefault="00E16C6E">
      <w:pPr>
        <w:spacing w:before="205" w:line="235" w:lineRule="auto"/>
        <w:ind w:left="561" w:right="721"/>
        <w:jc w:val="center"/>
        <w:rPr>
          <w:rFonts w:ascii="Times New Roman" w:hAnsi="Times New Roman" w:cs="Times New Roman"/>
          <w:b/>
          <w:sz w:val="24"/>
          <w:lang w:val="ru-RU"/>
        </w:rPr>
      </w:pPr>
      <w:r>
        <w:rPr>
          <w:rFonts w:ascii="Times New Roman" w:hAnsi="Times New Roman" w:cs="Times New Roman"/>
          <w:b/>
          <w:sz w:val="24"/>
          <w:lang w:val="ru-RU"/>
        </w:rPr>
        <w:t>Робота</w:t>
      </w:r>
      <w:r>
        <w:rPr>
          <w:rFonts w:ascii="Times New Roman" w:hAnsi="Times New Roman" w:cs="Times New Roman"/>
          <w:b/>
          <w:spacing w:val="-3"/>
          <w:sz w:val="24"/>
          <w:lang w:val="ru-RU"/>
        </w:rPr>
        <w:t xml:space="preserve"> </w:t>
      </w:r>
      <w:r>
        <w:rPr>
          <w:rFonts w:ascii="Times New Roman" w:hAnsi="Times New Roman" w:cs="Times New Roman"/>
          <w:b/>
          <w:sz w:val="24"/>
          <w:lang w:val="ru-RU"/>
        </w:rPr>
        <w:t>містить</w:t>
      </w:r>
      <w:r>
        <w:rPr>
          <w:rFonts w:ascii="Times New Roman" w:hAnsi="Times New Roman" w:cs="Times New Roman"/>
          <w:b/>
          <w:spacing w:val="-5"/>
          <w:sz w:val="24"/>
          <w:lang w:val="ru-RU"/>
        </w:rPr>
        <w:t xml:space="preserve"> </w:t>
      </w:r>
      <w:r>
        <w:rPr>
          <w:rFonts w:ascii="Times New Roman" w:hAnsi="Times New Roman" w:cs="Times New Roman"/>
          <w:b/>
          <w:sz w:val="24"/>
          <w:lang w:val="ru-RU"/>
        </w:rPr>
        <w:t>результати</w:t>
      </w:r>
      <w:r>
        <w:rPr>
          <w:rFonts w:ascii="Times New Roman" w:hAnsi="Times New Roman" w:cs="Times New Roman"/>
          <w:b/>
          <w:spacing w:val="-3"/>
          <w:sz w:val="24"/>
          <w:lang w:val="ru-RU"/>
        </w:rPr>
        <w:t xml:space="preserve"> </w:t>
      </w:r>
      <w:r>
        <w:rPr>
          <w:rFonts w:ascii="Times New Roman" w:hAnsi="Times New Roman" w:cs="Times New Roman"/>
          <w:b/>
          <w:sz w:val="24"/>
          <w:lang w:val="ru-RU"/>
        </w:rPr>
        <w:t>власних</w:t>
      </w:r>
      <w:r>
        <w:rPr>
          <w:rFonts w:ascii="Times New Roman" w:hAnsi="Times New Roman" w:cs="Times New Roman"/>
          <w:b/>
          <w:spacing w:val="-8"/>
          <w:sz w:val="24"/>
          <w:lang w:val="ru-RU"/>
        </w:rPr>
        <w:t xml:space="preserve"> </w:t>
      </w:r>
      <w:r>
        <w:rPr>
          <w:rFonts w:ascii="Times New Roman" w:hAnsi="Times New Roman" w:cs="Times New Roman"/>
          <w:b/>
          <w:sz w:val="24"/>
          <w:lang w:val="ru-RU"/>
        </w:rPr>
        <w:t>досліджень,</w:t>
      </w:r>
      <w:r>
        <w:rPr>
          <w:rFonts w:ascii="Times New Roman" w:hAnsi="Times New Roman" w:cs="Times New Roman"/>
          <w:b/>
          <w:spacing w:val="-6"/>
          <w:sz w:val="24"/>
          <w:lang w:val="ru-RU"/>
        </w:rPr>
        <w:t xml:space="preserve"> </w:t>
      </w:r>
      <w:r>
        <w:rPr>
          <w:rFonts w:ascii="Times New Roman" w:hAnsi="Times New Roman" w:cs="Times New Roman"/>
          <w:b/>
          <w:sz w:val="24"/>
          <w:lang w:val="ru-RU"/>
        </w:rPr>
        <w:t>використання</w:t>
      </w:r>
      <w:r>
        <w:rPr>
          <w:rFonts w:ascii="Times New Roman" w:hAnsi="Times New Roman" w:cs="Times New Roman"/>
          <w:b/>
          <w:spacing w:val="-8"/>
          <w:sz w:val="24"/>
          <w:lang w:val="ru-RU"/>
        </w:rPr>
        <w:t xml:space="preserve"> </w:t>
      </w:r>
      <w:r>
        <w:rPr>
          <w:rFonts w:ascii="Times New Roman" w:hAnsi="Times New Roman" w:cs="Times New Roman"/>
          <w:b/>
          <w:sz w:val="24"/>
          <w:lang w:val="ru-RU"/>
        </w:rPr>
        <w:t>ідей,</w:t>
      </w:r>
      <w:r>
        <w:rPr>
          <w:rFonts w:ascii="Times New Roman" w:hAnsi="Times New Roman" w:cs="Times New Roman"/>
          <w:b/>
          <w:spacing w:val="-6"/>
          <w:sz w:val="24"/>
          <w:lang w:val="ru-RU"/>
        </w:rPr>
        <w:t xml:space="preserve"> </w:t>
      </w:r>
      <w:r>
        <w:rPr>
          <w:rFonts w:ascii="Times New Roman" w:hAnsi="Times New Roman" w:cs="Times New Roman"/>
          <w:b/>
          <w:sz w:val="24"/>
          <w:lang w:val="ru-RU"/>
        </w:rPr>
        <w:t>результатів</w:t>
      </w:r>
      <w:r>
        <w:rPr>
          <w:rFonts w:ascii="Times New Roman" w:hAnsi="Times New Roman" w:cs="Times New Roman"/>
          <w:b/>
          <w:spacing w:val="-7"/>
          <w:sz w:val="24"/>
          <w:lang w:val="ru-RU"/>
        </w:rPr>
        <w:t xml:space="preserve"> </w:t>
      </w:r>
      <w:r>
        <w:rPr>
          <w:rFonts w:ascii="Times New Roman" w:hAnsi="Times New Roman" w:cs="Times New Roman"/>
          <w:b/>
          <w:sz w:val="24"/>
          <w:lang w:val="ru-RU"/>
        </w:rPr>
        <w:t>і текстів інших авторів мають посилання на відповідне джерело:</w:t>
      </w:r>
    </w:p>
    <w:p w:rsidR="001D0C14" w:rsidRDefault="001D0C14">
      <w:pPr>
        <w:pStyle w:val="af4"/>
        <w:spacing w:before="246"/>
        <w:ind w:left="0"/>
        <w:jc w:val="left"/>
        <w:rPr>
          <w:b/>
          <w:sz w:val="24"/>
        </w:rPr>
      </w:pPr>
    </w:p>
    <w:p w:rsidR="001D0C14" w:rsidRDefault="00E16C6E">
      <w:pPr>
        <w:tabs>
          <w:tab w:val="left" w:pos="8635"/>
        </w:tabs>
        <w:spacing w:line="239" w:lineRule="exact"/>
        <w:ind w:right="1708"/>
        <w:jc w:val="right"/>
        <w:rPr>
          <w:rFonts w:ascii="Times New Roman" w:hAnsi="Times New Roman" w:cs="Times New Roman"/>
          <w:sz w:val="24"/>
          <w:lang w:val="uk-UA"/>
        </w:rPr>
      </w:pPr>
      <w:r>
        <w:rPr>
          <w:rFonts w:ascii="Times New Roman" w:hAnsi="Times New Roman" w:cs="Times New Roman"/>
          <w:sz w:val="24"/>
          <w:lang w:val="uk-UA"/>
        </w:rPr>
        <w:t>Здобувач освітнього ступеня:</w:t>
      </w:r>
      <w:r>
        <w:rPr>
          <w:rFonts w:ascii="Times New Roman" w:hAnsi="Times New Roman" w:cs="Times New Roman"/>
          <w:spacing w:val="49"/>
          <w:sz w:val="24"/>
          <w:lang w:val="uk-UA"/>
        </w:rPr>
        <w:t xml:space="preserve"> </w:t>
      </w:r>
      <w:r>
        <w:rPr>
          <w:rFonts w:ascii="Times New Roman" w:hAnsi="Times New Roman" w:cs="Times New Roman"/>
          <w:sz w:val="24"/>
          <w:u w:val="single"/>
          <w:lang w:val="uk-UA"/>
        </w:rPr>
        <w:tab/>
      </w:r>
    </w:p>
    <w:p w:rsidR="001D0C14" w:rsidRDefault="00E16C6E">
      <w:pPr>
        <w:spacing w:line="239" w:lineRule="exact"/>
        <w:ind w:right="1621"/>
        <w:jc w:val="right"/>
        <w:rPr>
          <w:rFonts w:ascii="Times New Roman" w:hAnsi="Times New Roman" w:cs="Times New Roman"/>
          <w:b/>
          <w:sz w:val="24"/>
          <w:lang w:val="uk-UA"/>
        </w:rPr>
      </w:pPr>
      <w:r>
        <w:rPr>
          <w:rFonts w:ascii="Times New Roman" w:hAnsi="Times New Roman" w:cs="Times New Roman"/>
          <w:b/>
          <w:sz w:val="24"/>
          <w:lang w:val="uk-UA"/>
        </w:rPr>
        <w:t>(підпис,</w:t>
      </w:r>
      <w:r>
        <w:rPr>
          <w:rFonts w:ascii="Times New Roman" w:hAnsi="Times New Roman" w:cs="Times New Roman"/>
          <w:b/>
          <w:spacing w:val="-5"/>
          <w:sz w:val="24"/>
          <w:lang w:val="uk-UA"/>
        </w:rPr>
        <w:t xml:space="preserve"> </w:t>
      </w:r>
      <w:r>
        <w:rPr>
          <w:rFonts w:ascii="Times New Roman" w:hAnsi="Times New Roman" w:cs="Times New Roman"/>
          <w:b/>
          <w:sz w:val="24"/>
          <w:lang w:val="uk-UA"/>
        </w:rPr>
        <w:t>ініціали</w:t>
      </w:r>
      <w:r>
        <w:rPr>
          <w:rFonts w:ascii="Times New Roman" w:hAnsi="Times New Roman" w:cs="Times New Roman"/>
          <w:b/>
          <w:spacing w:val="-5"/>
          <w:sz w:val="24"/>
          <w:lang w:val="uk-UA"/>
        </w:rPr>
        <w:t xml:space="preserve"> </w:t>
      </w:r>
      <w:r>
        <w:rPr>
          <w:rFonts w:ascii="Times New Roman" w:hAnsi="Times New Roman" w:cs="Times New Roman"/>
          <w:b/>
          <w:sz w:val="24"/>
          <w:lang w:val="uk-UA"/>
        </w:rPr>
        <w:t>та</w:t>
      </w:r>
      <w:r>
        <w:rPr>
          <w:rFonts w:ascii="Times New Roman" w:hAnsi="Times New Roman" w:cs="Times New Roman"/>
          <w:b/>
          <w:spacing w:val="-7"/>
          <w:sz w:val="24"/>
          <w:lang w:val="uk-UA"/>
        </w:rPr>
        <w:t xml:space="preserve"> </w:t>
      </w:r>
      <w:r>
        <w:rPr>
          <w:rFonts w:ascii="Times New Roman" w:hAnsi="Times New Roman" w:cs="Times New Roman"/>
          <w:b/>
          <w:sz w:val="24"/>
          <w:lang w:val="uk-UA"/>
        </w:rPr>
        <w:t>прізвище</w:t>
      </w:r>
      <w:r>
        <w:rPr>
          <w:rFonts w:ascii="Times New Roman" w:hAnsi="Times New Roman" w:cs="Times New Roman"/>
          <w:b/>
          <w:spacing w:val="-2"/>
          <w:sz w:val="24"/>
          <w:lang w:val="uk-UA"/>
        </w:rPr>
        <w:t xml:space="preserve"> здобувача)</w:t>
      </w:r>
    </w:p>
    <w:p w:rsidR="001D0C14" w:rsidRDefault="001D0C14">
      <w:pPr>
        <w:pStyle w:val="af4"/>
        <w:spacing w:before="187"/>
        <w:ind w:left="0"/>
        <w:jc w:val="left"/>
        <w:rPr>
          <w:b/>
          <w:sz w:val="24"/>
        </w:rPr>
      </w:pPr>
    </w:p>
    <w:p w:rsidR="001D0C14" w:rsidRDefault="00E16C6E">
      <w:pPr>
        <w:tabs>
          <w:tab w:val="left" w:pos="9337"/>
        </w:tabs>
        <w:spacing w:line="239" w:lineRule="exact"/>
        <w:ind w:left="222"/>
        <w:rPr>
          <w:rFonts w:ascii="Times New Roman" w:hAnsi="Times New Roman" w:cs="Times New Roman"/>
          <w:sz w:val="24"/>
          <w:lang w:val="ru-RU"/>
        </w:rPr>
      </w:pPr>
      <w:r>
        <w:rPr>
          <w:rFonts w:ascii="Times New Roman" w:hAnsi="Times New Roman" w:cs="Times New Roman"/>
          <w:sz w:val="24"/>
          <w:lang w:val="ru-RU"/>
        </w:rPr>
        <w:t>Науковий</w:t>
      </w:r>
      <w:r>
        <w:rPr>
          <w:rFonts w:ascii="Times New Roman" w:hAnsi="Times New Roman" w:cs="Times New Roman"/>
          <w:spacing w:val="-1"/>
          <w:sz w:val="24"/>
          <w:lang w:val="ru-RU"/>
        </w:rPr>
        <w:t xml:space="preserve"> </w:t>
      </w:r>
      <w:r>
        <w:rPr>
          <w:rFonts w:ascii="Times New Roman" w:hAnsi="Times New Roman" w:cs="Times New Roman"/>
          <w:spacing w:val="-2"/>
          <w:sz w:val="24"/>
          <w:lang w:val="uk-UA"/>
        </w:rPr>
        <w:t xml:space="preserve">керівник: Кандидат геологічних наук, доцент Коробейникова Я.С. </w:t>
      </w:r>
      <w:r>
        <w:rPr>
          <w:rFonts w:ascii="Times New Roman" w:hAnsi="Times New Roman" w:cs="Times New Roman"/>
          <w:sz w:val="24"/>
          <w:u w:val="single"/>
          <w:lang w:val="ru-RU"/>
        </w:rPr>
        <w:tab/>
      </w:r>
    </w:p>
    <w:p w:rsidR="001D0C14" w:rsidRDefault="00E16C6E">
      <w:pPr>
        <w:spacing w:before="44" w:line="148" w:lineRule="auto"/>
        <w:ind w:left="2662"/>
        <w:rPr>
          <w:rFonts w:ascii="Times New Roman" w:hAnsi="Times New Roman" w:cs="Times New Roman"/>
          <w:b/>
          <w:sz w:val="24"/>
          <w:lang w:val="ru-RU"/>
        </w:rPr>
      </w:pPr>
      <w:r>
        <w:rPr>
          <w:rFonts w:ascii="Times New Roman" w:hAnsi="Times New Roman" w:cs="Times New Roman"/>
          <w:b/>
          <w:sz w:val="24"/>
          <w:lang w:val="ru-RU"/>
        </w:rPr>
        <w:t>(підпис,</w:t>
      </w:r>
      <w:r>
        <w:rPr>
          <w:rFonts w:ascii="Times New Roman" w:hAnsi="Times New Roman" w:cs="Times New Roman"/>
          <w:b/>
          <w:spacing w:val="-8"/>
          <w:sz w:val="24"/>
          <w:lang w:val="ru-RU"/>
        </w:rPr>
        <w:t xml:space="preserve"> </w:t>
      </w:r>
      <w:r>
        <w:rPr>
          <w:rFonts w:ascii="Times New Roman" w:hAnsi="Times New Roman" w:cs="Times New Roman"/>
          <w:b/>
          <w:sz w:val="24"/>
          <w:lang w:val="ru-RU"/>
        </w:rPr>
        <w:t>прізвище,</w:t>
      </w:r>
      <w:r>
        <w:rPr>
          <w:rFonts w:ascii="Times New Roman" w:hAnsi="Times New Roman" w:cs="Times New Roman"/>
          <w:b/>
          <w:spacing w:val="-3"/>
          <w:sz w:val="24"/>
          <w:lang w:val="ru-RU"/>
        </w:rPr>
        <w:t xml:space="preserve"> </w:t>
      </w:r>
      <w:r>
        <w:rPr>
          <w:rFonts w:ascii="Times New Roman" w:hAnsi="Times New Roman" w:cs="Times New Roman"/>
          <w:b/>
          <w:sz w:val="24"/>
          <w:lang w:val="ru-RU"/>
        </w:rPr>
        <w:t>ініціали,</w:t>
      </w:r>
      <w:r>
        <w:rPr>
          <w:rFonts w:ascii="Times New Roman" w:hAnsi="Times New Roman" w:cs="Times New Roman"/>
          <w:b/>
          <w:spacing w:val="-3"/>
          <w:sz w:val="24"/>
          <w:lang w:val="ru-RU"/>
        </w:rPr>
        <w:t xml:space="preserve"> </w:t>
      </w:r>
      <w:r>
        <w:rPr>
          <w:rFonts w:ascii="Times New Roman" w:hAnsi="Times New Roman" w:cs="Times New Roman"/>
          <w:b/>
          <w:sz w:val="24"/>
          <w:lang w:val="ru-RU"/>
        </w:rPr>
        <w:t>науковий</w:t>
      </w:r>
      <w:r>
        <w:rPr>
          <w:rFonts w:ascii="Times New Roman" w:hAnsi="Times New Roman" w:cs="Times New Roman"/>
          <w:b/>
          <w:spacing w:val="-5"/>
          <w:sz w:val="24"/>
          <w:lang w:val="ru-RU"/>
        </w:rPr>
        <w:t>й ступінь</w:t>
      </w:r>
      <w:r>
        <w:rPr>
          <w:rFonts w:ascii="Times New Roman" w:hAnsi="Times New Roman" w:cs="Times New Roman"/>
          <w:b/>
          <w:sz w:val="24"/>
          <w:lang w:val="ru-RU"/>
        </w:rPr>
        <w:t>,</w:t>
      </w:r>
      <w:r>
        <w:rPr>
          <w:rFonts w:ascii="Times New Roman" w:hAnsi="Times New Roman" w:cs="Times New Roman"/>
          <w:b/>
          <w:spacing w:val="-3"/>
          <w:sz w:val="24"/>
          <w:lang w:val="ru-RU"/>
        </w:rPr>
        <w:t xml:space="preserve"> </w:t>
      </w:r>
      <w:r>
        <w:rPr>
          <w:rFonts w:ascii="Times New Roman" w:hAnsi="Times New Roman" w:cs="Times New Roman"/>
          <w:b/>
          <w:sz w:val="24"/>
          <w:lang w:val="ru-RU"/>
        </w:rPr>
        <w:t>вчене</w:t>
      </w:r>
      <w:r>
        <w:rPr>
          <w:rFonts w:ascii="Times New Roman" w:hAnsi="Times New Roman" w:cs="Times New Roman"/>
          <w:b/>
          <w:spacing w:val="-6"/>
          <w:sz w:val="24"/>
          <w:lang w:val="ru-RU"/>
        </w:rPr>
        <w:t xml:space="preserve"> </w:t>
      </w:r>
      <w:r>
        <w:rPr>
          <w:rFonts w:ascii="Times New Roman" w:hAnsi="Times New Roman" w:cs="Times New Roman"/>
          <w:b/>
          <w:sz w:val="24"/>
          <w:lang w:val="ru-RU"/>
        </w:rPr>
        <w:t xml:space="preserve">звання </w:t>
      </w:r>
      <w:r>
        <w:rPr>
          <w:rFonts w:ascii="Times New Roman" w:hAnsi="Times New Roman" w:cs="Times New Roman"/>
          <w:b/>
          <w:spacing w:val="-2"/>
          <w:sz w:val="24"/>
          <w:lang w:val="ru-RU"/>
        </w:rPr>
        <w:t>керівника)</w:t>
      </w:r>
    </w:p>
    <w:p w:rsidR="001D0C14" w:rsidRDefault="001D0C14">
      <w:pPr>
        <w:pStyle w:val="af4"/>
        <w:spacing w:before="202"/>
        <w:ind w:left="0"/>
        <w:jc w:val="left"/>
        <w:rPr>
          <w:b/>
          <w:sz w:val="24"/>
        </w:rPr>
      </w:pPr>
    </w:p>
    <w:p w:rsidR="001D0C14" w:rsidRDefault="00E16C6E">
      <w:pPr>
        <w:ind w:left="222"/>
        <w:rPr>
          <w:rFonts w:ascii="Times New Roman" w:hAnsi="Times New Roman" w:cs="Times New Roman"/>
          <w:b/>
          <w:sz w:val="24"/>
          <w:lang w:val="ru-RU"/>
        </w:rPr>
      </w:pPr>
      <w:r>
        <w:rPr>
          <w:rFonts w:ascii="Times New Roman" w:hAnsi="Times New Roman" w:cs="Times New Roman"/>
          <w:b/>
          <w:sz w:val="24"/>
          <w:lang w:val="ru-RU"/>
        </w:rPr>
        <w:t>Допущено</w:t>
      </w:r>
      <w:r>
        <w:rPr>
          <w:rFonts w:ascii="Times New Roman" w:hAnsi="Times New Roman" w:cs="Times New Roman"/>
          <w:b/>
          <w:spacing w:val="-3"/>
          <w:sz w:val="24"/>
          <w:lang w:val="ru-RU"/>
        </w:rPr>
        <w:t xml:space="preserve"> </w:t>
      </w:r>
      <w:r>
        <w:rPr>
          <w:rFonts w:ascii="Times New Roman" w:hAnsi="Times New Roman" w:cs="Times New Roman"/>
          <w:b/>
          <w:sz w:val="24"/>
          <w:lang w:val="ru-RU"/>
        </w:rPr>
        <w:t>до</w:t>
      </w:r>
      <w:r>
        <w:rPr>
          <w:rFonts w:ascii="Times New Roman" w:hAnsi="Times New Roman" w:cs="Times New Roman"/>
          <w:b/>
          <w:spacing w:val="-2"/>
          <w:sz w:val="24"/>
          <w:lang w:val="ru-RU"/>
        </w:rPr>
        <w:t xml:space="preserve"> захисту</w:t>
      </w:r>
    </w:p>
    <w:p w:rsidR="001D0C14" w:rsidRDefault="00E16C6E">
      <w:pPr>
        <w:spacing w:before="272"/>
        <w:ind w:left="222"/>
        <w:rPr>
          <w:rFonts w:ascii="Times New Roman" w:hAnsi="Times New Roman" w:cs="Times New Roman"/>
          <w:sz w:val="24"/>
          <w:lang w:val="ru-RU"/>
        </w:rPr>
      </w:pPr>
      <w:r>
        <w:rPr>
          <w:rFonts w:ascii="Times New Roman" w:hAnsi="Times New Roman" w:cs="Times New Roman"/>
          <w:sz w:val="24"/>
          <w:lang w:val="ru-RU"/>
        </w:rPr>
        <w:t>Завідувач</w:t>
      </w:r>
      <w:r>
        <w:rPr>
          <w:rFonts w:ascii="Times New Roman" w:hAnsi="Times New Roman" w:cs="Times New Roman"/>
          <w:spacing w:val="-8"/>
          <w:sz w:val="24"/>
          <w:lang w:val="ru-RU"/>
        </w:rPr>
        <w:t xml:space="preserve"> </w:t>
      </w:r>
      <w:r>
        <w:rPr>
          <w:rFonts w:ascii="Times New Roman" w:hAnsi="Times New Roman" w:cs="Times New Roman"/>
          <w:spacing w:val="-2"/>
          <w:sz w:val="24"/>
          <w:lang w:val="ru-RU"/>
        </w:rPr>
        <w:t>кафедри</w:t>
      </w:r>
    </w:p>
    <w:p w:rsidR="001D0C14" w:rsidRDefault="00E16C6E">
      <w:pPr>
        <w:pStyle w:val="af4"/>
        <w:spacing w:before="14"/>
        <w:ind w:left="0"/>
        <w:jc w:val="left"/>
        <w:rPr>
          <w:sz w:val="20"/>
        </w:rPr>
      </w:pPr>
      <w:r>
        <w:rPr>
          <w:noProof/>
          <w:sz w:val="20"/>
        </w:rPr>
        <mc:AlternateContent>
          <mc:Choice Requires="wps">
            <w:drawing>
              <wp:anchor distT="6350" distB="6350" distL="6350" distR="6350" simplePos="0" relativeHeight="12" behindDoc="0" locked="0" layoutInCell="0" allowOverlap="1" wp14:anchorId="1F64DF0F">
                <wp:simplePos x="0" y="0"/>
                <wp:positionH relativeFrom="page">
                  <wp:posOffset>649605</wp:posOffset>
                </wp:positionH>
                <wp:positionV relativeFrom="paragraph">
                  <wp:posOffset>170815</wp:posOffset>
                </wp:positionV>
                <wp:extent cx="3201670" cy="2540"/>
                <wp:effectExtent l="0" t="0" r="0" b="0"/>
                <wp:wrapTopAndBottom/>
                <wp:docPr id="3" name="Graphic 7"/>
                <wp:cNvGraphicFramePr/>
                <a:graphic xmlns:a="http://schemas.openxmlformats.org/drawingml/2006/main">
                  <a:graphicData uri="http://schemas.microsoft.com/office/word/2010/wordprocessingShape">
                    <wps:wsp>
                      <wps:cNvSpPr/>
                      <wps:spPr>
                        <a:xfrm>
                          <a:off x="0" y="0"/>
                          <a:ext cx="3201120" cy="1800"/>
                        </a:xfrm>
                        <a:custGeom>
                          <a:avLst/>
                          <a:gdLst/>
                          <a:ahLst/>
                          <a:cxnLst/>
                          <a:rect l="l" t="t" r="r" b="b"/>
                          <a:pathLst>
                            <a:path w="3200400">
                              <a:moveTo>
                                <a:pt x="0" y="0"/>
                              </a:moveTo>
                              <a:lnTo>
                                <a:pt x="3200400" y="0"/>
                              </a:lnTo>
                            </a:path>
                          </a:pathLst>
                        </a:custGeom>
                        <a:noFill/>
                        <a:ln w="648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mc:Fallback>
        </mc:AlternateContent>
      </w:r>
    </w:p>
    <w:p w:rsidR="001D0C14" w:rsidRDefault="00E16C6E">
      <w:pPr>
        <w:tabs>
          <w:tab w:val="left" w:pos="1495"/>
        </w:tabs>
        <w:spacing w:before="3"/>
        <w:ind w:left="285"/>
        <w:rPr>
          <w:rFonts w:ascii="Times New Roman" w:hAnsi="Times New Roman" w:cs="Times New Roman"/>
          <w:sz w:val="18"/>
          <w:lang w:val="ru-RU"/>
        </w:rPr>
      </w:pPr>
      <w:r>
        <w:rPr>
          <w:rFonts w:ascii="Times New Roman" w:hAnsi="Times New Roman" w:cs="Times New Roman"/>
          <w:spacing w:val="-2"/>
          <w:sz w:val="24"/>
          <w:lang w:val="ru-RU"/>
        </w:rPr>
        <w:t>(посада)</w:t>
      </w:r>
      <w:r>
        <w:rPr>
          <w:rFonts w:ascii="Times New Roman" w:hAnsi="Times New Roman" w:cs="Times New Roman"/>
          <w:sz w:val="24"/>
          <w:lang w:val="ru-RU"/>
        </w:rPr>
        <w:tab/>
        <w:t>(підпис)</w:t>
      </w:r>
      <w:r>
        <w:rPr>
          <w:rFonts w:ascii="Times New Roman" w:hAnsi="Times New Roman" w:cs="Times New Roman"/>
          <w:spacing w:val="-5"/>
          <w:sz w:val="24"/>
          <w:lang w:val="ru-RU"/>
        </w:rPr>
        <w:t xml:space="preserve"> </w:t>
      </w:r>
      <w:r>
        <w:rPr>
          <w:rFonts w:ascii="Times New Roman" w:hAnsi="Times New Roman" w:cs="Times New Roman"/>
          <w:sz w:val="24"/>
          <w:lang w:val="ru-RU"/>
        </w:rPr>
        <w:t>(дата)</w:t>
      </w:r>
      <w:r>
        <w:rPr>
          <w:rFonts w:ascii="Times New Roman" w:hAnsi="Times New Roman" w:cs="Times New Roman"/>
          <w:spacing w:val="-4"/>
          <w:sz w:val="24"/>
          <w:lang w:val="ru-RU"/>
        </w:rPr>
        <w:t xml:space="preserve"> </w:t>
      </w:r>
      <w:r>
        <w:rPr>
          <w:rFonts w:ascii="Times New Roman" w:hAnsi="Times New Roman" w:cs="Times New Roman"/>
          <w:sz w:val="24"/>
          <w:lang w:val="ru-RU"/>
        </w:rPr>
        <w:t>(ініціали</w:t>
      </w:r>
      <w:r>
        <w:rPr>
          <w:rFonts w:ascii="Times New Roman" w:hAnsi="Times New Roman" w:cs="Times New Roman"/>
          <w:spacing w:val="-4"/>
          <w:sz w:val="24"/>
          <w:lang w:val="ru-RU"/>
        </w:rPr>
        <w:t xml:space="preserve"> </w:t>
      </w:r>
      <w:r>
        <w:rPr>
          <w:rFonts w:ascii="Times New Roman" w:hAnsi="Times New Roman" w:cs="Times New Roman"/>
          <w:sz w:val="24"/>
          <w:lang w:val="ru-RU"/>
        </w:rPr>
        <w:t>та</w:t>
      </w:r>
      <w:r>
        <w:rPr>
          <w:rFonts w:ascii="Times New Roman" w:hAnsi="Times New Roman" w:cs="Times New Roman"/>
          <w:spacing w:val="-5"/>
          <w:sz w:val="24"/>
          <w:lang w:val="ru-RU"/>
        </w:rPr>
        <w:t xml:space="preserve"> </w:t>
      </w:r>
      <w:r>
        <w:rPr>
          <w:rFonts w:ascii="Times New Roman" w:hAnsi="Times New Roman" w:cs="Times New Roman"/>
          <w:spacing w:val="-2"/>
          <w:sz w:val="24"/>
          <w:lang w:val="ru-RU"/>
        </w:rPr>
        <w:t>прізвище</w:t>
      </w:r>
      <w:r>
        <w:rPr>
          <w:rFonts w:ascii="Times New Roman" w:hAnsi="Times New Roman" w:cs="Times New Roman"/>
          <w:spacing w:val="-2"/>
          <w:sz w:val="18"/>
          <w:lang w:val="ru-RU"/>
        </w:rPr>
        <w:t>)</w:t>
      </w:r>
    </w:p>
    <w:p w:rsidR="001D0C14" w:rsidRDefault="001D0C14">
      <w:pPr>
        <w:pStyle w:val="af4"/>
        <w:ind w:left="0"/>
        <w:jc w:val="left"/>
        <w:rPr>
          <w:sz w:val="24"/>
        </w:rPr>
      </w:pPr>
    </w:p>
    <w:p w:rsidR="001D0C14" w:rsidRDefault="001D0C14">
      <w:pPr>
        <w:pStyle w:val="af4"/>
        <w:ind w:left="0"/>
        <w:jc w:val="left"/>
        <w:rPr>
          <w:sz w:val="24"/>
        </w:rPr>
      </w:pPr>
    </w:p>
    <w:p w:rsidR="001D0C14" w:rsidRDefault="001D0C14">
      <w:pPr>
        <w:spacing w:after="160" w:line="259" w:lineRule="auto"/>
        <w:jc w:val="center"/>
        <w:rPr>
          <w:rFonts w:ascii="Times New Roman" w:hAnsi="Times New Roman" w:cs="Times New Roman"/>
          <w:bCs/>
          <w:sz w:val="28"/>
          <w:szCs w:val="28"/>
          <w:lang w:val="ru-RU"/>
        </w:rPr>
      </w:pPr>
    </w:p>
    <w:p w:rsidR="001D0C14" w:rsidRDefault="001D0C14">
      <w:pPr>
        <w:spacing w:after="160" w:line="259" w:lineRule="auto"/>
        <w:rPr>
          <w:rFonts w:ascii="Times New Roman" w:hAnsi="Times New Roman" w:cs="Times New Roman"/>
          <w:bCs/>
          <w:sz w:val="28"/>
          <w:szCs w:val="28"/>
          <w:lang w:val="ru-RU"/>
        </w:rPr>
      </w:pPr>
    </w:p>
    <w:p w:rsidR="001D0C14" w:rsidRDefault="00E16C6E">
      <w:pPr>
        <w:spacing w:after="160" w:line="259" w:lineRule="auto"/>
        <w:jc w:val="center"/>
        <w:rPr>
          <w:rFonts w:ascii="Times New Roman" w:hAnsi="Times New Roman"/>
          <w:b/>
          <w:sz w:val="28"/>
          <w:szCs w:val="28"/>
          <w:lang w:val="uk-UA"/>
        </w:rPr>
      </w:pPr>
      <w:r>
        <w:rPr>
          <w:rFonts w:ascii="Times New Roman" w:hAnsi="Times New Roman" w:cs="Times New Roman"/>
          <w:bCs/>
          <w:sz w:val="28"/>
          <w:szCs w:val="28"/>
          <w:lang w:val="ru-RU"/>
        </w:rPr>
        <w:t>м.</w:t>
      </w:r>
      <w:r>
        <w:rPr>
          <w:rFonts w:ascii="Times New Roman" w:hAnsi="Times New Roman" w:cs="Times New Roman"/>
          <w:bCs/>
          <w:spacing w:val="-2"/>
          <w:sz w:val="28"/>
          <w:szCs w:val="28"/>
          <w:lang w:val="ru-RU"/>
        </w:rPr>
        <w:t xml:space="preserve"> </w:t>
      </w:r>
      <w:r>
        <w:rPr>
          <w:rFonts w:ascii="Times New Roman" w:hAnsi="Times New Roman" w:cs="Times New Roman"/>
          <w:bCs/>
          <w:sz w:val="28"/>
          <w:szCs w:val="28"/>
          <w:lang w:val="ru-RU"/>
        </w:rPr>
        <w:t>Івано-Франківськ</w:t>
      </w:r>
      <w:r>
        <w:rPr>
          <w:rFonts w:ascii="Times New Roman" w:hAnsi="Times New Roman" w:cs="Times New Roman"/>
          <w:bCs/>
          <w:spacing w:val="-3"/>
          <w:sz w:val="28"/>
          <w:szCs w:val="28"/>
          <w:lang w:val="ru-RU"/>
        </w:rPr>
        <w:t xml:space="preserve"> </w:t>
      </w:r>
      <w:r>
        <w:rPr>
          <w:rFonts w:ascii="Times New Roman" w:hAnsi="Times New Roman" w:cs="Times New Roman"/>
          <w:bCs/>
          <w:sz w:val="28"/>
          <w:szCs w:val="28"/>
          <w:lang w:val="ru-RU"/>
        </w:rPr>
        <w:t>-</w:t>
      </w:r>
      <w:r>
        <w:rPr>
          <w:rFonts w:ascii="Times New Roman" w:hAnsi="Times New Roman" w:cs="Times New Roman"/>
          <w:bCs/>
          <w:spacing w:val="-3"/>
          <w:sz w:val="28"/>
          <w:szCs w:val="28"/>
          <w:lang w:val="ru-RU"/>
        </w:rPr>
        <w:t xml:space="preserve"> </w:t>
      </w:r>
      <w:r>
        <w:rPr>
          <w:rFonts w:ascii="Times New Roman" w:hAnsi="Times New Roman" w:cs="Times New Roman"/>
          <w:bCs/>
          <w:sz w:val="28"/>
          <w:szCs w:val="28"/>
          <w:lang w:val="ru-RU"/>
        </w:rPr>
        <w:t>2024</w:t>
      </w:r>
      <w:r>
        <w:rPr>
          <w:rFonts w:ascii="Times New Roman" w:hAnsi="Times New Roman" w:cs="Times New Roman"/>
          <w:bCs/>
          <w:spacing w:val="-2"/>
          <w:sz w:val="28"/>
          <w:szCs w:val="28"/>
          <w:lang w:val="ru-RU"/>
        </w:rPr>
        <w:t xml:space="preserve"> </w:t>
      </w:r>
      <w:r>
        <w:rPr>
          <w:rFonts w:ascii="Times New Roman" w:hAnsi="Times New Roman" w:cs="Times New Roman"/>
          <w:bCs/>
          <w:sz w:val="28"/>
          <w:szCs w:val="28"/>
          <w:lang w:val="ru-RU"/>
        </w:rPr>
        <w:t>рік</w:t>
      </w:r>
      <w:r w:rsidRPr="005B551B">
        <w:rPr>
          <w:lang w:val="ru-RU"/>
        </w:rPr>
        <w:br w:type="page"/>
      </w:r>
    </w:p>
    <w:p w:rsidR="001D0C14" w:rsidRDefault="00E16C6E">
      <w:pPr>
        <w:jc w:val="center"/>
        <w:rPr>
          <w:rFonts w:ascii="Times New Roman" w:hAnsi="Times New Roman" w:cs="Times New Roman"/>
          <w:b/>
          <w:bCs/>
          <w:sz w:val="32"/>
          <w:szCs w:val="24"/>
          <w:lang w:val="ru-RU"/>
        </w:rPr>
      </w:pPr>
      <w:r>
        <w:rPr>
          <w:rFonts w:ascii="Times New Roman" w:hAnsi="Times New Roman" w:cs="Times New Roman"/>
          <w:b/>
          <w:bCs/>
          <w:sz w:val="32"/>
          <w:szCs w:val="24"/>
          <w:lang w:val="ru-RU"/>
        </w:rPr>
        <w:lastRenderedPageBreak/>
        <w:t>Івано-Франківський національний технічний університет нафти і газу</w:t>
      </w:r>
    </w:p>
    <w:p w:rsidR="001D0C14" w:rsidRDefault="001D0C14">
      <w:pPr>
        <w:jc w:val="center"/>
        <w:rPr>
          <w:rFonts w:ascii="Times New Roman" w:hAnsi="Times New Roman" w:cs="Times New Roman"/>
          <w:b/>
          <w:bCs/>
          <w:sz w:val="32"/>
          <w:szCs w:val="24"/>
          <w:lang w:val="ru-RU"/>
        </w:rPr>
      </w:pPr>
    </w:p>
    <w:p w:rsidR="001D0C14" w:rsidRDefault="00E16C6E">
      <w:pPr>
        <w:rPr>
          <w:rFonts w:ascii="Times New Roman" w:hAnsi="Times New Roman" w:cs="Times New Roman"/>
          <w:sz w:val="28"/>
          <w:lang w:val="ru-RU"/>
        </w:rPr>
      </w:pPr>
      <w:r>
        <w:rPr>
          <w:noProof/>
        </w:rPr>
        <mc:AlternateContent>
          <mc:Choice Requires="wps">
            <w:drawing>
              <wp:anchor distT="3175" distB="0" distL="3175" distR="0" simplePos="0" relativeHeight="14" behindDoc="0" locked="0" layoutInCell="0" allowOverlap="1" wp14:anchorId="43521899">
                <wp:simplePos x="0" y="0"/>
                <wp:positionH relativeFrom="column">
                  <wp:posOffset>748665</wp:posOffset>
                </wp:positionH>
                <wp:positionV relativeFrom="paragraph">
                  <wp:posOffset>181610</wp:posOffset>
                </wp:positionV>
                <wp:extent cx="4973320" cy="19685"/>
                <wp:effectExtent l="0" t="0" r="19050" b="19050"/>
                <wp:wrapNone/>
                <wp:docPr id="4" name="Пряма сполучна лінія 135"/>
                <wp:cNvGraphicFramePr/>
                <a:graphic xmlns:a="http://schemas.openxmlformats.org/drawingml/2006/main">
                  <a:graphicData uri="http://schemas.microsoft.com/office/word/2010/wordprocessingShape">
                    <wps:wsp>
                      <wps:cNvCnPr/>
                      <wps:spPr>
                        <a:xfrm>
                          <a:off x="0" y="0"/>
                          <a:ext cx="4972680" cy="19080"/>
                        </a:xfrm>
                        <a:prstGeom prst="line">
                          <a:avLst/>
                        </a:prstGeom>
                        <a:ln>
                          <a:solidFill>
                            <a:srgbClr val="000000"/>
                          </a:solidFill>
                        </a:ln>
                      </wps:spPr>
                      <wps:style>
                        <a:lnRef idx="1">
                          <a:schemeClr val="dk1"/>
                        </a:lnRef>
                        <a:fillRef idx="0">
                          <a:schemeClr val="dk1"/>
                        </a:fillRef>
                        <a:effectRef idx="0">
                          <a:schemeClr val="dk1"/>
                        </a:effectRef>
                        <a:fontRef idx="minor"/>
                      </wps:style>
                      <wps:bodyPr/>
                    </wps:wsp>
                  </a:graphicData>
                </a:graphic>
              </wp:anchor>
            </w:drawing>
          </mc:Choice>
          <mc:Fallback>
            <w:pict>
              <v:line id="shape_0" from="58.95pt,14.3pt" to="450.45pt,15.75pt" ID="Пряма сполучна лінія 135" stroked="t" o:allowincell="f" style="position:absolute" wp14:anchorId="43521899">
                <v:stroke color="black" weight="6480" joinstyle="miter" endcap="flat"/>
                <v:fill o:detectmouseclick="t" on="false"/>
                <w10:wrap type="none"/>
              </v:line>
            </w:pict>
          </mc:Fallback>
        </mc:AlternateContent>
      </w:r>
      <w:r>
        <w:rPr>
          <w:rFonts w:ascii="Times New Roman" w:hAnsi="Times New Roman" w:cs="Times New Roman"/>
          <w:sz w:val="28"/>
          <w:lang w:val="ru-RU"/>
        </w:rPr>
        <w:t>Кафедра                                              Туризму</w:t>
      </w:r>
    </w:p>
    <w:p w:rsidR="001D0C14" w:rsidRDefault="00E16C6E">
      <w:pPr>
        <w:jc w:val="left"/>
        <w:rPr>
          <w:rFonts w:ascii="Times New Roman" w:hAnsi="Times New Roman" w:cs="Times New Roman"/>
          <w:sz w:val="28"/>
          <w:lang w:val="ru-RU"/>
        </w:rPr>
      </w:pPr>
      <w:r>
        <w:rPr>
          <w:noProof/>
        </w:rPr>
        <mc:AlternateContent>
          <mc:Choice Requires="wps">
            <w:drawing>
              <wp:anchor distT="3175" distB="0" distL="3175" distR="0" simplePos="0" relativeHeight="15" behindDoc="0" locked="0" layoutInCell="0" allowOverlap="1" wp14:anchorId="26F296FA">
                <wp:simplePos x="0" y="0"/>
                <wp:positionH relativeFrom="column">
                  <wp:posOffset>996315</wp:posOffset>
                </wp:positionH>
                <wp:positionV relativeFrom="paragraph">
                  <wp:posOffset>219075</wp:posOffset>
                </wp:positionV>
                <wp:extent cx="4725670" cy="9525"/>
                <wp:effectExtent l="0" t="0" r="19050" b="28575"/>
                <wp:wrapNone/>
                <wp:docPr id="5" name="Пряма сполучна лінія 136"/>
                <wp:cNvGraphicFramePr/>
                <a:graphic xmlns:a="http://schemas.openxmlformats.org/drawingml/2006/main">
                  <a:graphicData uri="http://schemas.microsoft.com/office/word/2010/wordprocessingShape">
                    <wps:wsp>
                      <wps:cNvCnPr/>
                      <wps:spPr>
                        <a:xfrm>
                          <a:off x="0" y="0"/>
                          <a:ext cx="4725000" cy="9000"/>
                        </a:xfrm>
                        <a:prstGeom prst="line">
                          <a:avLst/>
                        </a:prstGeom>
                        <a:ln>
                          <a:solidFill>
                            <a:srgbClr val="000000"/>
                          </a:solidFill>
                        </a:ln>
                      </wps:spPr>
                      <wps:style>
                        <a:lnRef idx="1">
                          <a:schemeClr val="dk1"/>
                        </a:lnRef>
                        <a:fillRef idx="0">
                          <a:schemeClr val="dk1"/>
                        </a:fillRef>
                        <a:effectRef idx="0">
                          <a:schemeClr val="dk1"/>
                        </a:effectRef>
                        <a:fontRef idx="minor"/>
                      </wps:style>
                      <wps:bodyPr/>
                    </wps:wsp>
                  </a:graphicData>
                </a:graphic>
              </wp:anchor>
            </w:drawing>
          </mc:Choice>
          <mc:Fallback>
            <w:pict>
              <v:line id="shape_0" from="78.45pt,17.25pt" to="450.45pt,17.9pt" ID="Пряма сполучна лінія 136" stroked="t" o:allowincell="f" style="position:absolute" wp14:anchorId="26F296FA">
                <v:stroke color="black" weight="6480" joinstyle="miter" endcap="flat"/>
                <v:fill o:detectmouseclick="t" on="false"/>
                <w10:wrap type="none"/>
              </v:line>
            </w:pict>
          </mc:Fallback>
        </mc:AlternateContent>
      </w:r>
      <w:r>
        <w:rPr>
          <w:noProof/>
        </w:rPr>
        <mc:AlternateContent>
          <mc:Choice Requires="wps">
            <w:drawing>
              <wp:anchor distT="3175" distB="0" distL="3175" distR="0" simplePos="0" relativeHeight="17" behindDoc="0" locked="0" layoutInCell="0" allowOverlap="1" wp14:anchorId="072D6CFD">
                <wp:simplePos x="0" y="0"/>
                <wp:positionH relativeFrom="column">
                  <wp:posOffset>996315</wp:posOffset>
                </wp:positionH>
                <wp:positionV relativeFrom="paragraph">
                  <wp:posOffset>219075</wp:posOffset>
                </wp:positionV>
                <wp:extent cx="4725670" cy="9525"/>
                <wp:effectExtent l="0" t="0" r="19050" b="28575"/>
                <wp:wrapNone/>
                <wp:docPr id="6" name="Пряма сполучна лінія 152"/>
                <wp:cNvGraphicFramePr/>
                <a:graphic xmlns:a="http://schemas.openxmlformats.org/drawingml/2006/main">
                  <a:graphicData uri="http://schemas.microsoft.com/office/word/2010/wordprocessingShape">
                    <wps:wsp>
                      <wps:cNvCnPr/>
                      <wps:spPr>
                        <a:xfrm>
                          <a:off x="0" y="0"/>
                          <a:ext cx="4725000" cy="9000"/>
                        </a:xfrm>
                        <a:prstGeom prst="line">
                          <a:avLst/>
                        </a:prstGeom>
                        <a:ln>
                          <a:solidFill>
                            <a:srgbClr val="000000"/>
                          </a:solidFill>
                        </a:ln>
                      </wps:spPr>
                      <wps:style>
                        <a:lnRef idx="1">
                          <a:schemeClr val="dk1"/>
                        </a:lnRef>
                        <a:fillRef idx="0">
                          <a:schemeClr val="dk1"/>
                        </a:fillRef>
                        <a:effectRef idx="0">
                          <a:schemeClr val="dk1"/>
                        </a:effectRef>
                        <a:fontRef idx="minor"/>
                      </wps:style>
                      <wps:bodyPr/>
                    </wps:wsp>
                  </a:graphicData>
                </a:graphic>
              </wp:anchor>
            </w:drawing>
          </mc:Choice>
          <mc:Fallback>
            <w:pict>
              <v:line id="shape_0" from="78.45pt,17.25pt" to="450.45pt,17.9pt" ID="Пряма сполучна лінія 152" stroked="t" o:allowincell="f" style="position:absolute" wp14:anchorId="072D6CFD">
                <v:stroke color="black" weight="6480" joinstyle="miter" endcap="flat"/>
                <v:fill o:detectmouseclick="t" on="false"/>
                <w10:wrap type="none"/>
              </v:line>
            </w:pict>
          </mc:Fallback>
        </mc:AlternateContent>
      </w:r>
      <w:r>
        <w:rPr>
          <w:rFonts w:ascii="Times New Roman" w:hAnsi="Times New Roman" w:cs="Times New Roman"/>
          <w:sz w:val="28"/>
          <w:lang w:val="ru-RU"/>
        </w:rPr>
        <w:t xml:space="preserve">Освітня програма                  </w:t>
      </w:r>
      <w:r>
        <w:rPr>
          <w:rFonts w:ascii="Times New Roman" w:hAnsi="Times New Roman" w:cs="Times New Roman"/>
          <w:sz w:val="28"/>
          <w:lang w:val="ru-RU"/>
        </w:rPr>
        <w:tab/>
        <w:t xml:space="preserve">          Бакалавр</w:t>
      </w:r>
    </w:p>
    <w:p w:rsidR="001D0C14" w:rsidRDefault="00E16C6E">
      <w:pPr>
        <w:rPr>
          <w:rFonts w:ascii="Times New Roman" w:hAnsi="Times New Roman" w:cs="Times New Roman"/>
          <w:sz w:val="28"/>
          <w:lang w:val="ru-RU"/>
        </w:rPr>
      </w:pPr>
      <w:r>
        <w:rPr>
          <w:noProof/>
        </w:rPr>
        <mc:AlternateContent>
          <mc:Choice Requires="wps">
            <w:drawing>
              <wp:anchor distT="3175" distB="0" distL="3175" distR="0" simplePos="0" relativeHeight="16" behindDoc="0" locked="0" layoutInCell="0" allowOverlap="1" wp14:anchorId="41CD5EA2">
                <wp:simplePos x="0" y="0"/>
                <wp:positionH relativeFrom="column">
                  <wp:posOffset>1138555</wp:posOffset>
                </wp:positionH>
                <wp:positionV relativeFrom="paragraph">
                  <wp:posOffset>170815</wp:posOffset>
                </wp:positionV>
                <wp:extent cx="4582795" cy="19685"/>
                <wp:effectExtent l="0" t="0" r="28575" b="19050"/>
                <wp:wrapNone/>
                <wp:docPr id="7" name="Пряма сполучна лінія 137"/>
                <wp:cNvGraphicFramePr/>
                <a:graphic xmlns:a="http://schemas.openxmlformats.org/drawingml/2006/main">
                  <a:graphicData uri="http://schemas.microsoft.com/office/word/2010/wordprocessingShape">
                    <wps:wsp>
                      <wps:cNvCnPr/>
                      <wps:spPr>
                        <a:xfrm>
                          <a:off x="0" y="0"/>
                          <a:ext cx="4582080" cy="19080"/>
                        </a:xfrm>
                        <a:prstGeom prst="line">
                          <a:avLst/>
                        </a:prstGeom>
                        <a:ln>
                          <a:solidFill>
                            <a:srgbClr val="000000"/>
                          </a:solidFill>
                        </a:ln>
                      </wps:spPr>
                      <wps:style>
                        <a:lnRef idx="1">
                          <a:schemeClr val="dk1"/>
                        </a:lnRef>
                        <a:fillRef idx="0">
                          <a:schemeClr val="dk1"/>
                        </a:fillRef>
                        <a:effectRef idx="0">
                          <a:schemeClr val="dk1"/>
                        </a:effectRef>
                        <a:fontRef idx="minor"/>
                      </wps:style>
                      <wps:bodyPr/>
                    </wps:wsp>
                  </a:graphicData>
                </a:graphic>
              </wp:anchor>
            </w:drawing>
          </mc:Choice>
          <mc:Fallback>
            <w:pict>
              <v:line id="shape_0" from="89.65pt,13.45pt" to="450.4pt,14.9pt" ID="Пряма сполучна лінія 137" stroked="t" o:allowincell="f" style="position:absolute" wp14:anchorId="41CD5EA2">
                <v:stroke color="black" weight="6480" joinstyle="miter" endcap="flat"/>
                <v:fill o:detectmouseclick="t" on="false"/>
                <w10:wrap type="none"/>
              </v:line>
            </w:pict>
          </mc:Fallback>
        </mc:AlternateContent>
      </w:r>
      <w:r>
        <w:rPr>
          <w:rFonts w:ascii="Times New Roman" w:hAnsi="Times New Roman" w:cs="Times New Roman"/>
          <w:sz w:val="28"/>
          <w:lang w:val="ru-RU"/>
        </w:rPr>
        <w:t>Спеціальність                                      Туризм</w:t>
      </w:r>
      <w:r>
        <w:rPr>
          <w:rFonts w:ascii="Times New Roman" w:hAnsi="Times New Roman" w:cs="Times New Roman"/>
          <w:sz w:val="28"/>
          <w:lang w:val="ru-RU"/>
        </w:rPr>
        <w:tab/>
      </w:r>
      <w:r>
        <w:rPr>
          <w:rFonts w:ascii="Times New Roman" w:hAnsi="Times New Roman" w:cs="Times New Roman"/>
          <w:sz w:val="28"/>
          <w:lang w:val="ru-RU"/>
        </w:rPr>
        <w:tab/>
      </w:r>
    </w:p>
    <w:p w:rsidR="001D0C14" w:rsidRDefault="00E16C6E">
      <w:pPr>
        <w:rPr>
          <w:rFonts w:ascii="Times New Roman" w:eastAsia="Times" w:hAnsi="Times New Roman" w:cs="Times New Roman"/>
          <w:b/>
          <w:color w:val="000000"/>
          <w:sz w:val="48"/>
          <w:szCs w:val="48"/>
          <w:lang w:val="ru-RU"/>
        </w:rPr>
      </w:pPr>
      <w:r>
        <w:rPr>
          <w:rFonts w:ascii="Times New Roman" w:hAnsi="Times New Roman" w:cs="Times New Roman"/>
          <w:sz w:val="28"/>
          <w:lang w:val="ru-RU"/>
        </w:rPr>
        <w:t xml:space="preserve">Курс </w:t>
      </w:r>
      <w:r>
        <w:rPr>
          <w:rFonts w:ascii="Times New Roman" w:hAnsi="Times New Roman" w:cs="Times New Roman"/>
          <w:sz w:val="28"/>
          <w:lang w:val="ru-RU"/>
        </w:rPr>
        <w:tab/>
      </w:r>
      <w:r>
        <w:rPr>
          <w:rFonts w:ascii="Times New Roman" w:hAnsi="Times New Roman" w:cs="Times New Roman"/>
          <w:sz w:val="28"/>
          <w:lang w:val="ru-RU"/>
        </w:rPr>
        <w:tab/>
        <w:t>4</w:t>
      </w:r>
      <w:r>
        <w:rPr>
          <w:rFonts w:ascii="Times New Roman" w:hAnsi="Times New Roman" w:cs="Times New Roman"/>
          <w:sz w:val="28"/>
          <w:lang w:val="ru-RU"/>
        </w:rPr>
        <w:tab/>
        <w:t xml:space="preserve"> Група  ТУ-20-1</w:t>
      </w:r>
      <w:r>
        <w:rPr>
          <w:rFonts w:ascii="Times New Roman" w:hAnsi="Times New Roman" w:cs="Times New Roman"/>
          <w:sz w:val="28"/>
          <w:lang w:val="ru-RU"/>
        </w:rPr>
        <w:tab/>
        <w:t xml:space="preserve">  Семестр </w:t>
      </w:r>
      <w:r>
        <w:rPr>
          <w:rFonts w:ascii="Times New Roman" w:hAnsi="Times New Roman" w:cs="Times New Roman"/>
          <w:sz w:val="28"/>
          <w:lang w:val="ru-RU"/>
        </w:rPr>
        <w:tab/>
        <w:t xml:space="preserve"> 2</w:t>
      </w:r>
      <w:r>
        <w:rPr>
          <w:rFonts w:ascii="Times New Roman" w:hAnsi="Times New Roman" w:cs="Times New Roman"/>
          <w:sz w:val="28"/>
          <w:lang w:val="ru-RU"/>
        </w:rPr>
        <w:tab/>
      </w:r>
      <w:r>
        <w:rPr>
          <w:rFonts w:ascii="Times New Roman" w:eastAsia="Times" w:hAnsi="Times New Roman" w:cs="Times New Roman"/>
          <w:b/>
          <w:color w:val="000000"/>
          <w:sz w:val="48"/>
          <w:szCs w:val="48"/>
          <w:lang w:val="ru-RU"/>
        </w:rPr>
        <w:t xml:space="preserve"> </w:t>
      </w:r>
    </w:p>
    <w:p w:rsidR="001D0C14" w:rsidRDefault="00E16C6E">
      <w:pPr>
        <w:jc w:val="center"/>
        <w:rPr>
          <w:rFonts w:ascii="Times New Roman" w:hAnsi="Times New Roman" w:cs="Times New Roman"/>
          <w:sz w:val="28"/>
          <w:lang w:val="ru-RU"/>
        </w:rPr>
      </w:pPr>
      <w:r>
        <w:rPr>
          <w:rFonts w:ascii="Times New Roman" w:eastAsia="Times" w:hAnsi="Times New Roman" w:cs="Times New Roman"/>
          <w:b/>
          <w:color w:val="000000"/>
          <w:sz w:val="48"/>
          <w:szCs w:val="48"/>
          <w:lang w:val="ru-RU"/>
        </w:rPr>
        <w:t>ЗАВДАННЯ</w:t>
      </w:r>
    </w:p>
    <w:p w:rsidR="001D0C14" w:rsidRDefault="00E16C6E">
      <w:pPr>
        <w:spacing w:before="181"/>
        <w:jc w:val="center"/>
        <w:rPr>
          <w:rFonts w:ascii="Times New Roman" w:eastAsia="Times" w:hAnsi="Times New Roman" w:cs="Times New Roman"/>
          <w:b/>
          <w:color w:val="000000"/>
          <w:sz w:val="31"/>
          <w:szCs w:val="31"/>
          <w:lang w:val="ru-RU"/>
        </w:rPr>
      </w:pPr>
      <w:r>
        <w:rPr>
          <w:rFonts w:ascii="Times New Roman" w:eastAsia="Times" w:hAnsi="Times New Roman" w:cs="Times New Roman"/>
          <w:b/>
          <w:color w:val="000000"/>
          <w:sz w:val="31"/>
          <w:szCs w:val="31"/>
          <w:lang w:val="ru-RU"/>
        </w:rPr>
        <w:t xml:space="preserve">НА БАКАЛАВРСЬКУ РОБОТУ </w:t>
      </w:r>
    </w:p>
    <w:p w:rsidR="001D0C14" w:rsidRDefault="001D0C14">
      <w:pPr>
        <w:spacing w:before="181"/>
        <w:ind w:right="1905"/>
        <w:jc w:val="right"/>
        <w:rPr>
          <w:rFonts w:ascii="Times New Roman" w:eastAsia="Times" w:hAnsi="Times New Roman" w:cs="Times New Roman"/>
          <w:b/>
          <w:color w:val="000000"/>
          <w:sz w:val="31"/>
          <w:szCs w:val="31"/>
          <w:lang w:val="ru-RU"/>
        </w:rPr>
      </w:pPr>
    </w:p>
    <w:p w:rsidR="001D0C14" w:rsidRDefault="00E16C6E">
      <w:pPr>
        <w:jc w:val="center"/>
        <w:rPr>
          <w:rFonts w:ascii="Times New Roman" w:hAnsi="Times New Roman" w:cs="Times New Roman"/>
          <w:sz w:val="28"/>
          <w:lang w:val="ru-RU"/>
        </w:rPr>
      </w:pPr>
      <w:r>
        <w:rPr>
          <w:noProof/>
        </w:rPr>
        <mc:AlternateContent>
          <mc:Choice Requires="wps">
            <w:drawing>
              <wp:anchor distT="3175" distB="3175" distL="3175" distR="3175" simplePos="0" relativeHeight="13" behindDoc="0" locked="0" layoutInCell="0" allowOverlap="1" wp14:anchorId="65704151">
                <wp:simplePos x="0" y="0"/>
                <wp:positionH relativeFrom="column">
                  <wp:posOffset>748665</wp:posOffset>
                </wp:positionH>
                <wp:positionV relativeFrom="paragraph">
                  <wp:posOffset>217170</wp:posOffset>
                </wp:positionV>
                <wp:extent cx="4973320" cy="1905"/>
                <wp:effectExtent l="0" t="0" r="0" b="0"/>
                <wp:wrapNone/>
                <wp:docPr id="8" name="Пряма сполучна лінія 151"/>
                <wp:cNvGraphicFramePr/>
                <a:graphic xmlns:a="http://schemas.openxmlformats.org/drawingml/2006/main">
                  <a:graphicData uri="http://schemas.microsoft.com/office/word/2010/wordprocessingShape">
                    <wps:wsp>
                      <wps:cNvCnPr/>
                      <wps:spPr>
                        <a:xfrm>
                          <a:off x="0" y="0"/>
                          <a:ext cx="4972680" cy="1440"/>
                        </a:xfrm>
                        <a:prstGeom prst="line">
                          <a:avLst/>
                        </a:prstGeom>
                        <a:ln>
                          <a:solidFill>
                            <a:srgbClr val="000000"/>
                          </a:solidFill>
                        </a:ln>
                      </wps:spPr>
                      <wps:style>
                        <a:lnRef idx="1">
                          <a:schemeClr val="dk1"/>
                        </a:lnRef>
                        <a:fillRef idx="0">
                          <a:schemeClr val="dk1"/>
                        </a:fillRef>
                        <a:effectRef idx="0">
                          <a:schemeClr val="dk1"/>
                        </a:effectRef>
                        <a:fontRef idx="minor"/>
                      </wps:style>
                      <wps:bodyPr/>
                    </wps:wsp>
                  </a:graphicData>
                </a:graphic>
              </wp:anchor>
            </w:drawing>
          </mc:Choice>
          <mc:Fallback>
            <w:pict>
              <v:line id="shape_0" from="58.95pt,17.1pt" to="450.45pt,17.15pt" ID="Пряма сполучна лінія 151" stroked="t" o:allowincell="f" style="position:absolute" wp14:anchorId="65704151">
                <v:stroke color="black" weight="6480" joinstyle="miter" endcap="flat"/>
                <v:fill o:detectmouseclick="t" on="false"/>
                <w10:wrap type="none"/>
              </v:line>
            </w:pict>
          </mc:Fallback>
        </mc:AlternateContent>
      </w:r>
      <w:r>
        <w:rPr>
          <w:rFonts w:ascii="Times New Roman" w:hAnsi="Times New Roman" w:cs="Times New Roman"/>
          <w:sz w:val="28"/>
          <w:lang w:val="ru-RU"/>
        </w:rPr>
        <w:t xml:space="preserve">Студентці </w:t>
      </w:r>
      <w:r>
        <w:rPr>
          <w:rFonts w:ascii="Times New Roman" w:hAnsi="Times New Roman" w:cs="Times New Roman"/>
          <w:sz w:val="28"/>
          <w:lang w:val="ru-RU"/>
        </w:rPr>
        <w:tab/>
        <w:t>Савчук Вікторії Іванівні</w:t>
      </w:r>
    </w:p>
    <w:p w:rsidR="001D0C14" w:rsidRDefault="00E16C6E">
      <w:pPr>
        <w:jc w:val="center"/>
        <w:rPr>
          <w:rFonts w:ascii="Times New Roman" w:hAnsi="Times New Roman" w:cs="Times New Roman"/>
          <w:lang w:val="ru-RU"/>
        </w:rPr>
      </w:pPr>
      <w:r>
        <w:rPr>
          <w:rFonts w:ascii="Times New Roman" w:hAnsi="Times New Roman" w:cs="Times New Roman"/>
          <w:lang w:val="ru-RU"/>
        </w:rPr>
        <w:t>(прізвище, ім.</w:t>
      </w:r>
      <w:r>
        <w:rPr>
          <w:rFonts w:ascii="Times New Roman" w:hAnsi="Times New Roman" w:cs="Times New Roman"/>
          <w:bCs/>
          <w:szCs w:val="14"/>
          <w:lang w:val="uk-UA"/>
        </w:rPr>
        <w:t>’</w:t>
      </w:r>
      <w:r>
        <w:rPr>
          <w:rFonts w:ascii="Times New Roman" w:hAnsi="Times New Roman" w:cs="Times New Roman"/>
          <w:lang w:val="ru-RU"/>
        </w:rPr>
        <w:t>я, по батькові)</w:t>
      </w:r>
    </w:p>
    <w:p w:rsidR="001D0C14" w:rsidRDefault="00E16C6E">
      <w:pPr>
        <w:spacing w:before="266" w:line="300" w:lineRule="auto"/>
        <w:ind w:left="175" w:right="-6"/>
        <w:rPr>
          <w:rFonts w:ascii="Times New Roman" w:eastAsia="Times" w:hAnsi="Times New Roman" w:cs="Times New Roman"/>
          <w:color w:val="000000"/>
          <w:sz w:val="24"/>
          <w:szCs w:val="24"/>
          <w:u w:val="single"/>
          <w:lang w:val="ru-RU"/>
        </w:rPr>
      </w:pPr>
      <w:r>
        <w:rPr>
          <w:rFonts w:ascii="Times New Roman" w:eastAsia="Times" w:hAnsi="Times New Roman" w:cs="Times New Roman"/>
          <w:color w:val="000000"/>
          <w:sz w:val="24"/>
          <w:szCs w:val="24"/>
          <w:lang w:val="ru-RU"/>
        </w:rPr>
        <w:t>1. Тема проекту (роботи):</w:t>
      </w:r>
      <w:r>
        <w:rPr>
          <w:rFonts w:ascii="Times New Roman" w:hAnsi="Times New Roman" w:cs="Times New Roman"/>
          <w:lang w:val="ru-RU"/>
        </w:rPr>
        <w:t xml:space="preserve"> </w:t>
      </w:r>
      <w:r>
        <w:rPr>
          <w:rFonts w:ascii="Times New Roman" w:eastAsia="Times" w:hAnsi="Times New Roman" w:cs="Times New Roman"/>
          <w:color w:val="000000"/>
          <w:sz w:val="24"/>
          <w:szCs w:val="24"/>
          <w:lang w:val="ru-RU"/>
        </w:rPr>
        <w:t>«Фестивальна діяльність Витвицької ОТГ як інструмент активізації туризму»</w:t>
      </w:r>
    </w:p>
    <w:p w:rsidR="001D0C14" w:rsidRDefault="00E16C6E">
      <w:pPr>
        <w:spacing w:before="19" w:line="278" w:lineRule="auto"/>
        <w:ind w:left="175" w:right="322" w:firstLine="5"/>
        <w:rPr>
          <w:rFonts w:ascii="Times New Roman" w:eastAsia="Times" w:hAnsi="Times New Roman" w:cs="Times New Roman"/>
          <w:color w:val="000000"/>
          <w:sz w:val="24"/>
          <w:szCs w:val="24"/>
          <w:lang w:val="ru-RU"/>
        </w:rPr>
      </w:pPr>
      <w:r>
        <w:rPr>
          <w:rFonts w:ascii="Times New Roman" w:eastAsia="Times" w:hAnsi="Times New Roman" w:cs="Times New Roman"/>
          <w:color w:val="000000"/>
          <w:sz w:val="24"/>
          <w:szCs w:val="24"/>
          <w:lang w:val="ru-RU"/>
        </w:rPr>
        <w:t xml:space="preserve">2. Термін здачі студентом закінченого проекту (роботи): </w:t>
      </w:r>
      <w:r>
        <w:rPr>
          <w:rFonts w:ascii="Times New Roman" w:eastAsia="Times" w:hAnsi="Times New Roman" w:cs="Times New Roman"/>
          <w:color w:val="000000"/>
          <w:sz w:val="24"/>
          <w:szCs w:val="24"/>
          <w:u w:val="single"/>
          <w:lang w:val="ru-RU"/>
        </w:rPr>
        <w:t>06.12.2023</w:t>
      </w:r>
    </w:p>
    <w:p w:rsidR="001D0C14" w:rsidRDefault="00E16C6E">
      <w:pPr>
        <w:spacing w:before="19" w:line="278" w:lineRule="auto"/>
        <w:ind w:left="175" w:right="322" w:firstLine="5"/>
        <w:rPr>
          <w:rFonts w:ascii="Times New Roman" w:eastAsia="Times" w:hAnsi="Times New Roman" w:cs="Times New Roman"/>
          <w:color w:val="000000"/>
          <w:sz w:val="24"/>
          <w:szCs w:val="24"/>
          <w:lang w:val="ru-RU"/>
        </w:rPr>
      </w:pPr>
      <w:r>
        <w:rPr>
          <w:rFonts w:ascii="Times New Roman" w:eastAsia="Times" w:hAnsi="Times New Roman" w:cs="Times New Roman"/>
          <w:color w:val="000000"/>
          <w:sz w:val="24"/>
          <w:szCs w:val="24"/>
          <w:lang w:val="ru-RU"/>
        </w:rPr>
        <w:t>3. Вихідні дані до проекту (роботи); л</w:t>
      </w:r>
      <w:r>
        <w:rPr>
          <w:rFonts w:ascii="Times New Roman" w:eastAsia="Times" w:hAnsi="Times New Roman" w:cs="Times New Roman"/>
          <w:color w:val="000000"/>
          <w:sz w:val="24"/>
          <w:szCs w:val="24"/>
          <w:u w:val="single"/>
          <w:lang w:val="ru-RU"/>
        </w:rPr>
        <w:t>ітературні джерела, методичні вказівки для розробки бакалаврської роботи, Інтернет-джерела.</w:t>
      </w:r>
    </w:p>
    <w:p w:rsidR="001D0C14" w:rsidRDefault="00E16C6E">
      <w:pPr>
        <w:spacing w:before="19" w:line="278" w:lineRule="auto"/>
        <w:ind w:left="175" w:right="322" w:firstLine="5"/>
        <w:rPr>
          <w:rFonts w:ascii="Times New Roman" w:eastAsia="Times" w:hAnsi="Times New Roman" w:cs="Times New Roman"/>
          <w:color w:val="000000"/>
          <w:sz w:val="24"/>
          <w:szCs w:val="24"/>
          <w:lang w:val="ru-RU"/>
        </w:rPr>
      </w:pPr>
      <w:r>
        <w:rPr>
          <w:rFonts w:ascii="Times New Roman" w:eastAsia="Times" w:hAnsi="Times New Roman" w:cs="Times New Roman"/>
          <w:color w:val="000000"/>
          <w:sz w:val="24"/>
          <w:szCs w:val="24"/>
          <w:lang w:val="ru-RU"/>
        </w:rPr>
        <w:t xml:space="preserve">4. Зміст розрахунково-пояснювальної записки (перелік питань, що їх належить розробити): </w:t>
      </w:r>
      <w:r>
        <w:rPr>
          <w:rFonts w:ascii="Times New Roman" w:eastAsia="Times" w:hAnsi="Times New Roman" w:cs="Times New Roman"/>
          <w:color w:val="000000"/>
          <w:sz w:val="24"/>
          <w:szCs w:val="24"/>
          <w:u w:val="single"/>
          <w:lang w:val="uk-UA"/>
        </w:rPr>
        <w:t>Визначити сутність та особливості подієвого туризму. Дослідити зарубіжний досвід організації подієвого туризму. Проаналізувати роль фестивалів як драйверів розвитку туризму в Україні. Провести загальну характеристику розвитку туризму у Витвицькій ОТГ. Розробити концепцію історичного фестивалю «Яворина». Розробити та спланувати територію для проведення фестивалю «Яворина».Оцінити перспективи розвитку подієвого туризму в Україні. Оцінити перспективи розвитку подієвого туризму у Витвицькій ОТГ. Розробити план реалізації заходів для фестивалю «Яворина».</w:t>
      </w:r>
    </w:p>
    <w:p w:rsidR="001D0C14" w:rsidRDefault="00E16C6E">
      <w:pPr>
        <w:spacing w:before="36"/>
        <w:ind w:left="175" w:right="284"/>
        <w:rPr>
          <w:rFonts w:ascii="Times New Roman" w:eastAsia="Times" w:hAnsi="Times New Roman" w:cs="Times New Roman"/>
          <w:color w:val="000000"/>
          <w:sz w:val="24"/>
          <w:szCs w:val="24"/>
          <w:lang w:val="ru-RU"/>
        </w:rPr>
      </w:pPr>
      <w:r>
        <w:rPr>
          <w:rFonts w:ascii="Times New Roman" w:eastAsia="Times" w:hAnsi="Times New Roman" w:cs="Times New Roman"/>
          <w:color w:val="000000"/>
          <w:sz w:val="24"/>
          <w:szCs w:val="24"/>
          <w:lang w:val="ru-RU"/>
        </w:rPr>
        <w:t>5. Перелік графічного матеріалу (з точним зазначенням обов</w:t>
      </w:r>
      <w:r>
        <w:rPr>
          <w:rFonts w:ascii="Times New Roman" w:hAnsi="Times New Roman" w:cs="Times New Roman"/>
          <w:bCs/>
          <w:sz w:val="28"/>
          <w:lang w:val="uk-UA"/>
        </w:rPr>
        <w:t>’</w:t>
      </w:r>
      <w:r>
        <w:rPr>
          <w:rFonts w:ascii="Times New Roman" w:eastAsia="Times" w:hAnsi="Times New Roman" w:cs="Times New Roman"/>
          <w:color w:val="000000"/>
          <w:sz w:val="24"/>
          <w:szCs w:val="24"/>
          <w:lang w:val="ru-RU"/>
        </w:rPr>
        <w:t>язкових креслень)</w:t>
      </w:r>
    </w:p>
    <w:p w:rsidR="001D0C14" w:rsidRDefault="00E16C6E">
      <w:pPr>
        <w:spacing w:before="36"/>
        <w:ind w:left="175" w:right="284"/>
        <w:rPr>
          <w:rFonts w:ascii="Times New Roman" w:eastAsia="Times" w:hAnsi="Times New Roman" w:cs="Times New Roman"/>
          <w:color w:val="000000"/>
          <w:sz w:val="24"/>
          <w:szCs w:val="24"/>
          <w:lang w:val="ru-RU"/>
        </w:rPr>
      </w:pPr>
      <w:r>
        <w:rPr>
          <w:rFonts w:ascii="Times New Roman" w:eastAsia="Times" w:hAnsi="Times New Roman" w:cs="Times New Roman"/>
          <w:color w:val="000000"/>
          <w:sz w:val="24"/>
          <w:szCs w:val="24"/>
          <w:lang w:val="ru-RU"/>
        </w:rPr>
        <w:t>6. Дата видачі завдання</w:t>
      </w:r>
    </w:p>
    <w:p w:rsidR="001D0C14" w:rsidRDefault="00E16C6E">
      <w:pPr>
        <w:rPr>
          <w:rFonts w:ascii="Times New Roman" w:eastAsia="Times" w:hAnsi="Times New Roman" w:cs="Times New Roman"/>
          <w:b/>
          <w:color w:val="000000"/>
          <w:sz w:val="36"/>
          <w:szCs w:val="36"/>
          <w:lang w:val="ru-RU"/>
        </w:rPr>
      </w:pPr>
      <w:r>
        <w:br w:type="page"/>
      </w:r>
    </w:p>
    <w:p w:rsidR="001D0C14" w:rsidRDefault="00E16C6E">
      <w:pPr>
        <w:ind w:right="2529"/>
        <w:jc w:val="right"/>
        <w:rPr>
          <w:rFonts w:ascii="Times" w:eastAsia="Times" w:hAnsi="Times" w:cs="Times"/>
          <w:b/>
          <w:color w:val="000000"/>
          <w:sz w:val="36"/>
          <w:szCs w:val="36"/>
        </w:rPr>
      </w:pPr>
      <w:r>
        <w:rPr>
          <w:rFonts w:ascii="Times" w:eastAsia="Times" w:hAnsi="Times" w:cs="Times"/>
          <w:b/>
          <w:color w:val="000000"/>
          <w:sz w:val="36"/>
          <w:szCs w:val="36"/>
        </w:rPr>
        <w:lastRenderedPageBreak/>
        <w:t xml:space="preserve">КАЛЕНДАРНИЙ ПЛАН  </w:t>
      </w:r>
    </w:p>
    <w:tbl>
      <w:tblPr>
        <w:tblW w:w="10490" w:type="dxa"/>
        <w:tblInd w:w="-152" w:type="dxa"/>
        <w:tblLayout w:type="fixed"/>
        <w:tblCellMar>
          <w:top w:w="100" w:type="dxa"/>
          <w:left w:w="100" w:type="dxa"/>
          <w:bottom w:w="100" w:type="dxa"/>
          <w:right w:w="100" w:type="dxa"/>
        </w:tblCellMar>
        <w:tblLook w:val="0600" w:firstRow="0" w:lastRow="0" w:firstColumn="0" w:lastColumn="0" w:noHBand="1" w:noVBand="1"/>
      </w:tblPr>
      <w:tblGrid>
        <w:gridCol w:w="6238"/>
        <w:gridCol w:w="2124"/>
        <w:gridCol w:w="2128"/>
      </w:tblGrid>
      <w:tr w:rsidR="001D0C14">
        <w:trPr>
          <w:trHeight w:val="1078"/>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jc w:val="center"/>
              <w:rPr>
                <w:rFonts w:ascii="Times New Roman" w:eastAsia="Times" w:hAnsi="Times New Roman" w:cs="Times New Roman"/>
                <w:b/>
                <w:color w:val="000000"/>
                <w:sz w:val="24"/>
                <w:szCs w:val="24"/>
                <w:lang w:val="ru-RU"/>
              </w:rPr>
            </w:pPr>
            <w:r>
              <w:rPr>
                <w:rFonts w:ascii="Times New Roman" w:eastAsia="Times" w:hAnsi="Times New Roman" w:cs="Times New Roman"/>
                <w:b/>
                <w:color w:val="000000"/>
                <w:sz w:val="24"/>
                <w:szCs w:val="24"/>
                <w:lang w:val="ru-RU"/>
              </w:rPr>
              <w:t xml:space="preserve">Номер і назва етапів курсового  </w:t>
            </w:r>
          </w:p>
          <w:p w:rsidR="001D0C14" w:rsidRDefault="00E16C6E">
            <w:pPr>
              <w:widowControl w:val="0"/>
              <w:spacing w:after="0" w:line="240" w:lineRule="auto"/>
              <w:jc w:val="center"/>
              <w:rPr>
                <w:rFonts w:ascii="Times New Roman" w:eastAsia="Times" w:hAnsi="Times New Roman" w:cs="Times New Roman"/>
                <w:b/>
                <w:color w:val="000000"/>
                <w:sz w:val="24"/>
                <w:szCs w:val="24"/>
                <w:lang w:val="ru-RU"/>
              </w:rPr>
            </w:pPr>
            <w:r>
              <w:rPr>
                <w:rFonts w:ascii="Times New Roman" w:eastAsia="Times" w:hAnsi="Times New Roman" w:cs="Times New Roman"/>
                <w:b/>
                <w:color w:val="000000"/>
                <w:sz w:val="24"/>
                <w:szCs w:val="24"/>
                <w:lang w:val="ru-RU"/>
              </w:rPr>
              <w:t>проекту (роботи)</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jc w:val="center"/>
              <w:rPr>
                <w:rFonts w:ascii="Times New Roman" w:eastAsia="Times" w:hAnsi="Times New Roman" w:cs="Times New Roman"/>
                <w:b/>
                <w:color w:val="000000"/>
                <w:sz w:val="24"/>
                <w:szCs w:val="24"/>
                <w:lang w:val="ru-RU"/>
              </w:rPr>
            </w:pPr>
            <w:r>
              <w:rPr>
                <w:rFonts w:ascii="Times New Roman" w:eastAsia="Times" w:hAnsi="Times New Roman" w:cs="Times New Roman"/>
                <w:b/>
                <w:color w:val="000000"/>
                <w:sz w:val="24"/>
                <w:szCs w:val="24"/>
                <w:lang w:val="ru-RU"/>
              </w:rPr>
              <w:t xml:space="preserve">Термін </w:t>
            </w:r>
          </w:p>
          <w:p w:rsidR="001D0C14" w:rsidRDefault="00E16C6E">
            <w:pPr>
              <w:widowControl w:val="0"/>
              <w:spacing w:after="0" w:line="240" w:lineRule="auto"/>
              <w:jc w:val="center"/>
              <w:rPr>
                <w:rFonts w:ascii="Times New Roman" w:eastAsia="Times" w:hAnsi="Times New Roman" w:cs="Times New Roman"/>
                <w:b/>
                <w:color w:val="000000"/>
                <w:sz w:val="24"/>
                <w:szCs w:val="24"/>
                <w:lang w:val="ru-RU"/>
              </w:rPr>
            </w:pPr>
            <w:r>
              <w:rPr>
                <w:rFonts w:ascii="Times New Roman" w:eastAsia="Times" w:hAnsi="Times New Roman" w:cs="Times New Roman"/>
                <w:b/>
                <w:color w:val="000000"/>
                <w:sz w:val="24"/>
                <w:szCs w:val="24"/>
                <w:lang w:val="ru-RU"/>
              </w:rPr>
              <w:t>виконання етапів  проекту (роботи)</w:t>
            </w: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jc w:val="center"/>
              <w:rPr>
                <w:rFonts w:ascii="Times New Roman" w:eastAsia="Times" w:hAnsi="Times New Roman" w:cs="Times New Roman"/>
                <w:b/>
                <w:color w:val="000000"/>
                <w:sz w:val="24"/>
                <w:szCs w:val="24"/>
              </w:rPr>
            </w:pPr>
            <w:r>
              <w:rPr>
                <w:rFonts w:ascii="Times New Roman" w:eastAsia="Times" w:hAnsi="Times New Roman" w:cs="Times New Roman"/>
                <w:b/>
                <w:color w:val="000000"/>
                <w:sz w:val="24"/>
                <w:szCs w:val="24"/>
              </w:rPr>
              <w:t>Примітка</w:t>
            </w:r>
          </w:p>
        </w:tc>
      </w:tr>
      <w:tr w:rsidR="001D0C14">
        <w:trPr>
          <w:trHeight w:val="424"/>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Вступ</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424"/>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color w:val="000000"/>
                <w:sz w:val="24"/>
                <w:szCs w:val="24"/>
                <w:lang w:val="ru-RU"/>
              </w:rPr>
            </w:pPr>
            <w:r>
              <w:rPr>
                <w:rFonts w:ascii="Times New Roman" w:hAnsi="Times New Roman" w:cs="Times New Roman"/>
                <w:sz w:val="24"/>
                <w:szCs w:val="24"/>
                <w:lang w:val="ru-RU"/>
              </w:rPr>
              <w:t>РОЗДІЛ 1. ТЕОРЕТИЧНІ АСПЕКТИ ТА МЕТОДОЛОГІЯ ПОДІЄВОГО ТУРИЗМУ В УКРАЇНІ</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lang w:val="ru-RU"/>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422"/>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hAnsi="Times New Roman" w:cs="Times New Roman"/>
                <w:sz w:val="24"/>
                <w:szCs w:val="24"/>
                <w:lang w:val="ru-RU"/>
              </w:rPr>
            </w:pPr>
            <w:r>
              <w:rPr>
                <w:rFonts w:ascii="Times New Roman" w:hAnsi="Times New Roman" w:cs="Times New Roman"/>
                <w:sz w:val="24"/>
                <w:szCs w:val="24"/>
                <w:lang w:val="ru-RU"/>
              </w:rPr>
              <w:t>1.1. Сутність та особливості подієвого туризму</w:t>
            </w:r>
          </w:p>
          <w:p w:rsidR="001D0C14" w:rsidRDefault="00E16C6E">
            <w:pPr>
              <w:widowControl w:val="0"/>
              <w:spacing w:after="0" w:line="240" w:lineRule="auto"/>
              <w:rPr>
                <w:rFonts w:ascii="Times New Roman" w:eastAsia="Times" w:hAnsi="Times New Roman" w:cs="Times New Roman"/>
                <w:color w:val="000000"/>
                <w:sz w:val="24"/>
                <w:szCs w:val="24"/>
                <w:lang w:val="ru-RU"/>
              </w:rPr>
            </w:pPr>
            <w:r>
              <w:rPr>
                <w:rFonts w:ascii="Times New Roman" w:hAnsi="Times New Roman" w:cs="Times New Roman"/>
                <w:sz w:val="24"/>
                <w:szCs w:val="24"/>
                <w:lang w:val="ru-RU"/>
              </w:rPr>
              <w:t>1.2. Зарубіжний досвід організації подієвого туризму</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lang w:val="ru-RU"/>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424"/>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color w:val="000000"/>
                <w:sz w:val="24"/>
                <w:szCs w:val="24"/>
                <w:lang w:val="ru-RU"/>
              </w:rPr>
            </w:pPr>
            <w:r>
              <w:rPr>
                <w:rFonts w:ascii="Times New Roman" w:eastAsia="Times" w:hAnsi="Times New Roman" w:cs="Times New Roman"/>
                <w:color w:val="000000"/>
                <w:sz w:val="24"/>
                <w:szCs w:val="24"/>
                <w:lang w:val="ru-RU"/>
              </w:rPr>
              <w:t>1.3. Світові тренди сегменту ринку туристичних послуг</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lang w:val="ru-RU"/>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154"/>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lang w:val="ru-RU"/>
              </w:rPr>
            </w:pPr>
            <w:r>
              <w:rPr>
                <w:rFonts w:ascii="Times New Roman" w:hAnsi="Times New Roman" w:cs="Times New Roman"/>
                <w:color w:val="000000" w:themeColor="text1"/>
                <w:sz w:val="24"/>
                <w:szCs w:val="18"/>
                <w:lang w:val="uk-UA"/>
              </w:rPr>
              <w:t>РОЗДІЛ 2. ПРОЕКТУВАННЯ ТА ПЛАНУВАННЯ ТЕРИТОРІЇ ІСТОРИЧНОГО ФЕСТИВАЛЮ «ЯВОРИНА» ДЛЯ ВИТВИЦЬКОЇ ОТГ</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lang w:val="ru-RU"/>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422"/>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Cs/>
                <w:color w:val="000000"/>
                <w:sz w:val="24"/>
                <w:szCs w:val="24"/>
                <w:lang w:val="ru-RU"/>
              </w:rPr>
            </w:pPr>
            <w:r>
              <w:rPr>
                <w:rFonts w:ascii="Times New Roman" w:eastAsia="Calibri" w:hAnsi="Times New Roman" w:cs="Times New Roman"/>
                <w:color w:val="000000" w:themeColor="text1"/>
                <w:sz w:val="24"/>
                <w:szCs w:val="24"/>
                <w:lang w:val="uk-UA"/>
              </w:rPr>
              <w:t>2.1. Загальна характеристика розвитку туризму Витвицької ОТГ</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lang w:val="ru-RU"/>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424"/>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Calibri" w:hAnsi="Times New Roman" w:cs="Times New Roman"/>
                <w:color w:val="000000" w:themeColor="text1"/>
                <w:sz w:val="24"/>
                <w:szCs w:val="24"/>
                <w:lang w:val="uk-UA"/>
              </w:rPr>
            </w:pPr>
            <w:r>
              <w:rPr>
                <w:rFonts w:ascii="Times New Roman" w:eastAsia="Calibri" w:hAnsi="Times New Roman" w:cs="Times New Roman"/>
                <w:color w:val="000000" w:themeColor="text1"/>
                <w:sz w:val="24"/>
                <w:szCs w:val="24"/>
                <w:lang w:val="uk-UA"/>
              </w:rPr>
              <w:t>2.2. Концепція історичного фестивалю «Яворина»</w:t>
            </w:r>
          </w:p>
          <w:p w:rsidR="001D0C14" w:rsidRDefault="00E16C6E">
            <w:pPr>
              <w:widowControl w:val="0"/>
              <w:spacing w:after="0" w:line="240" w:lineRule="auto"/>
              <w:rPr>
                <w:rFonts w:ascii="Times New Roman" w:eastAsia="Times" w:hAnsi="Times New Roman" w:cs="Times New Roman"/>
                <w:bCs/>
                <w:color w:val="000000"/>
                <w:sz w:val="24"/>
                <w:szCs w:val="24"/>
                <w:lang w:val="ru-RU"/>
              </w:rPr>
            </w:pPr>
            <w:r>
              <w:rPr>
                <w:rFonts w:ascii="Times New Roman" w:eastAsia="Calibri" w:hAnsi="Times New Roman" w:cs="Times New Roman"/>
                <w:color w:val="000000" w:themeColor="text1"/>
                <w:sz w:val="24"/>
                <w:szCs w:val="24"/>
                <w:lang w:val="uk-UA"/>
              </w:rPr>
              <w:t>2.3. Розробка та планування території фестивалю</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lang w:val="ru-RU"/>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425"/>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Cs/>
                <w:color w:val="000000"/>
                <w:sz w:val="24"/>
                <w:szCs w:val="24"/>
                <w:lang w:val="ru-RU"/>
              </w:rPr>
            </w:pPr>
            <w:r>
              <w:rPr>
                <w:rFonts w:ascii="Times New Roman" w:eastAsia="Times" w:hAnsi="Times New Roman" w:cs="Times New Roman"/>
                <w:bCs/>
                <w:color w:val="000000"/>
                <w:sz w:val="24"/>
                <w:szCs w:val="24"/>
                <w:lang w:val="ru-RU"/>
              </w:rPr>
              <w:t>РОЗДІЛ 3. ПЛАН РЕАЛІЗАЦІЇ ЗАХОДІВ ФЕСТИВАЛЮ «ЯВОРИНА»</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lang w:val="ru-RU"/>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422"/>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Cs/>
                <w:color w:val="000000"/>
                <w:sz w:val="24"/>
                <w:szCs w:val="24"/>
                <w:lang w:val="ru-RU"/>
              </w:rPr>
            </w:pPr>
            <w:r>
              <w:rPr>
                <w:rFonts w:ascii="Times New Roman" w:eastAsia="Times" w:hAnsi="Times New Roman" w:cs="Times New Roman"/>
                <w:bCs/>
                <w:color w:val="000000"/>
                <w:sz w:val="24"/>
                <w:szCs w:val="24"/>
                <w:lang w:val="ru-RU"/>
              </w:rPr>
              <w:t>3.1. Перспективи розвитку подієвого туризму в Україні</w:t>
            </w:r>
          </w:p>
          <w:p w:rsidR="001D0C14" w:rsidRDefault="00E16C6E">
            <w:pPr>
              <w:widowControl w:val="0"/>
              <w:spacing w:after="0" w:line="240" w:lineRule="auto"/>
              <w:rPr>
                <w:rFonts w:ascii="Times New Roman" w:eastAsia="Times" w:hAnsi="Times New Roman" w:cs="Times New Roman"/>
                <w:bCs/>
                <w:color w:val="000000"/>
                <w:sz w:val="24"/>
                <w:szCs w:val="24"/>
                <w:lang w:val="ru-RU"/>
              </w:rPr>
            </w:pPr>
            <w:r>
              <w:rPr>
                <w:rFonts w:ascii="Times New Roman" w:eastAsia="Times" w:hAnsi="Times New Roman" w:cs="Times New Roman"/>
                <w:bCs/>
                <w:color w:val="000000"/>
                <w:sz w:val="24"/>
                <w:szCs w:val="24"/>
                <w:lang w:val="ru-RU"/>
              </w:rPr>
              <w:t>3.2. Перспективи розвитку подієвого туризму у Витвицькій ОТГ</w:t>
            </w:r>
          </w:p>
          <w:p w:rsidR="001D0C14" w:rsidRDefault="00E16C6E">
            <w:pPr>
              <w:widowControl w:val="0"/>
              <w:spacing w:after="0" w:line="240" w:lineRule="auto"/>
              <w:rPr>
                <w:rFonts w:ascii="Times New Roman" w:eastAsia="Times" w:hAnsi="Times New Roman" w:cs="Times New Roman"/>
                <w:bCs/>
                <w:color w:val="000000"/>
                <w:sz w:val="24"/>
                <w:szCs w:val="24"/>
                <w:lang w:val="ru-RU"/>
              </w:rPr>
            </w:pPr>
            <w:r>
              <w:rPr>
                <w:rFonts w:ascii="Times New Roman" w:eastAsia="Times" w:hAnsi="Times New Roman" w:cs="Times New Roman"/>
                <w:bCs/>
                <w:color w:val="000000"/>
                <w:sz w:val="24"/>
                <w:szCs w:val="24"/>
                <w:lang w:val="ru-RU"/>
              </w:rPr>
              <w:t>3.3. Розробка плану реалізації заходів для фестивалю «Яворина»</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lang w:val="ru-RU"/>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r w:rsidR="001D0C14">
        <w:trPr>
          <w:trHeight w:val="424"/>
        </w:trPr>
        <w:tc>
          <w:tcPr>
            <w:tcW w:w="623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Висновок</w:t>
            </w:r>
          </w:p>
        </w:tc>
        <w:tc>
          <w:tcPr>
            <w:tcW w:w="2124"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1D0C14">
            <w:pPr>
              <w:widowControl w:val="0"/>
              <w:spacing w:after="0" w:line="240" w:lineRule="auto"/>
              <w:rPr>
                <w:rFonts w:ascii="Times New Roman" w:eastAsia="Times" w:hAnsi="Times New Roman" w:cs="Times New Roman"/>
                <w:b/>
                <w:color w:val="000000"/>
                <w:sz w:val="24"/>
                <w:szCs w:val="24"/>
              </w:rPr>
            </w:pPr>
          </w:p>
        </w:tc>
        <w:tc>
          <w:tcPr>
            <w:tcW w:w="2128" w:type="dxa"/>
            <w:tcBorders>
              <w:top w:val="single" w:sz="8" w:space="0" w:color="000000"/>
              <w:left w:val="single" w:sz="8" w:space="0" w:color="000000"/>
              <w:bottom w:val="single" w:sz="8" w:space="0" w:color="000000"/>
              <w:right w:val="single" w:sz="8" w:space="0" w:color="000000"/>
            </w:tcBorders>
            <w:shd w:val="clear" w:color="auto" w:fill="auto"/>
          </w:tcPr>
          <w:p w:rsidR="001D0C14" w:rsidRDefault="00E16C6E">
            <w:pPr>
              <w:widowControl w:val="0"/>
              <w:spacing w:after="0" w:line="240" w:lineRule="auto"/>
              <w:rPr>
                <w:rFonts w:ascii="Times New Roman" w:eastAsia="Times" w:hAnsi="Times New Roman" w:cs="Times New Roman"/>
                <w:b/>
                <w:color w:val="000000"/>
                <w:sz w:val="24"/>
                <w:szCs w:val="24"/>
              </w:rPr>
            </w:pPr>
            <w:r>
              <w:rPr>
                <w:rFonts w:ascii="Times New Roman" w:hAnsi="Times New Roman" w:cs="Times New Roman"/>
                <w:sz w:val="24"/>
                <w:szCs w:val="24"/>
              </w:rPr>
              <w:t>Виконано</w:t>
            </w:r>
          </w:p>
        </w:tc>
      </w:tr>
    </w:tbl>
    <w:p w:rsidR="001D0C14" w:rsidRDefault="001D0C14">
      <w:pPr>
        <w:rPr>
          <w:color w:val="000000"/>
        </w:rPr>
      </w:pPr>
    </w:p>
    <w:p w:rsidR="001D0C14" w:rsidRDefault="00E16C6E">
      <w:pPr>
        <w:ind w:left="735"/>
        <w:rPr>
          <w:rFonts w:ascii="Times" w:eastAsia="Times" w:hAnsi="Times" w:cs="Times"/>
          <w:color w:val="000000"/>
          <w:sz w:val="28"/>
          <w:szCs w:val="28"/>
        </w:rPr>
      </w:pPr>
      <w:r>
        <w:rPr>
          <w:rFonts w:ascii="Times" w:eastAsia="Times" w:hAnsi="Times" w:cs="Times"/>
          <w:color w:val="000000"/>
          <w:sz w:val="28"/>
          <w:szCs w:val="28"/>
        </w:rPr>
        <w:t xml:space="preserve">Студент _____________________________________ </w:t>
      </w:r>
    </w:p>
    <w:p w:rsidR="001D0C14" w:rsidRDefault="00E16C6E">
      <w:pPr>
        <w:ind w:left="2174"/>
        <w:rPr>
          <w:rFonts w:ascii="Times" w:eastAsia="Times" w:hAnsi="Times" w:cs="Times"/>
          <w:color w:val="000000"/>
        </w:rPr>
      </w:pPr>
      <w:r>
        <w:rPr>
          <w:rFonts w:ascii="Times" w:eastAsia="Times" w:hAnsi="Times" w:cs="Times"/>
          <w:color w:val="000000"/>
        </w:rPr>
        <w:t xml:space="preserve">(Особистий підпис) (Розшифровка підпису) </w:t>
      </w:r>
    </w:p>
    <w:p w:rsidR="001D0C14" w:rsidRDefault="00E16C6E">
      <w:pPr>
        <w:spacing w:before="243"/>
        <w:ind w:left="730"/>
        <w:rPr>
          <w:rFonts w:ascii="Times" w:eastAsia="Times" w:hAnsi="Times" w:cs="Times"/>
          <w:color w:val="000000"/>
          <w:sz w:val="28"/>
          <w:szCs w:val="28"/>
        </w:rPr>
      </w:pPr>
      <w:r>
        <w:rPr>
          <w:rFonts w:ascii="Times" w:eastAsia="Times" w:hAnsi="Times" w:cs="Times"/>
          <w:color w:val="000000"/>
          <w:sz w:val="28"/>
          <w:szCs w:val="28"/>
        </w:rPr>
        <w:t xml:space="preserve">Керівник _____________________________________ </w:t>
      </w:r>
    </w:p>
    <w:p w:rsidR="001D0C14" w:rsidRDefault="00E16C6E">
      <w:pPr>
        <w:ind w:left="2174"/>
        <w:rPr>
          <w:rFonts w:ascii="Times" w:eastAsia="Times" w:hAnsi="Times" w:cs="Times"/>
          <w:color w:val="000000"/>
          <w:lang w:val="ru-RU"/>
        </w:rPr>
      </w:pPr>
      <w:r>
        <w:rPr>
          <w:rFonts w:ascii="Times" w:eastAsia="Times" w:hAnsi="Times" w:cs="Times"/>
          <w:color w:val="000000"/>
          <w:lang w:val="ru-RU"/>
        </w:rPr>
        <w:t xml:space="preserve">(Особистий підпис) (Розшифровка підпису) </w:t>
      </w:r>
    </w:p>
    <w:p w:rsidR="001D0C14" w:rsidRDefault="00E16C6E">
      <w:pPr>
        <w:spacing w:before="244"/>
        <w:ind w:left="733"/>
        <w:rPr>
          <w:rFonts w:ascii="Times" w:eastAsia="Times" w:hAnsi="Times" w:cs="Times"/>
          <w:color w:val="000000"/>
          <w:sz w:val="28"/>
          <w:szCs w:val="28"/>
          <w:lang w:val="ru-RU"/>
        </w:rPr>
      </w:pPr>
      <w:r>
        <w:rPr>
          <w:rFonts w:ascii="Times" w:eastAsia="Times" w:hAnsi="Times" w:cs="Times"/>
          <w:color w:val="000000"/>
          <w:sz w:val="28"/>
          <w:szCs w:val="28"/>
          <w:lang w:val="ru-RU"/>
        </w:rPr>
        <w:t>«___»_____________________ р.</w:t>
      </w:r>
    </w:p>
    <w:p w:rsidR="001D0C14" w:rsidRDefault="00E16C6E">
      <w:pPr>
        <w:spacing w:after="160" w:line="259" w:lineRule="auto"/>
        <w:jc w:val="left"/>
        <w:rPr>
          <w:rFonts w:ascii="Times New Roman" w:hAnsi="Times New Roman"/>
          <w:b/>
          <w:sz w:val="28"/>
          <w:szCs w:val="28"/>
          <w:lang w:val="uk-UA"/>
        </w:rPr>
      </w:pPr>
      <w:r>
        <w:br w:type="page"/>
      </w:r>
    </w:p>
    <w:p w:rsidR="001D0C14" w:rsidRDefault="00E16C6E">
      <w:pPr>
        <w:tabs>
          <w:tab w:val="center" w:pos="5155"/>
        </w:tabs>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АНОТАЦІЯ</w:t>
      </w:r>
    </w:p>
    <w:p w:rsidR="001D0C14" w:rsidRDefault="00E16C6E">
      <w:pPr>
        <w:tabs>
          <w:tab w:val="center" w:pos="5155"/>
        </w:tabs>
        <w:spacing w:after="0" w:line="360" w:lineRule="auto"/>
        <w:ind w:firstLine="709"/>
        <w:rPr>
          <w:rFonts w:ascii="Times New Roman" w:hAnsi="Times New Roman"/>
          <w:b/>
          <w:sz w:val="28"/>
          <w:szCs w:val="28"/>
          <w:lang w:val="uk-UA"/>
        </w:rPr>
      </w:pPr>
      <w:r>
        <w:rPr>
          <w:rFonts w:ascii="Times New Roman" w:hAnsi="Times New Roman"/>
          <w:b/>
          <w:sz w:val="28"/>
          <w:szCs w:val="28"/>
          <w:lang w:val="uk-UA"/>
        </w:rPr>
        <w:t xml:space="preserve">Савчук В.І «Фестивальна діяльність Витвицької ОТГ як інструмент активізації туризму» – Бакалаврська робота. </w:t>
      </w:r>
    </w:p>
    <w:p w:rsidR="001D0C14" w:rsidRDefault="00E16C6E">
      <w:pPr>
        <w:tabs>
          <w:tab w:val="center" w:pos="5155"/>
        </w:tabs>
        <w:spacing w:after="0" w:line="360" w:lineRule="auto"/>
        <w:ind w:firstLine="709"/>
        <w:rPr>
          <w:rFonts w:ascii="Times New Roman" w:hAnsi="Times New Roman"/>
          <w:bCs/>
          <w:sz w:val="28"/>
          <w:szCs w:val="28"/>
          <w:lang w:val="uk-UA"/>
        </w:rPr>
      </w:pPr>
      <w:r>
        <w:rPr>
          <w:rFonts w:ascii="Times New Roman" w:hAnsi="Times New Roman"/>
          <w:bCs/>
          <w:sz w:val="28"/>
          <w:szCs w:val="28"/>
          <w:lang w:val="uk-UA"/>
        </w:rPr>
        <w:t xml:space="preserve">Бакалаврська робота присвячена дослідженню теоретичних аспектів та методології подієвого туризму, аналізу зарубіжного досвіду, світових трендів у сфері туристичних послуг, а також проектуванню концепції історичного фестивалю «Яворина» для Витвицької об’єднаної територіальної громади. </w:t>
      </w:r>
    </w:p>
    <w:p w:rsidR="001D0C14" w:rsidRDefault="00E16C6E">
      <w:pPr>
        <w:tabs>
          <w:tab w:val="center" w:pos="5155"/>
        </w:tabs>
        <w:spacing w:after="0" w:line="360" w:lineRule="auto"/>
        <w:ind w:firstLine="709"/>
        <w:rPr>
          <w:rFonts w:ascii="Times New Roman" w:hAnsi="Times New Roman"/>
          <w:bCs/>
          <w:sz w:val="28"/>
          <w:szCs w:val="28"/>
          <w:lang w:val="uk-UA"/>
        </w:rPr>
      </w:pPr>
      <w:r>
        <w:rPr>
          <w:rFonts w:ascii="Times New Roman" w:hAnsi="Times New Roman"/>
          <w:bCs/>
          <w:sz w:val="28"/>
          <w:szCs w:val="28"/>
          <w:lang w:val="uk-UA"/>
        </w:rPr>
        <w:t>Розглянуто сутність та особливості подієвого туризму, зарубіжний досвід організації подій та світові тенденції розвитку цього сегменту ринку. Також робота присвячена аналізу поточного стану розвитку туризму у Витвицькій ОТГ та розробці покращення матеріально-технічного забезпечення історичного фестивалю «Яворина», що включає детальне планування території для проведення заходу.</w:t>
      </w:r>
    </w:p>
    <w:p w:rsidR="001D0C14" w:rsidRDefault="00E16C6E">
      <w:pPr>
        <w:tabs>
          <w:tab w:val="center" w:pos="5155"/>
        </w:tabs>
        <w:spacing w:after="0" w:line="360" w:lineRule="auto"/>
        <w:ind w:firstLine="709"/>
        <w:rPr>
          <w:rFonts w:ascii="Times New Roman" w:hAnsi="Times New Roman"/>
          <w:bCs/>
          <w:sz w:val="28"/>
          <w:szCs w:val="28"/>
          <w:lang w:val="uk-UA"/>
        </w:rPr>
      </w:pPr>
      <w:r>
        <w:rPr>
          <w:rFonts w:ascii="Times New Roman" w:hAnsi="Times New Roman"/>
          <w:bCs/>
          <w:sz w:val="28"/>
          <w:szCs w:val="28"/>
          <w:lang w:val="uk-UA"/>
        </w:rPr>
        <w:t>Представлено перспективи розвитку подієвого туризму в Україні та у Витвицькій ОТГ, а також розроблено план реалізації заходів для фестивалю «Яворина». Окрім того, робота включає детальний аналіз факторів, що сприяють розвитку подієвого туризму, таких як маркетингова стратегія, управління ресурсами та співпраця з іншими регіонами. Робота спрямована на виявлення потенціалу фестивальної діяльності як інструменту активізації туризму та економічного розвитку регіону, а також на підвищення культурного та соціального рівня життя місцевого населення через залучення до організації та проведення фестивалю.</w:t>
      </w:r>
    </w:p>
    <w:p w:rsidR="001D0C14" w:rsidRDefault="00E16C6E">
      <w:pPr>
        <w:tabs>
          <w:tab w:val="center" w:pos="5155"/>
        </w:tabs>
        <w:spacing w:after="0" w:line="360" w:lineRule="auto"/>
        <w:ind w:firstLine="709"/>
        <w:rPr>
          <w:rFonts w:ascii="Times New Roman" w:hAnsi="Times New Roman"/>
          <w:bCs/>
          <w:sz w:val="28"/>
          <w:szCs w:val="28"/>
          <w:lang w:val="uk-UA"/>
        </w:rPr>
      </w:pPr>
      <w:r>
        <w:rPr>
          <w:rFonts w:ascii="Times New Roman" w:hAnsi="Times New Roman"/>
          <w:bCs/>
          <w:sz w:val="28"/>
          <w:szCs w:val="28"/>
          <w:lang w:val="uk-UA"/>
        </w:rPr>
        <w:t>Бакалаврська робота викладена на 82 сторінках загального тексту роботи, містить 10 таблиць, 11 рисунків.</w:t>
      </w:r>
      <w:bookmarkStart w:id="1" w:name="_Hlk166271790"/>
      <w:bookmarkEnd w:id="1"/>
    </w:p>
    <w:p w:rsidR="001D0C14" w:rsidRDefault="00E16C6E">
      <w:pPr>
        <w:tabs>
          <w:tab w:val="center" w:pos="5155"/>
        </w:tabs>
        <w:spacing w:after="0" w:line="360" w:lineRule="auto"/>
        <w:ind w:firstLine="709"/>
        <w:rPr>
          <w:rFonts w:ascii="Times New Roman" w:hAnsi="Times New Roman"/>
          <w:bCs/>
          <w:sz w:val="28"/>
          <w:szCs w:val="28"/>
          <w:lang w:val="uk-UA"/>
        </w:rPr>
      </w:pPr>
      <w:r>
        <w:rPr>
          <w:rFonts w:ascii="Times New Roman" w:hAnsi="Times New Roman"/>
          <w:b/>
          <w:sz w:val="28"/>
          <w:szCs w:val="28"/>
          <w:lang w:val="uk-UA"/>
        </w:rPr>
        <w:t>Ключові слова:</w:t>
      </w:r>
      <w:r>
        <w:rPr>
          <w:rFonts w:ascii="Times New Roman" w:hAnsi="Times New Roman"/>
          <w:bCs/>
          <w:sz w:val="28"/>
          <w:szCs w:val="28"/>
          <w:lang w:val="uk-UA"/>
        </w:rPr>
        <w:t xml:space="preserve"> туризм, подієвий туризм, фестивальний туризм, фестивалі, Витвицька ОТГ</w:t>
      </w:r>
    </w:p>
    <w:p w:rsidR="001D0C14" w:rsidRDefault="00E16C6E">
      <w:pPr>
        <w:spacing w:after="160" w:line="259" w:lineRule="auto"/>
        <w:jc w:val="left"/>
        <w:rPr>
          <w:rFonts w:ascii="Times New Roman" w:hAnsi="Times New Roman"/>
          <w:b/>
          <w:sz w:val="28"/>
          <w:szCs w:val="28"/>
          <w:lang w:val="uk-UA"/>
        </w:rPr>
      </w:pPr>
      <w:r w:rsidRPr="005B551B">
        <w:rPr>
          <w:lang w:val="uk-UA"/>
        </w:rPr>
        <w:br w:type="page"/>
      </w:r>
    </w:p>
    <w:p w:rsidR="001D0C14" w:rsidRDefault="00E16C6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SUMMARY</w:t>
      </w:r>
    </w:p>
    <w:p w:rsidR="001D0C14" w:rsidRDefault="00E16C6E">
      <w:pPr>
        <w:spacing w:after="0" w:line="360" w:lineRule="auto"/>
        <w:ind w:firstLine="709"/>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Savchuk V.I. «Festival Activity of Vitvytska AH as a Tourism Activation Tool» </w:t>
      </w:r>
      <w:r>
        <w:rPr>
          <w:rFonts w:ascii="Times New Roman" w:hAnsi="Times New Roman"/>
          <w:b/>
          <w:sz w:val="28"/>
          <w:szCs w:val="28"/>
          <w:lang w:val="uk-UA"/>
        </w:rPr>
        <w:t>–</w:t>
      </w:r>
      <w:r>
        <w:rPr>
          <w:rFonts w:ascii="Times New Roman" w:hAnsi="Times New Roman" w:cs="Times New Roman"/>
          <w:b/>
          <w:color w:val="000000" w:themeColor="text1"/>
          <w:sz w:val="28"/>
          <w:szCs w:val="28"/>
          <w:lang w:val="uk-UA"/>
        </w:rPr>
        <w:t xml:space="preserve"> Bachelor’s Thesis.</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The Bachelor’s thesis is devoted to the study of theoretical aspects and methodology of event tourism, analysis of international experience, global trends in the tourism services sector, and the design of the concept of the historical festival «Yavorina» for Vitvytska Amalgamated Hromada.</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The essence and peculiarities of event tourism, international experience in event organization, and global trends in the development of this market segment are considered. The work also focuses on analyzing the current state of tourism development in Vitvytska </w:t>
      </w:r>
      <w:r>
        <w:rPr>
          <w:rFonts w:ascii="Times New Roman" w:hAnsi="Times New Roman" w:cs="Times New Roman"/>
          <w:color w:val="000000" w:themeColor="text1"/>
          <w:sz w:val="28"/>
          <w:szCs w:val="28"/>
        </w:rPr>
        <w:t>ATC</w:t>
      </w:r>
      <w:r>
        <w:rPr>
          <w:rFonts w:ascii="Times New Roman" w:hAnsi="Times New Roman" w:cs="Times New Roman"/>
          <w:color w:val="000000" w:themeColor="text1"/>
          <w:sz w:val="28"/>
          <w:szCs w:val="28"/>
          <w:lang w:val="uk-UA"/>
        </w:rPr>
        <w:t xml:space="preserve"> and developing improvements to the material and technical support of the historical festival «Yavorina» including detailed planning of the event area.</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The prospects for the development of event tourism in Ukraine and in Vitvytska </w:t>
      </w:r>
      <w:r>
        <w:rPr>
          <w:rFonts w:ascii="Times New Roman" w:hAnsi="Times New Roman" w:cs="Times New Roman"/>
          <w:color w:val="000000" w:themeColor="text1"/>
          <w:sz w:val="28"/>
          <w:szCs w:val="28"/>
        </w:rPr>
        <w:t>ATC</w:t>
      </w:r>
      <w:r>
        <w:rPr>
          <w:rFonts w:ascii="Times New Roman" w:hAnsi="Times New Roman" w:cs="Times New Roman"/>
          <w:color w:val="000000" w:themeColor="text1"/>
          <w:sz w:val="28"/>
          <w:szCs w:val="28"/>
          <w:lang w:val="uk-UA"/>
        </w:rPr>
        <w:t xml:space="preserve"> are presented, along with a plan for the implementation of events for the «Yavorina» festival. In addition, the thesis includes a detailed analysis of factors contributing to the development of event tourism, such as marketing strategy, resource management, and cooperation with other regions. The thesis aims to identify the potential of festival activity as a tool for tourism activation and economic development of the region, as well as to enhance the cultural and social level of life for the local population through involvement in the organization and conduct of the festival.</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The Bachelor’s thesis consists of 82 pages of main text, including 10 tables and 11 figures.</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 xml:space="preserve">Keywords: </w:t>
      </w:r>
      <w:r>
        <w:rPr>
          <w:rFonts w:ascii="Times New Roman" w:hAnsi="Times New Roman" w:cs="Times New Roman"/>
          <w:color w:val="000000" w:themeColor="text1"/>
          <w:sz w:val="28"/>
          <w:szCs w:val="28"/>
          <w:lang w:val="uk-UA"/>
        </w:rPr>
        <w:t xml:space="preserve">tourism, event tourism, festival tourism, festivals, Vitvytska </w:t>
      </w:r>
      <w:r>
        <w:rPr>
          <w:rFonts w:ascii="Times New Roman" w:hAnsi="Times New Roman" w:cs="Times New Roman"/>
          <w:color w:val="000000" w:themeColor="text1"/>
          <w:sz w:val="28"/>
          <w:szCs w:val="28"/>
        </w:rPr>
        <w:t>ATC</w:t>
      </w:r>
      <w:r>
        <w:rPr>
          <w:rFonts w:ascii="Times New Roman" w:hAnsi="Times New Roman" w:cs="Times New Roman"/>
          <w:color w:val="000000" w:themeColor="text1"/>
          <w:sz w:val="28"/>
          <w:szCs w:val="28"/>
          <w:lang w:val="uk-UA"/>
        </w:rPr>
        <w:t>.</w:t>
      </w:r>
    </w:p>
    <w:p w:rsidR="001D0C14" w:rsidRDefault="00E16C6E">
      <w:pPr>
        <w:spacing w:after="160" w:line="259" w:lineRule="auto"/>
        <w:jc w:val="left"/>
        <w:rPr>
          <w:rFonts w:ascii="Times New Roman" w:hAnsi="Times New Roman"/>
          <w:b/>
          <w:color w:val="000000" w:themeColor="text1"/>
          <w:sz w:val="28"/>
          <w:szCs w:val="28"/>
          <w:lang w:val="uk-UA"/>
        </w:rPr>
      </w:pPr>
      <w:r>
        <w:br w:type="page"/>
      </w:r>
    </w:p>
    <w:p w:rsidR="001D0C14" w:rsidRDefault="00E16C6E">
      <w:pPr>
        <w:tabs>
          <w:tab w:val="center" w:pos="5155"/>
        </w:tabs>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ЗМІСТ</w:t>
      </w:r>
    </w:p>
    <w:tbl>
      <w:tblPr>
        <w:tblW w:w="10617" w:type="dxa"/>
        <w:tblInd w:w="-147" w:type="dxa"/>
        <w:tblLayout w:type="fixed"/>
        <w:tblLook w:val="04A0" w:firstRow="1" w:lastRow="0" w:firstColumn="1" w:lastColumn="0" w:noHBand="0" w:noVBand="1"/>
      </w:tblPr>
      <w:tblGrid>
        <w:gridCol w:w="9928"/>
        <w:gridCol w:w="689"/>
      </w:tblGrid>
      <w:tr w:rsidR="001D0C14">
        <w:tc>
          <w:tcPr>
            <w:tcW w:w="9927" w:type="dxa"/>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ВСТУП………………………………………………………………………………….</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7</w:t>
            </w:r>
          </w:p>
        </w:tc>
      </w:tr>
      <w:tr w:rsidR="001D0C14">
        <w:trPr>
          <w:trHeight w:val="410"/>
        </w:trPr>
        <w:tc>
          <w:tcPr>
            <w:tcW w:w="9927" w:type="dxa"/>
          </w:tcPr>
          <w:p w:rsidR="001D0C14" w:rsidRDefault="00E16C6E">
            <w:pPr>
              <w:widowControl w:val="0"/>
              <w:spacing w:after="0" w:line="360" w:lineRule="auto"/>
              <w:rPr>
                <w:rFonts w:ascii="Times New Roman" w:hAnsi="Times New Roman" w:cs="Times New Roman"/>
                <w:color w:val="000000" w:themeColor="text1"/>
                <w:sz w:val="28"/>
                <w:shd w:val="clear" w:color="auto" w:fill="FFFFFF"/>
                <w:lang w:val="uk-UA"/>
              </w:rPr>
            </w:pPr>
            <w:r>
              <w:rPr>
                <w:rFonts w:ascii="Times New Roman" w:hAnsi="Times New Roman" w:cs="Times New Roman"/>
                <w:color w:val="000000" w:themeColor="text1"/>
                <w:sz w:val="28"/>
                <w:szCs w:val="28"/>
                <w:lang w:val="uk-UA"/>
              </w:rPr>
              <w:t xml:space="preserve">РОЗДІЛ 1. ТЕОРЕТИЧНІ АСПЕКТИ ТА МЕТОДОЛОГІЯ ПОДІЄВОГО ТУРИЗМУ В УКРАЇНІ </w:t>
            </w:r>
            <w:r>
              <w:rPr>
                <w:rFonts w:ascii="Times New Roman" w:hAnsi="Times New Roman" w:cs="Times New Roman"/>
                <w:color w:val="000000" w:themeColor="text1"/>
                <w:sz w:val="28"/>
                <w:shd w:val="clear" w:color="auto" w:fill="FFFFFF"/>
                <w:lang w:val="uk-UA"/>
              </w:rPr>
              <w:t>……………………………………</w:t>
            </w:r>
            <w:r>
              <w:rPr>
                <w:rFonts w:ascii="Times New Roman" w:hAnsi="Times New Roman" w:cs="Times New Roman"/>
                <w:color w:val="000000" w:themeColor="text1"/>
                <w:sz w:val="28"/>
                <w:shd w:val="clear" w:color="auto" w:fill="FFFFFF"/>
                <w:lang w:val="ru-RU"/>
              </w:rPr>
              <w:t>…………………………..</w:t>
            </w:r>
          </w:p>
        </w:tc>
        <w:tc>
          <w:tcPr>
            <w:tcW w:w="689" w:type="dxa"/>
            <w:shd w:val="clear" w:color="auto" w:fill="auto"/>
          </w:tcPr>
          <w:p w:rsidR="001D0C14" w:rsidRDefault="001D0C14">
            <w:pPr>
              <w:widowControl w:val="0"/>
              <w:spacing w:after="0" w:line="360" w:lineRule="auto"/>
              <w:rPr>
                <w:rFonts w:ascii="Times New Roman" w:hAnsi="Times New Roman"/>
                <w:color w:val="000000" w:themeColor="text1"/>
                <w:sz w:val="28"/>
                <w:szCs w:val="28"/>
                <w:lang w:val="uk-UA"/>
              </w:rPr>
            </w:pPr>
          </w:p>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9</w:t>
            </w:r>
          </w:p>
        </w:tc>
      </w:tr>
      <w:tr w:rsidR="001D0C14">
        <w:trPr>
          <w:trHeight w:val="410"/>
        </w:trPr>
        <w:tc>
          <w:tcPr>
            <w:tcW w:w="9927" w:type="dxa"/>
          </w:tcPr>
          <w:p w:rsidR="001D0C14" w:rsidRDefault="00E16C6E">
            <w:pPr>
              <w:widowControl w:val="0"/>
              <w:spacing w:after="0" w:line="360" w:lineRule="auto"/>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1.1. Сутність та особливості подієвого туризму …………………………………….</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9</w:t>
            </w:r>
          </w:p>
        </w:tc>
      </w:tr>
      <w:tr w:rsidR="001D0C14">
        <w:trPr>
          <w:trHeight w:val="410"/>
        </w:trPr>
        <w:tc>
          <w:tcPr>
            <w:tcW w:w="9927" w:type="dxa"/>
          </w:tcPr>
          <w:p w:rsidR="001D0C14" w:rsidRDefault="00E16C6E">
            <w:pPr>
              <w:widowControl w:val="0"/>
              <w:spacing w:after="0" w:line="360" w:lineRule="auto"/>
              <w:rPr>
                <w:rFonts w:ascii="Times New Roman" w:hAnsi="Times New Roman" w:cs="Times New Roman"/>
                <w:color w:val="000000" w:themeColor="text1"/>
                <w:sz w:val="28"/>
                <w:lang w:val="ru-RU"/>
              </w:rPr>
            </w:pPr>
            <w:r>
              <w:rPr>
                <w:rFonts w:ascii="Times New Roman" w:hAnsi="Times New Roman" w:cs="Times New Roman"/>
                <w:color w:val="000000" w:themeColor="text1"/>
                <w:sz w:val="28"/>
                <w:lang w:val="ru-RU"/>
              </w:rPr>
              <w:t>1.2. Зарубіжний досвід організації подієвого туризму ………………………………</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17</w:t>
            </w:r>
          </w:p>
        </w:tc>
      </w:tr>
      <w:tr w:rsidR="001D0C14">
        <w:trPr>
          <w:trHeight w:val="410"/>
        </w:trPr>
        <w:tc>
          <w:tcPr>
            <w:tcW w:w="9927" w:type="dxa"/>
          </w:tcPr>
          <w:p w:rsidR="001D0C14" w:rsidRDefault="00E16C6E">
            <w:pPr>
              <w:widowControl w:val="0"/>
              <w:spacing w:after="0" w:line="360" w:lineRule="auto"/>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1.3. Фестиваль як драйвер розвитку туризму в Україні …………………………….</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23</w:t>
            </w:r>
          </w:p>
        </w:tc>
      </w:tr>
      <w:tr w:rsidR="001D0C14">
        <w:trPr>
          <w:trHeight w:val="410"/>
        </w:trPr>
        <w:tc>
          <w:tcPr>
            <w:tcW w:w="9927" w:type="dxa"/>
          </w:tcPr>
          <w:p w:rsidR="001D0C14" w:rsidRDefault="00E16C6E">
            <w:pPr>
              <w:widowControl w:val="0"/>
              <w:spacing w:after="0" w:line="360" w:lineRule="auto"/>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РОЗДІЛ 2. ПРОЕКТУВАННЯ ТА ПЛАНУВАННЯ ТЕРИТОРІЇ ІСТОРИЧНОГО </w:t>
            </w:r>
            <w:r>
              <w:rPr>
                <w:rFonts w:ascii="Times New Roman" w:hAnsi="Times New Roman" w:cs="Times New Roman"/>
                <w:color w:val="000000" w:themeColor="text1"/>
                <w:sz w:val="28"/>
                <w:szCs w:val="28"/>
                <w:lang w:val="uk-UA"/>
              </w:rPr>
              <w:t>ФЕСТИВАЛЮ «ЯВОРИНА» ДЛЯ ВИТВИЦЬКОЇ ОТГ……………………………</w:t>
            </w:r>
          </w:p>
        </w:tc>
        <w:tc>
          <w:tcPr>
            <w:tcW w:w="689" w:type="dxa"/>
            <w:shd w:val="clear" w:color="auto" w:fill="auto"/>
          </w:tcPr>
          <w:p w:rsidR="001D0C14" w:rsidRDefault="001D0C14">
            <w:pPr>
              <w:widowControl w:val="0"/>
              <w:spacing w:after="0" w:line="360" w:lineRule="auto"/>
              <w:rPr>
                <w:rFonts w:ascii="Times New Roman" w:hAnsi="Times New Roman"/>
                <w:color w:val="000000" w:themeColor="text1"/>
                <w:sz w:val="28"/>
                <w:szCs w:val="28"/>
                <w:lang w:val="uk-UA"/>
              </w:rPr>
            </w:pPr>
          </w:p>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30</w:t>
            </w:r>
          </w:p>
        </w:tc>
      </w:tr>
      <w:tr w:rsidR="001D0C14">
        <w:trPr>
          <w:trHeight w:val="410"/>
        </w:trPr>
        <w:tc>
          <w:tcPr>
            <w:tcW w:w="9927" w:type="dxa"/>
          </w:tcPr>
          <w:p w:rsidR="001D0C14" w:rsidRDefault="00E16C6E">
            <w:pPr>
              <w:widowControl w:val="0"/>
              <w:spacing w:after="0" w:line="360" w:lineRule="auto"/>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2.1.</w:t>
            </w:r>
            <w:r>
              <w:rPr>
                <w:rFonts w:ascii="Times New Roman" w:hAnsi="Times New Roman" w:cs="Times New Roman"/>
                <w:color w:val="000000" w:themeColor="text1"/>
                <w:sz w:val="28"/>
                <w:lang w:val="uk-UA"/>
              </w:rPr>
              <w:t xml:space="preserve"> Загальна характеристика розвитку туризму Витвицької ОТГ…………………</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30</w:t>
            </w:r>
          </w:p>
        </w:tc>
      </w:tr>
      <w:tr w:rsidR="001D0C14">
        <w:trPr>
          <w:trHeight w:val="332"/>
        </w:trPr>
        <w:tc>
          <w:tcPr>
            <w:tcW w:w="9927" w:type="dxa"/>
          </w:tcPr>
          <w:p w:rsidR="001D0C14" w:rsidRDefault="00E16C6E">
            <w:pPr>
              <w:widowControl w:val="0"/>
              <w:spacing w:after="0" w:line="360" w:lineRule="auto"/>
              <w:rPr>
                <w:rFonts w:ascii="Times New Roman" w:hAnsi="Times New Roman" w:cs="Times New Roman"/>
                <w:color w:val="000000" w:themeColor="text1"/>
                <w:sz w:val="28"/>
                <w:lang w:val="ru-RU"/>
              </w:rPr>
            </w:pPr>
            <w:r>
              <w:rPr>
                <w:rFonts w:ascii="Times New Roman" w:eastAsia="Calibri" w:hAnsi="Times New Roman" w:cs="Times New Roman"/>
                <w:color w:val="000000" w:themeColor="text1"/>
                <w:sz w:val="28"/>
                <w:szCs w:val="28"/>
                <w:lang w:val="uk-UA"/>
              </w:rPr>
              <w:t>2.2.</w:t>
            </w:r>
            <w:r>
              <w:rPr>
                <w:color w:val="000000" w:themeColor="text1"/>
                <w:lang w:val="uk-UA"/>
              </w:rPr>
              <w:t xml:space="preserve"> </w:t>
            </w:r>
            <w:r>
              <w:rPr>
                <w:rFonts w:ascii="Times New Roman" w:eastAsia="Calibri" w:hAnsi="Times New Roman" w:cs="Times New Roman"/>
                <w:color w:val="000000" w:themeColor="text1"/>
                <w:sz w:val="28"/>
                <w:szCs w:val="28"/>
                <w:lang w:val="uk-UA"/>
              </w:rPr>
              <w:t>Концепція історичного фестивалю «Яворина»</w:t>
            </w:r>
            <w:r>
              <w:rPr>
                <w:rFonts w:ascii="Times New Roman" w:eastAsia="Calibri" w:hAnsi="Times New Roman" w:cs="Times New Roman"/>
                <w:color w:val="000000" w:themeColor="text1"/>
                <w:sz w:val="28"/>
                <w:szCs w:val="28"/>
                <w:lang w:val="ru-RU"/>
              </w:rPr>
              <w:t>………………………………….</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38</w:t>
            </w:r>
          </w:p>
        </w:tc>
      </w:tr>
      <w:tr w:rsidR="001D0C14">
        <w:trPr>
          <w:trHeight w:val="332"/>
        </w:trPr>
        <w:tc>
          <w:tcPr>
            <w:tcW w:w="9927" w:type="dxa"/>
          </w:tcPr>
          <w:p w:rsidR="001D0C14" w:rsidRDefault="00E16C6E">
            <w:pPr>
              <w:widowControl w:val="0"/>
              <w:spacing w:after="0" w:line="360" w:lineRule="auto"/>
              <w:rPr>
                <w:rFonts w:ascii="Times New Roman" w:hAnsi="Times New Roman" w:cs="Times New Roman"/>
                <w:color w:val="000000" w:themeColor="text1"/>
                <w:sz w:val="28"/>
                <w:lang w:val="uk-UA"/>
              </w:rPr>
            </w:pPr>
            <w:r>
              <w:rPr>
                <w:rFonts w:ascii="Times New Roman" w:eastAsia="Calibri" w:hAnsi="Times New Roman" w:cs="Times New Roman"/>
                <w:color w:val="000000" w:themeColor="text1"/>
                <w:sz w:val="28"/>
                <w:szCs w:val="28"/>
                <w:lang w:val="uk-UA"/>
              </w:rPr>
              <w:t xml:space="preserve">2.3. </w:t>
            </w:r>
            <w:r>
              <w:rPr>
                <w:rFonts w:ascii="Times New Roman" w:hAnsi="Times New Roman" w:cs="Times New Roman"/>
                <w:color w:val="000000" w:themeColor="text1"/>
                <w:sz w:val="28"/>
                <w:lang w:val="uk-UA"/>
              </w:rPr>
              <w:t>Розробка та планування території фестивалю…………………………………...</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41</w:t>
            </w:r>
          </w:p>
        </w:tc>
      </w:tr>
      <w:tr w:rsidR="001D0C14">
        <w:trPr>
          <w:trHeight w:val="332"/>
        </w:trPr>
        <w:tc>
          <w:tcPr>
            <w:tcW w:w="9927" w:type="dxa"/>
          </w:tcPr>
          <w:p w:rsidR="001D0C14" w:rsidRDefault="00E16C6E">
            <w:pPr>
              <w:widowControl w:val="0"/>
              <w:spacing w:after="0" w:line="360" w:lineRule="auto"/>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РОЗДІЛ 3.</w:t>
            </w:r>
            <w:r>
              <w:rPr>
                <w:rFonts w:ascii="Times New Roman" w:hAnsi="Times New Roman" w:cs="Times New Roman"/>
                <w:color w:val="000000" w:themeColor="text1"/>
                <w:sz w:val="28"/>
                <w:lang w:val="uk-UA"/>
              </w:rPr>
              <w:t xml:space="preserve"> </w:t>
            </w:r>
            <w:r>
              <w:rPr>
                <w:rFonts w:ascii="Times New Roman" w:eastAsia="Calibri" w:hAnsi="Times New Roman" w:cs="Times New Roman"/>
                <w:color w:val="000000" w:themeColor="text1"/>
                <w:sz w:val="28"/>
                <w:szCs w:val="28"/>
                <w:lang w:val="uk-UA"/>
              </w:rPr>
              <w:t>ПЛАН РЕАЛІЗАЦІЇ ЗАХОДІВ ФЕСТИВАЛЮ «ЯВОРИНА»…………………………………………………………………………...</w:t>
            </w:r>
          </w:p>
        </w:tc>
        <w:tc>
          <w:tcPr>
            <w:tcW w:w="689" w:type="dxa"/>
            <w:shd w:val="clear" w:color="auto" w:fill="auto"/>
          </w:tcPr>
          <w:p w:rsidR="001D0C14" w:rsidRDefault="001D0C14">
            <w:pPr>
              <w:widowControl w:val="0"/>
              <w:spacing w:after="0" w:line="360" w:lineRule="auto"/>
              <w:rPr>
                <w:rFonts w:ascii="Times New Roman" w:hAnsi="Times New Roman"/>
                <w:color w:val="000000" w:themeColor="text1"/>
                <w:sz w:val="28"/>
                <w:szCs w:val="28"/>
                <w:lang w:val="uk-UA"/>
              </w:rPr>
            </w:pPr>
          </w:p>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w:t>
            </w:r>
          </w:p>
        </w:tc>
      </w:tr>
      <w:tr w:rsidR="001D0C14">
        <w:trPr>
          <w:trHeight w:val="332"/>
        </w:trPr>
        <w:tc>
          <w:tcPr>
            <w:tcW w:w="9927" w:type="dxa"/>
          </w:tcPr>
          <w:p w:rsidR="001D0C14" w:rsidRDefault="00E16C6E">
            <w:pPr>
              <w:widowControl w:val="0"/>
              <w:spacing w:after="0" w:line="360" w:lineRule="auto"/>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3.1. Перспективи розвитку подієвого туризму в Україні……………………………</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w:t>
            </w:r>
          </w:p>
        </w:tc>
      </w:tr>
      <w:tr w:rsidR="001D0C14">
        <w:trPr>
          <w:trHeight w:val="332"/>
        </w:trPr>
        <w:tc>
          <w:tcPr>
            <w:tcW w:w="9927" w:type="dxa"/>
          </w:tcPr>
          <w:p w:rsidR="001D0C14" w:rsidRDefault="00E16C6E">
            <w:pPr>
              <w:widowControl w:val="0"/>
              <w:spacing w:after="0" w:line="360" w:lineRule="auto"/>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3.2. Перспективи розвитку подієвого туризму у Витвицькій ОТГ…………………..</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59</w:t>
            </w:r>
          </w:p>
        </w:tc>
      </w:tr>
      <w:tr w:rsidR="001D0C14">
        <w:trPr>
          <w:trHeight w:val="332"/>
        </w:trPr>
        <w:tc>
          <w:tcPr>
            <w:tcW w:w="9927" w:type="dxa"/>
          </w:tcPr>
          <w:p w:rsidR="001D0C14" w:rsidRDefault="00E16C6E">
            <w:pPr>
              <w:widowControl w:val="0"/>
              <w:spacing w:after="0" w:line="360" w:lineRule="auto"/>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3.3. Розробка плану реалізації заходів для фестивалю «Яворина»………………….</w:t>
            </w:r>
          </w:p>
        </w:tc>
        <w:tc>
          <w:tcPr>
            <w:tcW w:w="689" w:type="dxa"/>
            <w:shd w:val="clear" w:color="auto" w:fill="auto"/>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64</w:t>
            </w:r>
            <w:bookmarkStart w:id="2" w:name="_Hlk165904133"/>
            <w:bookmarkStart w:id="3" w:name="_Hlk148287465"/>
            <w:bookmarkEnd w:id="2"/>
            <w:bookmarkEnd w:id="3"/>
          </w:p>
        </w:tc>
      </w:tr>
      <w:tr w:rsidR="001D0C14">
        <w:tc>
          <w:tcPr>
            <w:tcW w:w="9927" w:type="dxa"/>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ВИСНОВКИ …………………………………………………………………………...</w:t>
            </w:r>
          </w:p>
        </w:tc>
        <w:tc>
          <w:tcPr>
            <w:tcW w:w="689" w:type="dxa"/>
            <w:shd w:val="clear" w:color="auto" w:fill="auto"/>
          </w:tcPr>
          <w:p w:rsidR="001D0C14" w:rsidRDefault="00E16C6E">
            <w:pPr>
              <w:widowControl w:val="0"/>
              <w:spacing w:after="0" w:line="360" w:lineRule="auto"/>
              <w:rPr>
                <w:rFonts w:ascii="Times New Roman" w:hAnsi="Times New Roman"/>
                <w:sz w:val="28"/>
                <w:szCs w:val="28"/>
                <w:lang w:val="uk-UA"/>
              </w:rPr>
            </w:pPr>
            <w:r>
              <w:rPr>
                <w:rFonts w:ascii="Times New Roman" w:hAnsi="Times New Roman"/>
                <w:sz w:val="28"/>
                <w:szCs w:val="28"/>
                <w:lang w:val="uk-UA"/>
              </w:rPr>
              <w:t>70</w:t>
            </w:r>
          </w:p>
        </w:tc>
      </w:tr>
      <w:tr w:rsidR="001D0C14">
        <w:tc>
          <w:tcPr>
            <w:tcW w:w="9927" w:type="dxa"/>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СПИСОК ВИКОРИСТАНИХ ДЖЕРЕЛ……………………………………………..</w:t>
            </w:r>
          </w:p>
        </w:tc>
        <w:tc>
          <w:tcPr>
            <w:tcW w:w="689" w:type="dxa"/>
            <w:shd w:val="clear" w:color="auto" w:fill="auto"/>
          </w:tcPr>
          <w:p w:rsidR="001D0C14" w:rsidRDefault="00E16C6E">
            <w:pPr>
              <w:widowControl w:val="0"/>
              <w:spacing w:after="0" w:line="360" w:lineRule="auto"/>
              <w:rPr>
                <w:rFonts w:ascii="Times New Roman" w:hAnsi="Times New Roman"/>
                <w:sz w:val="28"/>
                <w:szCs w:val="28"/>
                <w:lang w:val="ru-RU"/>
              </w:rPr>
            </w:pPr>
            <w:r>
              <w:rPr>
                <w:rFonts w:ascii="Times New Roman" w:hAnsi="Times New Roman"/>
                <w:sz w:val="28"/>
                <w:szCs w:val="28"/>
                <w:lang w:val="ru-RU"/>
              </w:rPr>
              <w:t>74</w:t>
            </w:r>
          </w:p>
        </w:tc>
      </w:tr>
      <w:tr w:rsidR="001D0C14">
        <w:tc>
          <w:tcPr>
            <w:tcW w:w="9927" w:type="dxa"/>
          </w:tcPr>
          <w:p w:rsidR="001D0C14" w:rsidRDefault="00E16C6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ДОДАТКИ……………………………………………………………………………...</w:t>
            </w:r>
          </w:p>
        </w:tc>
        <w:tc>
          <w:tcPr>
            <w:tcW w:w="689" w:type="dxa"/>
            <w:shd w:val="clear" w:color="auto" w:fill="auto"/>
          </w:tcPr>
          <w:p w:rsidR="001D0C14" w:rsidRDefault="00E16C6E">
            <w:pPr>
              <w:widowControl w:val="0"/>
              <w:spacing w:after="0" w:line="360" w:lineRule="auto"/>
              <w:rPr>
                <w:rFonts w:ascii="Times New Roman" w:hAnsi="Times New Roman"/>
                <w:sz w:val="28"/>
                <w:szCs w:val="28"/>
                <w:lang w:val="ru-RU"/>
              </w:rPr>
            </w:pPr>
            <w:r>
              <w:rPr>
                <w:rFonts w:ascii="Times New Roman" w:hAnsi="Times New Roman"/>
                <w:sz w:val="28"/>
                <w:szCs w:val="28"/>
                <w:lang w:val="ru-RU"/>
              </w:rPr>
              <w:t>78</w:t>
            </w:r>
          </w:p>
        </w:tc>
      </w:tr>
    </w:tbl>
    <w:p w:rsidR="001D0C14" w:rsidRDefault="00E16C6E">
      <w:pPr>
        <w:sectPr w:rsidR="001D0C14">
          <w:headerReference w:type="default" r:id="rId8"/>
          <w:pgSz w:w="11906" w:h="16838"/>
          <w:pgMar w:top="1134" w:right="567" w:bottom="1134" w:left="1134" w:header="709" w:footer="0" w:gutter="0"/>
          <w:cols w:space="720"/>
          <w:formProt w:val="0"/>
          <w:titlePg/>
          <w:docGrid w:linePitch="360"/>
        </w:sectPr>
      </w:pPr>
      <w:r>
        <w:br w:type="page"/>
      </w:r>
    </w:p>
    <w:p w:rsidR="001D0C14" w:rsidRDefault="00E16C6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1D0C14" w:rsidRDefault="00E16C6E">
      <w:pPr>
        <w:spacing w:after="0" w:line="360" w:lineRule="auto"/>
        <w:ind w:firstLine="709"/>
        <w:rPr>
          <w:rFonts w:ascii="Times New Roman" w:hAnsi="Times New Roman" w:cs="Times New Roman"/>
          <w:bCs/>
          <w:sz w:val="28"/>
          <w:szCs w:val="28"/>
          <w:lang w:val="uk-UA"/>
        </w:rPr>
      </w:pPr>
      <w:r>
        <w:rPr>
          <w:rFonts w:ascii="Times New Roman" w:hAnsi="Times New Roman" w:cs="Times New Roman"/>
          <w:b/>
          <w:sz w:val="28"/>
          <w:szCs w:val="28"/>
          <w:lang w:val="uk-UA"/>
        </w:rPr>
        <w:t>Актуальність дослідження.</w:t>
      </w:r>
      <w:r>
        <w:rPr>
          <w:rFonts w:ascii="Times New Roman" w:hAnsi="Times New Roman" w:cs="Times New Roman"/>
          <w:bCs/>
          <w:sz w:val="28"/>
          <w:szCs w:val="28"/>
          <w:lang w:val="uk-UA"/>
        </w:rPr>
        <w:t xml:space="preserve"> Галузь туризму та рекреації відома своєю динамічністю та сталим розвитком, займаючи важливе місце у світовій економіці. На сучасному етапі спостерігається зростання інтересу до подієвого туризму, що представляє собою окремий сегмент туристичної діяльності. Цей напрямок постійно збільшує свою частку у секторі туристичних послуг, що зумовлене появою та розвитком його на міжнародному ринку.</w:t>
      </w:r>
    </w:p>
    <w:p w:rsidR="001D0C14" w:rsidRDefault="00E16C6E">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За останні роки відзначається стійке зростання кількості туристів, що обирають подієві тури, що вимагає модернізації інфраструктури та дослідження попиту на цей вид туризму та факторів, що на нього впливають. Необхідність підготовки кваліфікованих спеціалістів для взаємодії з туристами під час проведення подій та залучення фінансових ресурсів для просування, організації та розвитку подієвих турів також стає актуальною. Реалізація подієвого туризму на території України може сприяти підвищенню економічного рівня країни, розвитку внутрішнього туризму та зростанню потоку туристів. Актуальність дослідження полягає в обґрунтуванні та аналізі розвитку туризму в Витвицькій об’єднаній територіальній громаді, що відзначається різноманітністю туристичних ресурсів та активними заходами з їх використання. Дослідження цього питання має важливе значення для визначення потенціалу туристичного розвитку регіону, виявлення його конкурентних переваг, а також встановлення стратегічних напрямків для подальшого просування туристичного продукту та залучення нових туристичних потоків.</w:t>
      </w:r>
    </w:p>
    <w:p w:rsidR="001D0C14" w:rsidRDefault="00E16C6E">
      <w:pPr>
        <w:spacing w:after="0" w:line="360" w:lineRule="auto"/>
        <w:ind w:firstLine="709"/>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Метою бакалаврської роботи є </w:t>
      </w:r>
      <w:r>
        <w:rPr>
          <w:rFonts w:ascii="Times New Roman" w:hAnsi="Times New Roman" w:cs="Times New Roman"/>
          <w:bCs/>
          <w:sz w:val="28"/>
          <w:szCs w:val="28"/>
          <w:lang w:val="uk-UA"/>
        </w:rPr>
        <w:t>дослідження подієвого туризму як засобу збільшення туристичних потоків у Витвицькій ОТГ на розроблення проекту планувальної організації проведення фестивалю «Яворина».</w:t>
      </w:r>
    </w:p>
    <w:p w:rsidR="001D0C14" w:rsidRDefault="00E16C6E">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Поставлена мета передбачає вирішення наступних </w:t>
      </w:r>
      <w:r>
        <w:rPr>
          <w:rFonts w:ascii="Times New Roman" w:hAnsi="Times New Roman" w:cs="Times New Roman"/>
          <w:b/>
          <w:sz w:val="28"/>
          <w:szCs w:val="28"/>
          <w:lang w:val="uk-UA"/>
        </w:rPr>
        <w:t>завдань</w:t>
      </w:r>
      <w:r>
        <w:rPr>
          <w:rFonts w:ascii="Times New Roman" w:hAnsi="Times New Roman" w:cs="Times New Roman"/>
          <w:bCs/>
          <w:sz w:val="28"/>
          <w:szCs w:val="28"/>
          <w:lang w:val="uk-UA"/>
        </w:rPr>
        <w:t>:</w:t>
      </w:r>
    </w:p>
    <w:p w:rsidR="001D0C14" w:rsidRDefault="00E16C6E">
      <w:pPr>
        <w:numPr>
          <w:ilvl w:val="0"/>
          <w:numId w:val="3"/>
        </w:numPr>
        <w:spacing w:after="0" w:line="360" w:lineRule="auto"/>
        <w:ind w:left="0" w:firstLine="720"/>
        <w:rPr>
          <w:rFonts w:ascii="Times New Roman" w:hAnsi="Times New Roman" w:cs="Times New Roman"/>
          <w:bCs/>
          <w:sz w:val="28"/>
          <w:szCs w:val="28"/>
          <w:lang w:val="uk-UA"/>
        </w:rPr>
      </w:pPr>
      <w:r>
        <w:rPr>
          <w:rFonts w:ascii="Times New Roman" w:hAnsi="Times New Roman" w:cs="Times New Roman"/>
          <w:bCs/>
          <w:sz w:val="28"/>
          <w:szCs w:val="28"/>
          <w:lang w:val="uk-UA"/>
        </w:rPr>
        <w:t>визначити сутність та особливості подієвого туризму.</w:t>
      </w:r>
    </w:p>
    <w:p w:rsidR="001D0C14" w:rsidRDefault="00E16C6E">
      <w:pPr>
        <w:numPr>
          <w:ilvl w:val="0"/>
          <w:numId w:val="3"/>
        </w:numPr>
        <w:spacing w:after="0" w:line="360" w:lineRule="auto"/>
        <w:ind w:left="0" w:firstLine="720"/>
        <w:rPr>
          <w:rFonts w:ascii="Times New Roman" w:hAnsi="Times New Roman" w:cs="Times New Roman"/>
          <w:bCs/>
          <w:sz w:val="28"/>
          <w:szCs w:val="28"/>
          <w:lang w:val="uk-UA"/>
        </w:rPr>
      </w:pPr>
      <w:r>
        <w:rPr>
          <w:rFonts w:ascii="Times New Roman" w:hAnsi="Times New Roman" w:cs="Times New Roman"/>
          <w:bCs/>
          <w:sz w:val="28"/>
          <w:szCs w:val="28"/>
          <w:lang w:val="uk-UA"/>
        </w:rPr>
        <w:t>дослідити зарубіжний досвід організації подієвого туризму.</w:t>
      </w:r>
    </w:p>
    <w:p w:rsidR="001D0C14" w:rsidRDefault="00E16C6E">
      <w:pPr>
        <w:numPr>
          <w:ilvl w:val="0"/>
          <w:numId w:val="3"/>
        </w:numPr>
        <w:spacing w:after="0" w:line="360" w:lineRule="auto"/>
        <w:ind w:left="0" w:firstLine="720"/>
        <w:rPr>
          <w:rFonts w:ascii="Times New Roman" w:hAnsi="Times New Roman" w:cs="Times New Roman"/>
          <w:bCs/>
          <w:sz w:val="28"/>
          <w:szCs w:val="28"/>
          <w:lang w:val="uk-UA"/>
        </w:rPr>
      </w:pPr>
      <w:r>
        <w:rPr>
          <w:rFonts w:ascii="Times New Roman" w:hAnsi="Times New Roman" w:cs="Times New Roman"/>
          <w:bCs/>
          <w:sz w:val="28"/>
          <w:szCs w:val="28"/>
          <w:lang w:val="uk-UA"/>
        </w:rPr>
        <w:t>проаналізувати роль фестивалів як драйверів розвитку туризму в Україні.</w:t>
      </w:r>
    </w:p>
    <w:p w:rsidR="001D0C14" w:rsidRDefault="00E16C6E">
      <w:pPr>
        <w:numPr>
          <w:ilvl w:val="0"/>
          <w:numId w:val="3"/>
        </w:numPr>
        <w:spacing w:after="0" w:line="360" w:lineRule="auto"/>
        <w:ind w:left="0" w:firstLine="720"/>
        <w:rPr>
          <w:rFonts w:ascii="Times New Roman" w:hAnsi="Times New Roman" w:cs="Times New Roman"/>
          <w:bCs/>
          <w:sz w:val="28"/>
          <w:szCs w:val="28"/>
          <w:lang w:val="uk-UA"/>
        </w:rPr>
      </w:pPr>
      <w:r>
        <w:rPr>
          <w:rFonts w:ascii="Times New Roman" w:hAnsi="Times New Roman" w:cs="Times New Roman"/>
          <w:bCs/>
          <w:sz w:val="28"/>
          <w:szCs w:val="28"/>
          <w:lang w:val="uk-UA"/>
        </w:rPr>
        <w:t>провести загальну характеристику передумов розвитку туризму у Витвицькій ОТГ.</w:t>
      </w:r>
    </w:p>
    <w:p w:rsidR="001D0C14" w:rsidRDefault="00E16C6E">
      <w:pPr>
        <w:numPr>
          <w:ilvl w:val="0"/>
          <w:numId w:val="3"/>
        </w:numPr>
        <w:spacing w:after="0" w:line="360" w:lineRule="auto"/>
        <w:ind w:left="0" w:firstLine="720"/>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розробити проект планувальної організації території проведення фестивалю «Яворина».</w:t>
      </w:r>
    </w:p>
    <w:p w:rsidR="001D0C14" w:rsidRDefault="00E16C6E">
      <w:pPr>
        <w:numPr>
          <w:ilvl w:val="0"/>
          <w:numId w:val="3"/>
        </w:numPr>
        <w:spacing w:after="0" w:line="360" w:lineRule="auto"/>
        <w:ind w:left="0" w:firstLine="720"/>
        <w:rPr>
          <w:rFonts w:ascii="Times New Roman" w:hAnsi="Times New Roman" w:cs="Times New Roman"/>
          <w:bCs/>
          <w:sz w:val="28"/>
          <w:szCs w:val="28"/>
          <w:lang w:val="uk-UA"/>
        </w:rPr>
      </w:pPr>
      <w:r>
        <w:rPr>
          <w:rFonts w:ascii="Times New Roman" w:hAnsi="Times New Roman" w:cs="Times New Roman"/>
          <w:bCs/>
          <w:sz w:val="28"/>
          <w:szCs w:val="28"/>
          <w:lang w:val="uk-UA"/>
        </w:rPr>
        <w:t>розробити орієнтовний кошторис реалізації заходів для фестивалю «Яворина».</w:t>
      </w:r>
    </w:p>
    <w:p w:rsidR="001D0C14" w:rsidRDefault="00E16C6E">
      <w:pPr>
        <w:spacing w:after="0" w:line="360" w:lineRule="auto"/>
        <w:ind w:firstLine="709"/>
        <w:rPr>
          <w:rFonts w:ascii="Times New Roman" w:hAnsi="Times New Roman" w:cs="Times New Roman"/>
          <w:bCs/>
          <w:sz w:val="28"/>
          <w:szCs w:val="28"/>
          <w:lang w:val="uk-UA"/>
        </w:rPr>
      </w:pPr>
      <w:r>
        <w:rPr>
          <w:rFonts w:ascii="Times New Roman" w:hAnsi="Times New Roman" w:cs="Times New Roman"/>
          <w:b/>
          <w:sz w:val="28"/>
          <w:szCs w:val="28"/>
          <w:lang w:val="uk-UA"/>
        </w:rPr>
        <w:t>Об’єктами дослідження</w:t>
      </w:r>
      <w:r>
        <w:rPr>
          <w:rFonts w:ascii="Times New Roman" w:hAnsi="Times New Roman" w:cs="Times New Roman"/>
          <w:bCs/>
          <w:sz w:val="28"/>
          <w:szCs w:val="28"/>
          <w:lang w:val="uk-UA"/>
        </w:rPr>
        <w:t xml:space="preserve"> є фестиваль «Яворина» у Витвицькій ОТГ в контексті розвитку подієвого туризму у громаді.</w:t>
      </w:r>
    </w:p>
    <w:p w:rsidR="001D0C14" w:rsidRDefault="00E16C6E">
      <w:pPr>
        <w:spacing w:after="0" w:line="360" w:lineRule="auto"/>
        <w:ind w:firstLine="709"/>
        <w:rPr>
          <w:rFonts w:ascii="Times New Roman" w:hAnsi="Times New Roman" w:cs="Times New Roman"/>
          <w:bCs/>
          <w:sz w:val="28"/>
          <w:szCs w:val="28"/>
          <w:lang w:val="uk-UA"/>
        </w:rPr>
      </w:pPr>
      <w:r>
        <w:rPr>
          <w:rFonts w:ascii="Times New Roman" w:hAnsi="Times New Roman" w:cs="Times New Roman"/>
          <w:b/>
          <w:sz w:val="28"/>
          <w:szCs w:val="28"/>
          <w:lang w:val="uk-UA"/>
        </w:rPr>
        <w:t xml:space="preserve">Предмет дослідження </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 xml:space="preserve">особливості інфраструктурного та планувально-організаційного забезпечення проведення фестивалю «Яворина» у Витвицькій громаді. </w:t>
      </w:r>
    </w:p>
    <w:p w:rsidR="001D0C14" w:rsidRDefault="00E16C6E">
      <w:pPr>
        <w:spacing w:after="0" w:line="360" w:lineRule="auto"/>
        <w:ind w:firstLine="709"/>
        <w:rPr>
          <w:rFonts w:ascii="Times New Roman" w:hAnsi="Times New Roman" w:cs="Times New Roman"/>
          <w:bCs/>
          <w:sz w:val="28"/>
          <w:szCs w:val="28"/>
          <w:lang w:val="uk-UA"/>
        </w:rPr>
      </w:pPr>
      <w:r>
        <w:rPr>
          <w:rFonts w:ascii="Times New Roman" w:hAnsi="Times New Roman" w:cs="Times New Roman"/>
          <w:b/>
          <w:color w:val="000000" w:themeColor="text1"/>
          <w:sz w:val="28"/>
          <w:szCs w:val="40"/>
          <w:lang w:val="uk-UA"/>
        </w:rPr>
        <w:t xml:space="preserve">Методи наукового аналізу: </w:t>
      </w:r>
      <w:r>
        <w:rPr>
          <w:rFonts w:ascii="Times New Roman" w:hAnsi="Times New Roman" w:cs="Times New Roman"/>
          <w:color w:val="000000" w:themeColor="text1"/>
          <w:sz w:val="28"/>
          <w:szCs w:val="40"/>
          <w:lang w:val="uk-UA"/>
        </w:rPr>
        <w:t xml:space="preserve">У даній роботі буде застосовано емпіричні (експеримент, спостереження, опис) та теоретичні (аналіз, синтез, абстрагування, узагальнення, індукція, дедукція, пояснення, класифікація тощо) методи наукового аналізу. </w:t>
      </w:r>
      <w:r>
        <w:rPr>
          <w:rFonts w:ascii="Times New Roman" w:hAnsi="Times New Roman" w:cs="Times New Roman"/>
          <w:color w:val="000000" w:themeColor="text1"/>
          <w:sz w:val="28"/>
          <w:szCs w:val="40"/>
          <w:lang w:val="ru-RU"/>
        </w:rPr>
        <w:t>Весь обсяг роботи буде присвячений дослідженню еволюції туризму у трьох різних часових рамках, а результатом будуть прогнози та сценарії розвитку даної галузі</w:t>
      </w:r>
      <w:r>
        <w:rPr>
          <w:color w:val="000000" w:themeColor="text1"/>
          <w:szCs w:val="28"/>
          <w:lang w:val="ru-RU"/>
        </w:rPr>
        <w:t>.</w:t>
      </w:r>
    </w:p>
    <w:p w:rsidR="001D0C14" w:rsidRDefault="00E16C6E">
      <w:pPr>
        <w:spacing w:after="0" w:line="360" w:lineRule="auto"/>
        <w:ind w:firstLine="709"/>
        <w:rPr>
          <w:rFonts w:ascii="Times New Roman" w:hAnsi="Times New Roman" w:cs="Times New Roman"/>
          <w:bCs/>
          <w:sz w:val="40"/>
          <w:szCs w:val="40"/>
          <w:lang w:val="ru-RU"/>
        </w:rPr>
      </w:pPr>
      <w:r>
        <w:rPr>
          <w:rFonts w:ascii="Times New Roman" w:hAnsi="Times New Roman" w:cs="Times New Roman"/>
          <w:b/>
          <w:sz w:val="28"/>
          <w:szCs w:val="28"/>
          <w:lang w:val="uk-UA"/>
        </w:rPr>
        <w:t>Структура бакалаврської роботи</w:t>
      </w:r>
      <w:r>
        <w:rPr>
          <w:rFonts w:ascii="Times New Roman" w:hAnsi="Times New Roman" w:cs="Times New Roman"/>
          <w:bCs/>
          <w:sz w:val="28"/>
          <w:szCs w:val="28"/>
          <w:lang w:val="uk-UA"/>
        </w:rPr>
        <w:t xml:space="preserve">: </w:t>
      </w:r>
      <w:r>
        <w:rPr>
          <w:rFonts w:ascii="Times New Roman" w:eastAsia="Times New Roman" w:hAnsi="Times New Roman" w:cs="Times New Roman"/>
          <w:sz w:val="28"/>
          <w:szCs w:val="40"/>
          <w:lang w:val="ru-RU"/>
        </w:rPr>
        <w:t>основна частина складається зі вступу, трьох розділів, відповідно до поставлених завдань, висновків та списку використаних джерел, містить 82 сторінки тексту, в тому числі 11 рисунків, 10 таблиць та один додаток.</w:t>
      </w:r>
    </w:p>
    <w:p w:rsidR="001D0C14" w:rsidRDefault="00E16C6E">
      <w:pPr>
        <w:spacing w:after="160" w:line="259" w:lineRule="auto"/>
        <w:jc w:val="left"/>
        <w:rPr>
          <w:rFonts w:ascii="Times New Roman" w:hAnsi="Times New Roman" w:cs="Times New Roman"/>
          <w:b/>
          <w:sz w:val="28"/>
          <w:szCs w:val="28"/>
          <w:lang w:val="uk-UA"/>
        </w:rPr>
      </w:pPr>
      <w:r w:rsidRPr="005B551B">
        <w:rPr>
          <w:lang w:val="uk-UA"/>
        </w:rPr>
        <w:br w:type="page"/>
      </w:r>
    </w:p>
    <w:p w:rsidR="001D0C14" w:rsidRDefault="00E16C6E">
      <w:pPr>
        <w:spacing w:after="0" w:line="360" w:lineRule="auto"/>
        <w:ind w:firstLine="709"/>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 xml:space="preserve">РОЗДІЛ 1. ТЕОРЕТИЧНІ АСПЕКТИ ТА МЕТОДОЛОГІЯ ПОДІЄВОГО ТУРИЗМУ В УКРАЇНІ </w:t>
      </w:r>
    </w:p>
    <w:p w:rsidR="001D0C14" w:rsidRDefault="00E16C6E">
      <w:pPr>
        <w:spacing w:after="0" w:line="360" w:lineRule="auto"/>
        <w:ind w:firstLine="709"/>
        <w:rPr>
          <w:rFonts w:ascii="Times New Roman" w:hAnsi="Times New Roman" w:cs="Times New Roman"/>
          <w:b/>
          <w:color w:val="000000" w:themeColor="text1"/>
          <w:sz w:val="28"/>
          <w:lang w:val="uk-UA"/>
        </w:rPr>
      </w:pPr>
      <w:r>
        <w:rPr>
          <w:rFonts w:ascii="Times New Roman" w:hAnsi="Times New Roman" w:cs="Times New Roman"/>
          <w:b/>
          <w:color w:val="000000" w:themeColor="text1"/>
          <w:sz w:val="28"/>
          <w:szCs w:val="28"/>
          <w:lang w:val="uk-UA"/>
        </w:rPr>
        <w:t xml:space="preserve">1.1. Сутність та особливості подієвого туризму </w:t>
      </w:r>
    </w:p>
    <w:p w:rsidR="001D0C14" w:rsidRDefault="00E16C6E">
      <w:pPr>
        <w:pStyle w:val="af4"/>
        <w:spacing w:line="360" w:lineRule="auto"/>
        <w:ind w:left="0" w:firstLine="709"/>
        <w:rPr>
          <w:color w:val="000000" w:themeColor="text1"/>
        </w:rPr>
      </w:pPr>
      <w:r>
        <w:rPr>
          <w:color w:val="000000" w:themeColor="text1"/>
        </w:rPr>
        <w:t>На сучасному етапі розвитку країни спостерігається перехід від залежності від ресурсоємних виробництв до пошуку альтернативних форм економічної діяльності, які забезпечували б матеріальний достаток та підвищували рівень життя населення, при цьому не виснажуючи природні ресурси. Однією з таких форм є туризм, який сприяє духовному, культурному та соціальному розвитку особистості та є формою активного відпочинку, що поєднує відновлення людських сил з оздоровчими, пізнавальними, спортивними, культурними та розважальними метою.</w:t>
      </w:r>
    </w:p>
    <w:p w:rsidR="001D0C14" w:rsidRDefault="00E16C6E">
      <w:pPr>
        <w:pStyle w:val="af4"/>
        <w:spacing w:line="360" w:lineRule="auto"/>
        <w:ind w:left="0" w:firstLine="709"/>
        <w:rPr>
          <w:color w:val="000000" w:themeColor="text1"/>
        </w:rPr>
      </w:pPr>
      <w:r>
        <w:rPr>
          <w:color w:val="000000" w:themeColor="text1"/>
        </w:rPr>
        <w:t>Туристична галузь все частіше розглядається як специфічний, екологічно стабільний та привабливий сектор економіки, який є важливою складовою державної та регіональної політики. Від її розвитку залежить соціальний та економічний прогрес країни, а також її імідж на міжнародному рівні.</w:t>
      </w:r>
    </w:p>
    <w:p w:rsidR="001D0C14" w:rsidRDefault="00E16C6E">
      <w:pPr>
        <w:pStyle w:val="af4"/>
        <w:spacing w:line="360" w:lineRule="auto"/>
        <w:ind w:left="0" w:firstLine="709"/>
        <w:rPr>
          <w:color w:val="000000" w:themeColor="text1"/>
        </w:rPr>
      </w:pPr>
      <w:r>
        <w:rPr>
          <w:color w:val="000000" w:themeColor="text1"/>
          <w:lang w:val="ru-RU"/>
        </w:rPr>
        <w:t xml:space="preserve">Розвиток туризму відчутно впливає на соціально-економічний стан країни та її регіонів. Це стає можливим завдяки потребі у будівництві, реконструкції та ремонті інфраструктури, зокрема автомобільних доріг, аеропортів, залізниць, а також облаштуванні державного кордону і митних переходів. Крім того, збільшується попит на сувенірну продукцію з національною символікою та на якісне обслуговування туристів у готельних та розважальних комплексах </w:t>
      </w:r>
      <w:r>
        <w:rPr>
          <w:color w:val="000000" w:themeColor="text1"/>
        </w:rPr>
        <w:t>[1]</w:t>
      </w:r>
      <w:r>
        <w:rPr>
          <w:color w:val="000000" w:themeColor="text1"/>
          <w:lang w:val="ru-RU"/>
        </w:rPr>
        <w:t xml:space="preserve">. </w:t>
      </w:r>
    </w:p>
    <w:p w:rsidR="001D0C14" w:rsidRDefault="00E16C6E">
      <w:pPr>
        <w:pStyle w:val="af4"/>
        <w:spacing w:line="360" w:lineRule="auto"/>
        <w:ind w:left="0" w:firstLine="709"/>
        <w:rPr>
          <w:color w:val="000000" w:themeColor="text1"/>
          <w:sz w:val="20"/>
          <w:szCs w:val="20"/>
        </w:rPr>
      </w:pPr>
      <w:r>
        <w:rPr>
          <w:color w:val="000000" w:themeColor="text1"/>
          <w:lang w:val="ru-RU"/>
        </w:rPr>
        <w:t xml:space="preserve">Відповідно до Державної програми розвитку туризму до 2026 року, особлива увага приділяється пошуку ефективних способів активізації туристично-рекреаційного потенціалу. Це пов’язано з перспективами отримання значних економічних вигод та соціальних ефектів від розвитку цього сектора, який може стати важливим інструментом економічного відродження, культурного та духовного розвитку суспільства, а також відновлення трудового потенціалу країни </w:t>
      </w:r>
      <w:r>
        <w:rPr>
          <w:color w:val="000000" w:themeColor="text1"/>
        </w:rPr>
        <w:t>[25]</w:t>
      </w:r>
      <w:r>
        <w:rPr>
          <w:color w:val="000000" w:themeColor="text1"/>
          <w:lang w:val="ru-RU"/>
        </w:rPr>
        <w:t>.</w:t>
      </w:r>
      <w:r>
        <w:rPr>
          <w:color w:val="000000" w:themeColor="text1"/>
        </w:rPr>
        <w:t xml:space="preserve"> </w:t>
      </w:r>
    </w:p>
    <w:p w:rsidR="001D0C14" w:rsidRDefault="00E16C6E">
      <w:pPr>
        <w:pStyle w:val="af4"/>
        <w:spacing w:line="360" w:lineRule="auto"/>
        <w:ind w:left="0" w:firstLine="709"/>
        <w:rPr>
          <w:color w:val="000000" w:themeColor="text1"/>
        </w:rPr>
      </w:pPr>
      <w:r>
        <w:rPr>
          <w:color w:val="000000" w:themeColor="text1"/>
        </w:rPr>
        <w:t xml:space="preserve">Протягом періоду економічних трансформацій значно зросла роль індустрії дозвілля в економічному виробництві та національній економіці. Управління її розвитком поступово переноситься на регіональний рівень, що супроводжується децентралізацією та розширенням прав місцевих органів у сфері розвитку ринків </w:t>
      </w:r>
      <w:r>
        <w:rPr>
          <w:color w:val="000000" w:themeColor="text1"/>
        </w:rPr>
        <w:lastRenderedPageBreak/>
        <w:t>послуг. Це збільшує відповідальність регіонів за діяльність у сфері туризму, яка розглядається як перспективний елемент регіональної економіки з фінансової та екологічної точки зору.</w:t>
      </w:r>
    </w:p>
    <w:p w:rsidR="001D0C14" w:rsidRDefault="00E16C6E">
      <w:pPr>
        <w:pStyle w:val="af4"/>
        <w:spacing w:line="360" w:lineRule="auto"/>
        <w:ind w:left="0" w:firstLine="709"/>
        <w:rPr>
          <w:color w:val="000000" w:themeColor="text1"/>
        </w:rPr>
      </w:pPr>
      <w:r>
        <w:rPr>
          <w:color w:val="000000" w:themeColor="text1"/>
        </w:rPr>
        <w:t>Розвиток туризму в регіонах сприяє популяризації територій, підвищенню їх інвестиційної привабливості, формуванню позитивного іміджу, збільшенню надходжень до бюджету, задоволенню потреб споживачів туристичних послуг, створенню нових робочих місць, зниженню рівня безробіття і, відповідно, зменшенню витрат на соціальне забезпечення. У сукупності це підвищує рівень добробуту та якість життя як регіонів, так і країни в цілому.</w:t>
      </w:r>
    </w:p>
    <w:p w:rsidR="001D0C14" w:rsidRDefault="00E16C6E">
      <w:pPr>
        <w:pStyle w:val="af4"/>
        <w:spacing w:line="360" w:lineRule="auto"/>
        <w:ind w:left="0" w:firstLine="709"/>
        <w:rPr>
          <w:color w:val="000000" w:themeColor="text1"/>
        </w:rPr>
      </w:pPr>
      <w:r>
        <w:rPr>
          <w:color w:val="000000" w:themeColor="text1"/>
        </w:rPr>
        <w:t xml:space="preserve">Останнім часом особливої популярності набуває подієвий туризм. Цей вид туризму приваблює мандрівників до участі в певних подіях, святкуваннях або видовищах, таких як музичні конкурси, національні фестивалі, карнавали, театралізовані дійства, змагання, чемпіонати, політичні акції та унікальні природні явища. Історія подієвого туризму починається ще з Давньої Греції, де олімпійські змагання збирали десятки тисяч учасників та глядачів з усього Середземномор’я </w:t>
      </w:r>
      <w:r>
        <w:rPr>
          <w:color w:val="000000" w:themeColor="text1"/>
          <w:spacing w:val="-4"/>
        </w:rPr>
        <w:t>[2]</w:t>
      </w:r>
      <w:r>
        <w:rPr>
          <w:color w:val="000000" w:themeColor="text1"/>
        </w:rPr>
        <w:t>.</w:t>
      </w:r>
    </w:p>
    <w:p w:rsidR="001D0C14" w:rsidRDefault="00E16C6E">
      <w:pPr>
        <w:pStyle w:val="af4"/>
        <w:spacing w:line="360" w:lineRule="auto"/>
        <w:ind w:left="0" w:firstLine="709"/>
        <w:rPr>
          <w:color w:val="000000" w:themeColor="text1"/>
        </w:rPr>
      </w:pPr>
      <w:r>
        <w:rPr>
          <w:color w:val="000000" w:themeColor="text1"/>
        </w:rPr>
        <w:t>Соціальні та економічні вигоди від організації різноманітних заходів сприяли розширенню спектру подій у багатьох країнах протягом історичних періодів розвитку суспільства. На сучасному етапі, коли соціально-економічні процеси переміщуються з галузевого на територіальний рівень, дослідження подієвого туризму як одного з ефективних напрямків регіонального розвитку є надзвичайно актуальним.</w:t>
      </w:r>
    </w:p>
    <w:p w:rsidR="001D0C14" w:rsidRDefault="00E16C6E">
      <w:pPr>
        <w:pStyle w:val="af4"/>
        <w:spacing w:line="360" w:lineRule="auto"/>
        <w:ind w:left="0" w:firstLine="709"/>
        <w:rPr>
          <w:color w:val="000000" w:themeColor="text1"/>
        </w:rPr>
      </w:pPr>
      <w:r>
        <w:rPr>
          <w:color w:val="000000" w:themeColor="text1"/>
        </w:rPr>
        <w:t>Аналіз цього явища потребує посилення теоретичних досліджень, що дозволить розробити концептуальні основи розвитку подієвого туризму як перспективного напряму регіонального розвитку. У таблиці 1.1 представлено різні визначення, пов’язані з подієвим туризмом, що допоможуть глибше зрозуміти його сутність та значення.</w:t>
      </w:r>
    </w:p>
    <w:p w:rsidR="001D0C14" w:rsidRDefault="00E16C6E">
      <w:pPr>
        <w:pStyle w:val="af4"/>
        <w:spacing w:line="360" w:lineRule="auto"/>
        <w:ind w:left="0" w:firstLine="709"/>
        <w:rPr>
          <w:b/>
          <w:color w:val="000000" w:themeColor="text1"/>
        </w:rPr>
      </w:pPr>
      <w:r>
        <w:rPr>
          <w:color w:val="000000" w:themeColor="text1"/>
        </w:rPr>
        <w:t>Таблиця</w:t>
      </w:r>
      <w:r>
        <w:rPr>
          <w:color w:val="000000" w:themeColor="text1"/>
          <w:spacing w:val="-5"/>
        </w:rPr>
        <w:t xml:space="preserve"> 1.1 - </w:t>
      </w:r>
      <w:r>
        <w:rPr>
          <w:b/>
          <w:bCs/>
          <w:color w:val="000000" w:themeColor="text1"/>
        </w:rPr>
        <w:t>Підходи</w:t>
      </w:r>
      <w:r>
        <w:rPr>
          <w:b/>
          <w:bCs/>
          <w:color w:val="000000" w:themeColor="text1"/>
          <w:spacing w:val="-10"/>
        </w:rPr>
        <w:t xml:space="preserve"> </w:t>
      </w:r>
      <w:r>
        <w:rPr>
          <w:b/>
          <w:bCs/>
          <w:color w:val="000000" w:themeColor="text1"/>
        </w:rPr>
        <w:t>до</w:t>
      </w:r>
      <w:r>
        <w:rPr>
          <w:b/>
          <w:bCs/>
          <w:color w:val="000000" w:themeColor="text1"/>
          <w:spacing w:val="-5"/>
        </w:rPr>
        <w:t xml:space="preserve"> </w:t>
      </w:r>
      <w:r>
        <w:rPr>
          <w:b/>
          <w:bCs/>
          <w:color w:val="000000" w:themeColor="text1"/>
        </w:rPr>
        <w:t>визначення</w:t>
      </w:r>
      <w:r>
        <w:rPr>
          <w:b/>
          <w:bCs/>
          <w:color w:val="000000" w:themeColor="text1"/>
          <w:spacing w:val="-6"/>
        </w:rPr>
        <w:t xml:space="preserve"> </w:t>
      </w:r>
      <w:r>
        <w:rPr>
          <w:b/>
          <w:bCs/>
          <w:color w:val="000000" w:themeColor="text1"/>
        </w:rPr>
        <w:t>«подієвий</w:t>
      </w:r>
      <w:r>
        <w:rPr>
          <w:b/>
          <w:bCs/>
          <w:color w:val="000000" w:themeColor="text1"/>
          <w:spacing w:val="-6"/>
        </w:rPr>
        <w:t xml:space="preserve"> </w:t>
      </w:r>
      <w:r>
        <w:rPr>
          <w:b/>
          <w:bCs/>
          <w:color w:val="000000" w:themeColor="text1"/>
          <w:spacing w:val="-2"/>
        </w:rPr>
        <w:t xml:space="preserve">туризм» </w:t>
      </w:r>
      <w:r>
        <w:rPr>
          <w:b/>
          <w:color w:val="000000" w:themeColor="text1"/>
        </w:rPr>
        <w:t xml:space="preserve">(складено автором за </w:t>
      </w:r>
      <w:r>
        <w:rPr>
          <w:b/>
          <w:color w:val="000000" w:themeColor="text1"/>
          <w:spacing w:val="-4"/>
        </w:rPr>
        <w:t>[</w:t>
      </w:r>
      <w:r>
        <w:rPr>
          <w:b/>
          <w:color w:val="000000" w:themeColor="text1"/>
        </w:rPr>
        <w:t>18,32])</w:t>
      </w:r>
    </w:p>
    <w:tbl>
      <w:tblPr>
        <w:tblStyle w:val="TableNormal"/>
        <w:tblW w:w="9346" w:type="dxa"/>
        <w:tblInd w:w="232" w:type="dxa"/>
        <w:tblLayout w:type="fixed"/>
        <w:tblCellMar>
          <w:left w:w="5" w:type="dxa"/>
          <w:right w:w="5" w:type="dxa"/>
        </w:tblCellMar>
        <w:tblLook w:val="01E0" w:firstRow="1" w:lastRow="1" w:firstColumn="1" w:lastColumn="1" w:noHBand="0" w:noVBand="0"/>
      </w:tblPr>
      <w:tblGrid>
        <w:gridCol w:w="2403"/>
        <w:gridCol w:w="6943"/>
      </w:tblGrid>
      <w:tr w:rsidR="001D0C14">
        <w:trPr>
          <w:trHeight w:val="276"/>
        </w:trPr>
        <w:tc>
          <w:tcPr>
            <w:tcW w:w="2403" w:type="dxa"/>
            <w:tcBorders>
              <w:top w:val="single" w:sz="4" w:space="0" w:color="000000"/>
              <w:left w:val="single" w:sz="4" w:space="0" w:color="000000"/>
              <w:bottom w:val="single" w:sz="4" w:space="0" w:color="000000"/>
              <w:right w:val="single" w:sz="4" w:space="0" w:color="000000"/>
            </w:tcBorders>
          </w:tcPr>
          <w:p w:rsidR="001D0C14" w:rsidRDefault="00E16C6E">
            <w:pPr>
              <w:pStyle w:val="TableParagraph"/>
              <w:spacing w:line="256" w:lineRule="exact"/>
              <w:ind w:left="6"/>
              <w:jc w:val="center"/>
              <w:rPr>
                <w:color w:val="000000" w:themeColor="text1"/>
                <w:sz w:val="24"/>
              </w:rPr>
            </w:pPr>
            <w:r>
              <w:rPr>
                <w:color w:val="000000" w:themeColor="text1"/>
                <w:spacing w:val="-4"/>
                <w:sz w:val="24"/>
              </w:rPr>
              <w:t>Автор</w:t>
            </w:r>
          </w:p>
        </w:tc>
        <w:tc>
          <w:tcPr>
            <w:tcW w:w="6942" w:type="dxa"/>
            <w:tcBorders>
              <w:top w:val="single" w:sz="4" w:space="0" w:color="000000"/>
              <w:left w:val="single" w:sz="4" w:space="0" w:color="000000"/>
              <w:bottom w:val="single" w:sz="4" w:space="0" w:color="000000"/>
              <w:right w:val="single" w:sz="4" w:space="0" w:color="000000"/>
            </w:tcBorders>
          </w:tcPr>
          <w:p w:rsidR="001D0C14" w:rsidRDefault="00E16C6E">
            <w:pPr>
              <w:pStyle w:val="TableParagraph"/>
              <w:spacing w:line="256" w:lineRule="exact"/>
              <w:ind w:left="10"/>
              <w:jc w:val="center"/>
              <w:rPr>
                <w:color w:val="000000" w:themeColor="text1"/>
                <w:sz w:val="24"/>
              </w:rPr>
            </w:pPr>
            <w:r>
              <w:rPr>
                <w:color w:val="000000" w:themeColor="text1"/>
                <w:sz w:val="24"/>
              </w:rPr>
              <w:t>Визначення</w:t>
            </w:r>
            <w:r>
              <w:rPr>
                <w:color w:val="000000" w:themeColor="text1"/>
                <w:spacing w:val="-6"/>
                <w:sz w:val="24"/>
              </w:rPr>
              <w:t xml:space="preserve"> </w:t>
            </w:r>
            <w:r>
              <w:rPr>
                <w:color w:val="000000" w:themeColor="text1"/>
                <w:sz w:val="24"/>
              </w:rPr>
              <w:t>поняття</w:t>
            </w:r>
            <w:r>
              <w:rPr>
                <w:color w:val="000000" w:themeColor="text1"/>
                <w:spacing w:val="-5"/>
                <w:sz w:val="24"/>
              </w:rPr>
              <w:t xml:space="preserve"> </w:t>
            </w:r>
            <w:r>
              <w:rPr>
                <w:color w:val="000000" w:themeColor="text1"/>
                <w:sz w:val="24"/>
              </w:rPr>
              <w:t>«подієвий</w:t>
            </w:r>
            <w:r>
              <w:rPr>
                <w:color w:val="000000" w:themeColor="text1"/>
                <w:spacing w:val="-5"/>
                <w:sz w:val="24"/>
              </w:rPr>
              <w:t xml:space="preserve"> </w:t>
            </w:r>
            <w:r>
              <w:rPr>
                <w:color w:val="000000" w:themeColor="text1"/>
                <w:spacing w:val="-2"/>
                <w:sz w:val="24"/>
              </w:rPr>
              <w:t>туризм»</w:t>
            </w:r>
          </w:p>
        </w:tc>
      </w:tr>
      <w:tr w:rsidR="001D0C14">
        <w:trPr>
          <w:trHeight w:val="1057"/>
        </w:trPr>
        <w:tc>
          <w:tcPr>
            <w:tcW w:w="2403" w:type="dxa"/>
            <w:tcBorders>
              <w:top w:val="single" w:sz="4" w:space="0" w:color="000000"/>
              <w:left w:val="single" w:sz="4" w:space="0" w:color="000000"/>
              <w:bottom w:val="single" w:sz="4" w:space="0" w:color="000000"/>
              <w:right w:val="single" w:sz="4" w:space="0" w:color="000000"/>
            </w:tcBorders>
          </w:tcPr>
          <w:p w:rsidR="001D0C14" w:rsidRDefault="00E16C6E">
            <w:pPr>
              <w:pStyle w:val="TableParagraph"/>
              <w:spacing w:line="258" w:lineRule="exact"/>
              <w:rPr>
                <w:color w:val="000000" w:themeColor="text1"/>
                <w:sz w:val="23"/>
              </w:rPr>
            </w:pPr>
            <w:r>
              <w:rPr>
                <w:color w:val="000000" w:themeColor="text1"/>
                <w:sz w:val="23"/>
              </w:rPr>
              <w:t>Бабкін</w:t>
            </w:r>
            <w:r>
              <w:rPr>
                <w:color w:val="000000" w:themeColor="text1"/>
                <w:spacing w:val="-3"/>
                <w:sz w:val="23"/>
              </w:rPr>
              <w:t xml:space="preserve"> </w:t>
            </w:r>
            <w:r>
              <w:rPr>
                <w:color w:val="000000" w:themeColor="text1"/>
                <w:spacing w:val="-4"/>
                <w:sz w:val="23"/>
              </w:rPr>
              <w:t>А.В.</w:t>
            </w:r>
          </w:p>
        </w:tc>
        <w:tc>
          <w:tcPr>
            <w:tcW w:w="6942" w:type="dxa"/>
            <w:tcBorders>
              <w:top w:val="single" w:sz="4" w:space="0" w:color="000000"/>
              <w:left w:val="single" w:sz="4" w:space="0" w:color="000000"/>
              <w:bottom w:val="single" w:sz="4" w:space="0" w:color="000000"/>
              <w:right w:val="single" w:sz="4" w:space="0" w:color="000000"/>
            </w:tcBorders>
          </w:tcPr>
          <w:p w:rsidR="001D0C14" w:rsidRDefault="00E16C6E">
            <w:pPr>
              <w:pStyle w:val="TableParagraph"/>
              <w:ind w:left="108" w:right="94"/>
              <w:rPr>
                <w:color w:val="000000" w:themeColor="text1"/>
                <w:sz w:val="23"/>
              </w:rPr>
            </w:pPr>
            <w:r>
              <w:rPr>
                <w:color w:val="000000" w:themeColor="text1"/>
                <w:sz w:val="23"/>
              </w:rPr>
              <w:t>Перспективний</w:t>
            </w:r>
            <w:r>
              <w:rPr>
                <w:color w:val="000000" w:themeColor="text1"/>
                <w:spacing w:val="40"/>
                <w:sz w:val="23"/>
              </w:rPr>
              <w:t xml:space="preserve"> </w:t>
            </w:r>
            <w:r>
              <w:rPr>
                <w:color w:val="000000" w:themeColor="text1"/>
                <w:sz w:val="23"/>
              </w:rPr>
              <w:t>та динамічно розвиваючий вид туризму з атмосферою свята, індивідуальних умов відпочинку і незабутніх вражень.</w:t>
            </w:r>
            <w:r>
              <w:rPr>
                <w:color w:val="000000" w:themeColor="text1"/>
                <w:spacing w:val="52"/>
                <w:sz w:val="23"/>
              </w:rPr>
              <w:t xml:space="preserve"> </w:t>
            </w:r>
            <w:r>
              <w:rPr>
                <w:color w:val="000000" w:themeColor="text1"/>
                <w:sz w:val="23"/>
              </w:rPr>
              <w:t>Головною</w:t>
            </w:r>
            <w:r>
              <w:rPr>
                <w:color w:val="000000" w:themeColor="text1"/>
                <w:spacing w:val="53"/>
                <w:sz w:val="23"/>
              </w:rPr>
              <w:t xml:space="preserve">  </w:t>
            </w:r>
            <w:r>
              <w:rPr>
                <w:color w:val="000000" w:themeColor="text1"/>
                <w:sz w:val="23"/>
              </w:rPr>
              <w:t>особливістю</w:t>
            </w:r>
            <w:r>
              <w:rPr>
                <w:color w:val="000000" w:themeColor="text1"/>
                <w:spacing w:val="54"/>
                <w:sz w:val="23"/>
              </w:rPr>
              <w:t xml:space="preserve">  </w:t>
            </w:r>
            <w:r>
              <w:rPr>
                <w:color w:val="000000" w:themeColor="text1"/>
                <w:sz w:val="23"/>
              </w:rPr>
              <w:t>подієвого</w:t>
            </w:r>
            <w:r>
              <w:rPr>
                <w:color w:val="000000" w:themeColor="text1"/>
                <w:spacing w:val="53"/>
                <w:sz w:val="23"/>
              </w:rPr>
              <w:t xml:space="preserve">  </w:t>
            </w:r>
            <w:r>
              <w:rPr>
                <w:color w:val="000000" w:themeColor="text1"/>
                <w:sz w:val="23"/>
              </w:rPr>
              <w:t>туризму</w:t>
            </w:r>
            <w:r>
              <w:rPr>
                <w:color w:val="000000" w:themeColor="text1"/>
                <w:spacing w:val="51"/>
                <w:sz w:val="23"/>
              </w:rPr>
              <w:t xml:space="preserve">  </w:t>
            </w:r>
            <w:r>
              <w:rPr>
                <w:color w:val="000000" w:themeColor="text1"/>
                <w:spacing w:val="-2"/>
                <w:sz w:val="23"/>
              </w:rPr>
              <w:t>виділяє</w:t>
            </w:r>
          </w:p>
          <w:p w:rsidR="001D0C14" w:rsidRDefault="00E16C6E">
            <w:pPr>
              <w:pStyle w:val="TableParagraph"/>
              <w:spacing w:line="250" w:lineRule="exact"/>
              <w:ind w:left="108"/>
              <w:rPr>
                <w:color w:val="000000" w:themeColor="text1"/>
                <w:sz w:val="23"/>
              </w:rPr>
            </w:pPr>
            <w:r>
              <w:rPr>
                <w:color w:val="000000" w:themeColor="text1"/>
                <w:sz w:val="23"/>
              </w:rPr>
              <w:t>багатоманітність</w:t>
            </w:r>
            <w:r>
              <w:rPr>
                <w:color w:val="000000" w:themeColor="text1"/>
                <w:spacing w:val="-7"/>
                <w:sz w:val="23"/>
              </w:rPr>
              <w:t xml:space="preserve"> </w:t>
            </w:r>
            <w:r>
              <w:rPr>
                <w:color w:val="000000" w:themeColor="text1"/>
                <w:sz w:val="23"/>
              </w:rPr>
              <w:t>яскравих</w:t>
            </w:r>
            <w:r>
              <w:rPr>
                <w:color w:val="000000" w:themeColor="text1"/>
                <w:spacing w:val="-4"/>
                <w:sz w:val="23"/>
              </w:rPr>
              <w:t xml:space="preserve"> </w:t>
            </w:r>
            <w:r>
              <w:rPr>
                <w:color w:val="000000" w:themeColor="text1"/>
                <w:sz w:val="23"/>
              </w:rPr>
              <w:t>неповторних</w:t>
            </w:r>
            <w:r>
              <w:rPr>
                <w:color w:val="000000" w:themeColor="text1"/>
                <w:spacing w:val="-4"/>
                <w:sz w:val="23"/>
              </w:rPr>
              <w:t xml:space="preserve"> </w:t>
            </w:r>
            <w:r>
              <w:rPr>
                <w:color w:val="000000" w:themeColor="text1"/>
                <w:sz w:val="23"/>
              </w:rPr>
              <w:t>моментів</w:t>
            </w:r>
            <w:r>
              <w:rPr>
                <w:color w:val="000000" w:themeColor="text1"/>
                <w:spacing w:val="49"/>
                <w:sz w:val="23"/>
              </w:rPr>
              <w:t xml:space="preserve"> </w:t>
            </w:r>
          </w:p>
        </w:tc>
      </w:tr>
      <w:tr w:rsidR="001D0C14" w:rsidRPr="005B551B">
        <w:trPr>
          <w:trHeight w:val="557"/>
        </w:trPr>
        <w:tc>
          <w:tcPr>
            <w:tcW w:w="2403" w:type="dxa"/>
            <w:tcBorders>
              <w:top w:val="single" w:sz="4" w:space="0" w:color="000000"/>
              <w:left w:val="single" w:sz="4" w:space="0" w:color="000000"/>
              <w:bottom w:val="single" w:sz="4" w:space="0" w:color="000000"/>
              <w:right w:val="single" w:sz="4" w:space="0" w:color="000000"/>
            </w:tcBorders>
          </w:tcPr>
          <w:p w:rsidR="001D0C14" w:rsidRDefault="00E16C6E">
            <w:pPr>
              <w:pStyle w:val="TableParagraph"/>
              <w:spacing w:line="258" w:lineRule="exact"/>
              <w:rPr>
                <w:color w:val="000000" w:themeColor="text1"/>
                <w:sz w:val="23"/>
              </w:rPr>
            </w:pPr>
            <w:r>
              <w:rPr>
                <w:color w:val="000000" w:themeColor="text1"/>
                <w:sz w:val="23"/>
              </w:rPr>
              <w:lastRenderedPageBreak/>
              <w:t>Мельниченко</w:t>
            </w:r>
            <w:r>
              <w:rPr>
                <w:color w:val="000000" w:themeColor="text1"/>
                <w:spacing w:val="-5"/>
                <w:sz w:val="23"/>
              </w:rPr>
              <w:t xml:space="preserve"> C.</w:t>
            </w:r>
          </w:p>
        </w:tc>
        <w:tc>
          <w:tcPr>
            <w:tcW w:w="6942" w:type="dxa"/>
            <w:tcBorders>
              <w:top w:val="single" w:sz="4" w:space="0" w:color="000000"/>
              <w:left w:val="single" w:sz="4" w:space="0" w:color="000000"/>
              <w:bottom w:val="single" w:sz="4" w:space="0" w:color="000000"/>
              <w:right w:val="single" w:sz="4" w:space="0" w:color="000000"/>
            </w:tcBorders>
          </w:tcPr>
          <w:p w:rsidR="001D0C14" w:rsidRDefault="00E16C6E">
            <w:pPr>
              <w:pStyle w:val="TableParagraph"/>
              <w:spacing w:line="258" w:lineRule="exact"/>
              <w:ind w:left="108"/>
              <w:rPr>
                <w:color w:val="000000" w:themeColor="text1"/>
                <w:sz w:val="23"/>
              </w:rPr>
            </w:pPr>
            <w:r>
              <w:rPr>
                <w:color w:val="000000" w:themeColor="text1"/>
                <w:sz w:val="23"/>
              </w:rPr>
              <w:t>виключні</w:t>
            </w:r>
            <w:r>
              <w:rPr>
                <w:color w:val="000000" w:themeColor="text1"/>
                <w:spacing w:val="37"/>
                <w:sz w:val="23"/>
              </w:rPr>
              <w:t xml:space="preserve"> </w:t>
            </w:r>
            <w:r>
              <w:rPr>
                <w:color w:val="000000" w:themeColor="text1"/>
                <w:sz w:val="23"/>
              </w:rPr>
              <w:t>заходи,</w:t>
            </w:r>
            <w:r>
              <w:rPr>
                <w:color w:val="000000" w:themeColor="text1"/>
                <w:spacing w:val="39"/>
                <w:sz w:val="23"/>
              </w:rPr>
              <w:t xml:space="preserve"> </w:t>
            </w:r>
            <w:r>
              <w:rPr>
                <w:color w:val="000000" w:themeColor="text1"/>
                <w:sz w:val="23"/>
              </w:rPr>
              <w:t>які</w:t>
            </w:r>
            <w:r>
              <w:rPr>
                <w:color w:val="000000" w:themeColor="text1"/>
                <w:spacing w:val="39"/>
                <w:sz w:val="23"/>
              </w:rPr>
              <w:t xml:space="preserve"> </w:t>
            </w:r>
            <w:r>
              <w:rPr>
                <w:color w:val="000000" w:themeColor="text1"/>
                <w:sz w:val="23"/>
              </w:rPr>
              <w:t>спрямовані</w:t>
            </w:r>
            <w:r>
              <w:rPr>
                <w:color w:val="000000" w:themeColor="text1"/>
                <w:spacing w:val="39"/>
                <w:sz w:val="23"/>
              </w:rPr>
              <w:t xml:space="preserve"> </w:t>
            </w:r>
            <w:r>
              <w:rPr>
                <w:color w:val="000000" w:themeColor="text1"/>
                <w:sz w:val="23"/>
              </w:rPr>
              <w:t>на</w:t>
            </w:r>
            <w:r>
              <w:rPr>
                <w:color w:val="000000" w:themeColor="text1"/>
                <w:spacing w:val="39"/>
                <w:sz w:val="23"/>
              </w:rPr>
              <w:t xml:space="preserve"> </w:t>
            </w:r>
            <w:r>
              <w:rPr>
                <w:color w:val="000000" w:themeColor="text1"/>
                <w:sz w:val="23"/>
              </w:rPr>
              <w:t>просування</w:t>
            </w:r>
            <w:r>
              <w:rPr>
                <w:color w:val="000000" w:themeColor="text1"/>
                <w:spacing w:val="39"/>
                <w:sz w:val="23"/>
              </w:rPr>
              <w:t xml:space="preserve"> </w:t>
            </w:r>
            <w:r>
              <w:rPr>
                <w:color w:val="000000" w:themeColor="text1"/>
                <w:sz w:val="23"/>
              </w:rPr>
              <w:t>компанії,</w:t>
            </w:r>
            <w:r>
              <w:rPr>
                <w:color w:val="000000" w:themeColor="text1"/>
                <w:spacing w:val="39"/>
                <w:sz w:val="23"/>
              </w:rPr>
              <w:t xml:space="preserve"> </w:t>
            </w:r>
            <w:r>
              <w:rPr>
                <w:color w:val="000000" w:themeColor="text1"/>
                <w:spacing w:val="-2"/>
                <w:sz w:val="23"/>
              </w:rPr>
              <w:t>послуг,</w:t>
            </w:r>
          </w:p>
          <w:p w:rsidR="001D0C14" w:rsidRDefault="00E16C6E">
            <w:pPr>
              <w:pStyle w:val="TableParagraph"/>
              <w:tabs>
                <w:tab w:val="left" w:pos="1125"/>
                <w:tab w:val="left" w:pos="1492"/>
                <w:tab w:val="left" w:pos="2540"/>
                <w:tab w:val="left" w:pos="3036"/>
                <w:tab w:val="left" w:pos="4452"/>
                <w:tab w:val="left" w:pos="5635"/>
                <w:tab w:val="left" w:pos="6537"/>
              </w:tabs>
              <w:spacing w:line="264" w:lineRule="exact"/>
              <w:ind w:left="108" w:right="99"/>
              <w:rPr>
                <w:color w:val="000000" w:themeColor="text1"/>
                <w:sz w:val="23"/>
              </w:rPr>
            </w:pPr>
            <w:r>
              <w:rPr>
                <w:color w:val="000000" w:themeColor="text1"/>
                <w:spacing w:val="-2"/>
                <w:sz w:val="23"/>
              </w:rPr>
              <w:t>товарів</w:t>
            </w:r>
            <w:r>
              <w:rPr>
                <w:color w:val="000000" w:themeColor="text1"/>
                <w:sz w:val="23"/>
              </w:rPr>
              <w:t xml:space="preserve"> </w:t>
            </w:r>
            <w:r>
              <w:rPr>
                <w:color w:val="000000" w:themeColor="text1"/>
                <w:spacing w:val="-10"/>
                <w:sz w:val="23"/>
              </w:rPr>
              <w:t>і</w:t>
            </w:r>
            <w:r>
              <w:rPr>
                <w:color w:val="000000" w:themeColor="text1"/>
                <w:sz w:val="23"/>
              </w:rPr>
              <w:t xml:space="preserve"> </w:t>
            </w:r>
            <w:r>
              <w:rPr>
                <w:color w:val="000000" w:themeColor="text1"/>
                <w:spacing w:val="-2"/>
                <w:sz w:val="23"/>
              </w:rPr>
              <w:t>брендів</w:t>
            </w:r>
            <w:r>
              <w:rPr>
                <w:color w:val="000000" w:themeColor="text1"/>
                <w:sz w:val="23"/>
              </w:rPr>
              <w:t xml:space="preserve"> </w:t>
            </w:r>
            <w:r>
              <w:rPr>
                <w:color w:val="000000" w:themeColor="text1"/>
                <w:spacing w:val="-6"/>
                <w:sz w:val="23"/>
              </w:rPr>
              <w:t>за</w:t>
            </w:r>
            <w:r>
              <w:rPr>
                <w:color w:val="000000" w:themeColor="text1"/>
                <w:sz w:val="23"/>
              </w:rPr>
              <w:t xml:space="preserve"> </w:t>
            </w:r>
            <w:r>
              <w:rPr>
                <w:color w:val="000000" w:themeColor="text1"/>
                <w:spacing w:val="-2"/>
                <w:sz w:val="23"/>
              </w:rPr>
              <w:t>допомогою</w:t>
            </w:r>
            <w:r>
              <w:rPr>
                <w:color w:val="000000" w:themeColor="text1"/>
                <w:sz w:val="23"/>
              </w:rPr>
              <w:t xml:space="preserve"> </w:t>
            </w:r>
            <w:r>
              <w:rPr>
                <w:color w:val="000000" w:themeColor="text1"/>
                <w:spacing w:val="-2"/>
                <w:sz w:val="23"/>
              </w:rPr>
              <w:t>яскравих</w:t>
            </w:r>
            <w:r>
              <w:rPr>
                <w:color w:val="000000" w:themeColor="text1"/>
                <w:sz w:val="23"/>
              </w:rPr>
              <w:t xml:space="preserve"> </w:t>
            </w:r>
            <w:r>
              <w:rPr>
                <w:color w:val="000000" w:themeColor="text1"/>
                <w:spacing w:val="-2"/>
                <w:sz w:val="23"/>
              </w:rPr>
              <w:t>подій,</w:t>
            </w:r>
            <w:r>
              <w:rPr>
                <w:color w:val="000000" w:themeColor="text1"/>
                <w:sz w:val="23"/>
              </w:rPr>
              <w:t xml:space="preserve"> </w:t>
            </w:r>
            <w:r>
              <w:rPr>
                <w:color w:val="000000" w:themeColor="text1"/>
                <w:spacing w:val="-6"/>
                <w:sz w:val="23"/>
              </w:rPr>
              <w:t xml:space="preserve">що </w:t>
            </w:r>
            <w:r>
              <w:rPr>
                <w:color w:val="000000" w:themeColor="text1"/>
                <w:sz w:val="23"/>
              </w:rPr>
              <w:t>запам’ятовуються.</w:t>
            </w:r>
          </w:p>
        </w:tc>
      </w:tr>
      <w:tr w:rsidR="001D0C14" w:rsidRPr="005B551B">
        <w:trPr>
          <w:trHeight w:val="527"/>
        </w:trPr>
        <w:tc>
          <w:tcPr>
            <w:tcW w:w="2403" w:type="dxa"/>
            <w:tcBorders>
              <w:top w:val="single" w:sz="4" w:space="0" w:color="000000"/>
              <w:left w:val="single" w:sz="4" w:space="0" w:color="000000"/>
              <w:bottom w:val="single" w:sz="4" w:space="0" w:color="000000"/>
              <w:right w:val="single" w:sz="4" w:space="0" w:color="000000"/>
            </w:tcBorders>
          </w:tcPr>
          <w:p w:rsidR="001D0C14" w:rsidRDefault="00E16C6E">
            <w:pPr>
              <w:pStyle w:val="TableParagraph"/>
              <w:spacing w:line="258" w:lineRule="exact"/>
              <w:rPr>
                <w:color w:val="000000" w:themeColor="text1"/>
                <w:sz w:val="23"/>
              </w:rPr>
            </w:pPr>
            <w:r>
              <w:rPr>
                <w:color w:val="000000" w:themeColor="text1"/>
                <w:sz w:val="23"/>
              </w:rPr>
              <w:t>Шульгіна</w:t>
            </w:r>
            <w:r>
              <w:rPr>
                <w:color w:val="000000" w:themeColor="text1"/>
                <w:spacing w:val="-6"/>
                <w:sz w:val="23"/>
              </w:rPr>
              <w:t xml:space="preserve"> </w:t>
            </w:r>
            <w:r>
              <w:rPr>
                <w:color w:val="000000" w:themeColor="text1"/>
                <w:spacing w:val="-4"/>
                <w:sz w:val="23"/>
              </w:rPr>
              <w:t>Л.М.</w:t>
            </w:r>
          </w:p>
        </w:tc>
        <w:tc>
          <w:tcPr>
            <w:tcW w:w="6942" w:type="dxa"/>
            <w:tcBorders>
              <w:top w:val="single" w:sz="4" w:space="0" w:color="000000"/>
              <w:left w:val="single" w:sz="4" w:space="0" w:color="000000"/>
              <w:bottom w:val="single" w:sz="4" w:space="0" w:color="000000"/>
              <w:right w:val="single" w:sz="4" w:space="0" w:color="000000"/>
            </w:tcBorders>
          </w:tcPr>
          <w:p w:rsidR="001D0C14" w:rsidRDefault="00E16C6E">
            <w:pPr>
              <w:pStyle w:val="TableParagraph"/>
              <w:tabs>
                <w:tab w:val="left" w:pos="1067"/>
              </w:tabs>
              <w:spacing w:line="258" w:lineRule="exact"/>
              <w:ind w:left="108"/>
              <w:rPr>
                <w:color w:val="000000" w:themeColor="text1"/>
                <w:sz w:val="23"/>
              </w:rPr>
            </w:pPr>
            <w:r>
              <w:rPr>
                <w:color w:val="000000" w:themeColor="text1"/>
                <w:spacing w:val="-2"/>
                <w:sz w:val="23"/>
              </w:rPr>
              <w:t>Новий</w:t>
            </w:r>
            <w:r>
              <w:rPr>
                <w:color w:val="000000" w:themeColor="text1"/>
                <w:sz w:val="23"/>
              </w:rPr>
              <w:t xml:space="preserve"> вид</w:t>
            </w:r>
            <w:r>
              <w:rPr>
                <w:color w:val="000000" w:themeColor="text1"/>
                <w:spacing w:val="71"/>
                <w:w w:val="150"/>
                <w:sz w:val="23"/>
              </w:rPr>
              <w:t xml:space="preserve"> </w:t>
            </w:r>
            <w:r>
              <w:rPr>
                <w:color w:val="000000" w:themeColor="text1"/>
                <w:sz w:val="23"/>
              </w:rPr>
              <w:t>туризму,</w:t>
            </w:r>
            <w:r>
              <w:rPr>
                <w:color w:val="000000" w:themeColor="text1"/>
                <w:spacing w:val="74"/>
                <w:w w:val="150"/>
                <w:sz w:val="23"/>
              </w:rPr>
              <w:t xml:space="preserve"> </w:t>
            </w:r>
            <w:r>
              <w:rPr>
                <w:color w:val="000000" w:themeColor="text1"/>
                <w:sz w:val="23"/>
              </w:rPr>
              <w:t>розвиток</w:t>
            </w:r>
            <w:r>
              <w:rPr>
                <w:color w:val="000000" w:themeColor="text1"/>
                <w:spacing w:val="73"/>
                <w:w w:val="150"/>
                <w:sz w:val="23"/>
              </w:rPr>
              <w:t xml:space="preserve"> </w:t>
            </w:r>
            <w:r>
              <w:rPr>
                <w:color w:val="000000" w:themeColor="text1"/>
                <w:sz w:val="23"/>
              </w:rPr>
              <w:t>якого</w:t>
            </w:r>
            <w:r>
              <w:rPr>
                <w:color w:val="000000" w:themeColor="text1"/>
                <w:spacing w:val="70"/>
                <w:w w:val="150"/>
                <w:sz w:val="23"/>
              </w:rPr>
              <w:t xml:space="preserve"> </w:t>
            </w:r>
            <w:r>
              <w:rPr>
                <w:color w:val="000000" w:themeColor="text1"/>
                <w:sz w:val="23"/>
              </w:rPr>
              <w:t>свідчить</w:t>
            </w:r>
            <w:r>
              <w:rPr>
                <w:color w:val="000000" w:themeColor="text1"/>
                <w:spacing w:val="73"/>
                <w:w w:val="150"/>
                <w:sz w:val="23"/>
              </w:rPr>
              <w:t xml:space="preserve"> </w:t>
            </w:r>
            <w:r>
              <w:rPr>
                <w:color w:val="000000" w:themeColor="text1"/>
                <w:sz w:val="23"/>
              </w:rPr>
              <w:t>про</w:t>
            </w:r>
            <w:r>
              <w:rPr>
                <w:color w:val="000000" w:themeColor="text1"/>
                <w:spacing w:val="72"/>
                <w:w w:val="150"/>
                <w:sz w:val="23"/>
              </w:rPr>
              <w:t xml:space="preserve"> </w:t>
            </w:r>
            <w:r>
              <w:rPr>
                <w:color w:val="000000" w:themeColor="text1"/>
                <w:spacing w:val="-2"/>
                <w:sz w:val="23"/>
              </w:rPr>
              <w:t>позитивні</w:t>
            </w:r>
          </w:p>
          <w:p w:rsidR="001D0C14" w:rsidRDefault="00E16C6E">
            <w:pPr>
              <w:pStyle w:val="TableParagraph"/>
              <w:spacing w:line="249" w:lineRule="exact"/>
              <w:ind w:left="108"/>
              <w:rPr>
                <w:color w:val="000000" w:themeColor="text1"/>
                <w:sz w:val="23"/>
              </w:rPr>
            </w:pPr>
            <w:r>
              <w:rPr>
                <w:color w:val="000000" w:themeColor="text1"/>
                <w:sz w:val="23"/>
              </w:rPr>
              <w:t>тенденції</w:t>
            </w:r>
            <w:r>
              <w:rPr>
                <w:color w:val="000000" w:themeColor="text1"/>
                <w:spacing w:val="-7"/>
                <w:sz w:val="23"/>
              </w:rPr>
              <w:t xml:space="preserve"> </w:t>
            </w:r>
            <w:r>
              <w:rPr>
                <w:color w:val="000000" w:themeColor="text1"/>
                <w:sz w:val="23"/>
              </w:rPr>
              <w:t>продуктової</w:t>
            </w:r>
            <w:r>
              <w:rPr>
                <w:color w:val="000000" w:themeColor="text1"/>
                <w:spacing w:val="-4"/>
                <w:sz w:val="23"/>
              </w:rPr>
              <w:t xml:space="preserve"> </w:t>
            </w:r>
            <w:r>
              <w:rPr>
                <w:color w:val="000000" w:themeColor="text1"/>
                <w:sz w:val="23"/>
              </w:rPr>
              <w:t>політики</w:t>
            </w:r>
            <w:r>
              <w:rPr>
                <w:color w:val="000000" w:themeColor="text1"/>
                <w:spacing w:val="-5"/>
                <w:sz w:val="23"/>
              </w:rPr>
              <w:t xml:space="preserve"> </w:t>
            </w:r>
            <w:r>
              <w:rPr>
                <w:color w:val="000000" w:themeColor="text1"/>
                <w:sz w:val="23"/>
              </w:rPr>
              <w:t>туристичних</w:t>
            </w:r>
            <w:r>
              <w:rPr>
                <w:color w:val="000000" w:themeColor="text1"/>
                <w:spacing w:val="-4"/>
                <w:sz w:val="23"/>
              </w:rPr>
              <w:t xml:space="preserve"> </w:t>
            </w:r>
            <w:r>
              <w:rPr>
                <w:color w:val="000000" w:themeColor="text1"/>
                <w:sz w:val="23"/>
              </w:rPr>
              <w:t>підприємств</w:t>
            </w:r>
            <w:r>
              <w:rPr>
                <w:color w:val="000000" w:themeColor="text1"/>
                <w:spacing w:val="-5"/>
                <w:sz w:val="23"/>
              </w:rPr>
              <w:t xml:space="preserve"> </w:t>
            </w:r>
          </w:p>
        </w:tc>
      </w:tr>
    </w:tbl>
    <w:p w:rsidR="001D0C14" w:rsidRDefault="001D0C14">
      <w:pPr>
        <w:pStyle w:val="af4"/>
        <w:spacing w:line="360" w:lineRule="auto"/>
        <w:ind w:left="0" w:firstLine="709"/>
        <w:rPr>
          <w:color w:val="000000" w:themeColor="text1"/>
        </w:rPr>
      </w:pPr>
    </w:p>
    <w:p w:rsidR="001D0C14" w:rsidRDefault="00E16C6E">
      <w:pPr>
        <w:pStyle w:val="af4"/>
        <w:spacing w:line="360" w:lineRule="auto"/>
        <w:ind w:left="0" w:firstLine="709"/>
        <w:rPr>
          <w:color w:val="000000" w:themeColor="text1"/>
        </w:rPr>
      </w:pPr>
      <w:r>
        <w:rPr>
          <w:color w:val="000000" w:themeColor="text1"/>
        </w:rPr>
        <w:t>Подієвий туризм можна охарактеризувати як різновид туризму, який передбачає переміщення осіб з їх постійного місця проживання з метою участі у заходах, не пов’язаних з оплачуваною працею, з довготривалими соціально-економічними вигодами. Цей вид туризму організовується за попередньо розробленими програмами та включає проведення масштабних освітніх, спортивних, культурних і розважальних подій на певній території. Ефективність подієвого туризму залежить від поінформованості громадськості та престижу проведених заходів.</w:t>
      </w:r>
    </w:p>
    <w:p w:rsidR="001D0C14" w:rsidRDefault="00E16C6E">
      <w:pPr>
        <w:pStyle w:val="af4"/>
        <w:spacing w:line="360" w:lineRule="auto"/>
        <w:ind w:left="0" w:firstLine="709"/>
        <w:rPr>
          <w:color w:val="000000" w:themeColor="text1"/>
        </w:rPr>
      </w:pPr>
      <w:r>
        <w:rPr>
          <w:color w:val="000000" w:themeColor="text1"/>
        </w:rPr>
        <w:t>Подієвий туризм посідає важливе місце у структурі туристичних послуг. Найбільшим попитом користуються нові, оригінальні та видовищні продукти і послуги. Цей тип туризму може стати унікальною особливістю регіону, забезпечуючи стабільний потік туристів і доходи, що сприяють соціально-економічному розвитку регіону.</w:t>
      </w:r>
    </w:p>
    <w:p w:rsidR="001D0C14" w:rsidRDefault="00E16C6E">
      <w:pPr>
        <w:pStyle w:val="af4"/>
        <w:spacing w:line="360" w:lineRule="auto"/>
        <w:ind w:left="0" w:firstLine="709"/>
        <w:rPr>
          <w:color w:val="000000" w:themeColor="text1"/>
        </w:rPr>
      </w:pPr>
      <w:r>
        <w:rPr>
          <w:color w:val="000000" w:themeColor="text1"/>
        </w:rPr>
        <w:t>Подієві тури разом з іншими туристичними продуктами формують індустрію дозвілля. Ця індустрія включає: готельні господарства (готелі, мотелі, туристичні та спортивні бази); центри відпочинку (кінотеатри, театри, оркестри, хореографічні студії, школи мистецтв, концертні зали); розважальні заклади (цирки, ярмарки, фестивалі, карнавали, парки розваг, ігрові заклади, нічні клуби, казино); установи активного відпочинку (спортивні клуби, більярдні, гольф-майданчики, басейни, іподроми); клуби-ресторани, кафе-клуби; сімейні рекреаційні комплекси та центри дозвілля; державні зони відпочинку та історико-культурні місця.</w:t>
      </w:r>
    </w:p>
    <w:p w:rsidR="001D0C14" w:rsidRDefault="00E16C6E">
      <w:pPr>
        <w:pStyle w:val="af4"/>
        <w:spacing w:line="360" w:lineRule="auto"/>
        <w:ind w:left="0" w:firstLine="709"/>
        <w:rPr>
          <w:color w:val="000000" w:themeColor="text1"/>
        </w:rPr>
      </w:pPr>
      <w:r>
        <w:rPr>
          <w:color w:val="000000" w:themeColor="text1"/>
        </w:rPr>
        <w:t>Розвиток подієвого туризму тісно пов</w:t>
      </w:r>
      <w:r>
        <w:rPr>
          <w:color w:val="000000" w:themeColor="text1"/>
          <w:lang w:val="ru-RU"/>
        </w:rPr>
        <w:t>’</w:t>
      </w:r>
      <w:r>
        <w:rPr>
          <w:color w:val="000000" w:themeColor="text1"/>
        </w:rPr>
        <w:t>язаний з іншими складовими індустрії дозвілля. При системному підході до розвитку подієвого туризму вигоду отримують усі складові цієї індустрії. Подієвий туризм пропонує незабутні враження, яскраві моменти і індивідуальні умови відпочинку, створюючи атмосферу свята. Він є частиною культурного туризму, пов</w:t>
      </w:r>
      <w:r>
        <w:rPr>
          <w:color w:val="000000" w:themeColor="text1"/>
          <w:lang w:val="ru-RU"/>
        </w:rPr>
        <w:t>’</w:t>
      </w:r>
      <w:r>
        <w:rPr>
          <w:color w:val="000000" w:themeColor="text1"/>
        </w:rPr>
        <w:t>язаного з подіями в суспільному житті та подорожами для відвідування заходів, які цікавлять туристів.</w:t>
      </w:r>
    </w:p>
    <w:p w:rsidR="001D0C14" w:rsidRDefault="00E16C6E">
      <w:pPr>
        <w:pStyle w:val="af4"/>
        <w:spacing w:line="360" w:lineRule="auto"/>
        <w:ind w:left="0" w:firstLine="709"/>
        <w:rPr>
          <w:color w:val="000000" w:themeColor="text1"/>
        </w:rPr>
      </w:pPr>
      <w:r>
        <w:rPr>
          <w:color w:val="000000" w:themeColor="text1"/>
        </w:rPr>
        <w:lastRenderedPageBreak/>
        <w:t xml:space="preserve">Таким чином, подієвий туризм виступає важливим напрямком, що сприяє розвитку регіонів, підвищенню їхньої привабливості та забезпеченню економічного зростання </w:t>
      </w:r>
      <w:r>
        <w:rPr>
          <w:color w:val="000000" w:themeColor="text1"/>
          <w:spacing w:val="-4"/>
        </w:rPr>
        <w:t>[3]</w:t>
      </w:r>
      <w:r>
        <w:rPr>
          <w:color w:val="000000" w:themeColor="text1"/>
        </w:rPr>
        <w:t xml:space="preserve">. </w:t>
      </w:r>
    </w:p>
    <w:p w:rsidR="001D0C14" w:rsidRDefault="00E16C6E">
      <w:pPr>
        <w:pStyle w:val="af4"/>
        <w:spacing w:line="360" w:lineRule="auto"/>
        <w:ind w:left="0" w:firstLine="709"/>
        <w:rPr>
          <w:color w:val="000000" w:themeColor="text1"/>
        </w:rPr>
      </w:pPr>
      <w:r>
        <w:rPr>
          <w:color w:val="000000" w:themeColor="text1"/>
        </w:rPr>
        <w:t>Для аналізу особливостей подієвого туризму та виправдання його значущості розглянемо основні ознаки, що його визначають, у порівнянні з іншими видами туризму. Порівняльний аналіз допоможе визначити унікальні аспекти подієвого туризму та його відмінності від інших форм туристичної діяльності. Нижче наведено приклад таблиці для подання такої характеристики:</w:t>
      </w:r>
    </w:p>
    <w:p w:rsidR="001D0C14" w:rsidRDefault="001D0C14">
      <w:pPr>
        <w:pStyle w:val="af4"/>
        <w:spacing w:line="360" w:lineRule="auto"/>
        <w:ind w:left="0" w:firstLine="709"/>
        <w:rPr>
          <w:color w:val="000000" w:themeColor="text1"/>
        </w:rPr>
      </w:pPr>
    </w:p>
    <w:p w:rsidR="001D0C14" w:rsidRDefault="00E16C6E">
      <w:pPr>
        <w:spacing w:after="0" w:line="360" w:lineRule="auto"/>
        <w:ind w:firstLine="709"/>
        <w:rPr>
          <w:rFonts w:ascii="Times New Roman" w:eastAsia="Times New Roman" w:hAnsi="Times New Roman" w:cs="Times New Roman"/>
          <w:bCs/>
          <w:sz w:val="28"/>
          <w:szCs w:val="24"/>
          <w:lang w:val="uk-UA" w:eastAsia="uk-UA"/>
        </w:rPr>
      </w:pPr>
      <w:r>
        <w:rPr>
          <w:rFonts w:ascii="Times New Roman" w:eastAsia="Times New Roman" w:hAnsi="Times New Roman" w:cs="Times New Roman"/>
          <w:bCs/>
          <w:sz w:val="28"/>
          <w:szCs w:val="24"/>
          <w:lang w:val="uk-UA" w:eastAsia="uk-UA"/>
        </w:rPr>
        <w:t xml:space="preserve">Таблиця 1.2 - </w:t>
      </w:r>
      <w:r>
        <w:rPr>
          <w:rFonts w:ascii="Times New Roman" w:eastAsia="Times New Roman" w:hAnsi="Times New Roman" w:cs="Times New Roman"/>
          <w:b/>
          <w:iCs/>
          <w:sz w:val="28"/>
          <w:szCs w:val="24"/>
          <w:lang w:val="uk-UA" w:eastAsia="uk-UA"/>
        </w:rPr>
        <w:t xml:space="preserve">Порівняльна характеристика подієвого туризму з іншими видами туризму </w:t>
      </w:r>
      <w:r>
        <w:rPr>
          <w:rFonts w:ascii="Times New Roman" w:hAnsi="Times New Roman" w:cs="Times New Roman"/>
          <w:color w:val="000000" w:themeColor="text1"/>
          <w:sz w:val="28"/>
          <w:szCs w:val="28"/>
          <w:lang w:val="uk-UA"/>
        </w:rPr>
        <w:t>[24]</w:t>
      </w:r>
    </w:p>
    <w:tbl>
      <w:tblPr>
        <w:tblStyle w:val="aff3"/>
        <w:tblW w:w="10195" w:type="dxa"/>
        <w:tblLayout w:type="fixed"/>
        <w:tblLook w:val="04A0" w:firstRow="1" w:lastRow="0" w:firstColumn="1" w:lastColumn="0" w:noHBand="0" w:noVBand="1"/>
      </w:tblPr>
      <w:tblGrid>
        <w:gridCol w:w="2405"/>
        <w:gridCol w:w="3727"/>
        <w:gridCol w:w="4063"/>
      </w:tblGrid>
      <w:tr w:rsidR="001D0C14">
        <w:tc>
          <w:tcPr>
            <w:tcW w:w="2405" w:type="dxa"/>
          </w:tcPr>
          <w:p w:rsidR="001D0C14" w:rsidRDefault="00E16C6E">
            <w:pPr>
              <w:widowControl w:val="0"/>
              <w:spacing w:after="0" w:line="240" w:lineRule="auto"/>
              <w:jc w:val="center"/>
              <w:rPr>
                <w:rFonts w:ascii="Times New Roman" w:eastAsia="Times New Roman" w:hAnsi="Times New Roman" w:cs="Times New Roman"/>
                <w:b/>
                <w:bCs/>
                <w:sz w:val="24"/>
                <w:szCs w:val="24"/>
                <w:lang w:val="uk-UA" w:eastAsia="uk-UA"/>
              </w:rPr>
            </w:pPr>
            <w:r>
              <w:rPr>
                <w:rFonts w:ascii="Times New Roman" w:eastAsia="Times New Roman" w:hAnsi="Times New Roman" w:cs="Times New Roman"/>
                <w:b/>
                <w:bCs/>
                <w:sz w:val="24"/>
                <w:szCs w:val="24"/>
                <w:lang w:val="uk-UA" w:eastAsia="uk-UA"/>
              </w:rPr>
              <w:t>Ознаки порівняння</w:t>
            </w:r>
          </w:p>
        </w:tc>
        <w:tc>
          <w:tcPr>
            <w:tcW w:w="3727" w:type="dxa"/>
          </w:tcPr>
          <w:p w:rsidR="001D0C14" w:rsidRDefault="00E16C6E">
            <w:pPr>
              <w:widowControl w:val="0"/>
              <w:spacing w:after="0" w:line="240" w:lineRule="auto"/>
              <w:jc w:val="center"/>
              <w:rPr>
                <w:rFonts w:ascii="Times New Roman" w:eastAsia="Times New Roman" w:hAnsi="Times New Roman" w:cs="Times New Roman"/>
                <w:b/>
                <w:bCs/>
                <w:sz w:val="24"/>
                <w:szCs w:val="24"/>
                <w:lang w:val="uk-UA" w:eastAsia="uk-UA"/>
              </w:rPr>
            </w:pPr>
            <w:r>
              <w:rPr>
                <w:rFonts w:ascii="Times New Roman" w:eastAsia="Times New Roman" w:hAnsi="Times New Roman" w:cs="Times New Roman"/>
                <w:b/>
                <w:bCs/>
                <w:sz w:val="24"/>
                <w:szCs w:val="24"/>
                <w:lang w:val="uk-UA" w:eastAsia="uk-UA"/>
              </w:rPr>
              <w:t>Традиційні види туризму</w:t>
            </w:r>
          </w:p>
        </w:tc>
        <w:tc>
          <w:tcPr>
            <w:tcW w:w="4063" w:type="dxa"/>
          </w:tcPr>
          <w:p w:rsidR="001D0C14" w:rsidRDefault="00E16C6E">
            <w:pPr>
              <w:widowControl w:val="0"/>
              <w:spacing w:after="0" w:line="240" w:lineRule="auto"/>
              <w:jc w:val="center"/>
              <w:rPr>
                <w:rFonts w:ascii="Times New Roman" w:eastAsia="Times New Roman" w:hAnsi="Times New Roman" w:cs="Times New Roman"/>
                <w:b/>
                <w:bCs/>
                <w:sz w:val="24"/>
                <w:szCs w:val="24"/>
                <w:lang w:val="uk-UA" w:eastAsia="uk-UA"/>
              </w:rPr>
            </w:pPr>
            <w:r>
              <w:rPr>
                <w:rFonts w:ascii="Times New Roman" w:eastAsia="Times New Roman" w:hAnsi="Times New Roman" w:cs="Times New Roman"/>
                <w:b/>
                <w:bCs/>
                <w:sz w:val="24"/>
                <w:szCs w:val="24"/>
                <w:lang w:val="uk-UA" w:eastAsia="uk-UA"/>
              </w:rPr>
              <w:t>Подієвий туризм</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Періодичність проведення</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Не встановлюється</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Чітко регламентована</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Характер проведення</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Постійний або сезонний</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Приурочений певній події</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Організаційне забезпечення</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Операційний менеджмент</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Проектний менеджмент</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Мета</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Переважно комерційна</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Комерційна або соціальна</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Джерела фінансування</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Турфірми</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Турфірми, бюджет, інвестори, спонсори</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Вплив на індустрію дозвілля</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Основа індустрії</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Доповнення і стимуляція розвитку</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Охоплення відвідувачів</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Невеликі групи</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Масовість</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Метод розміщення</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Стаціонарний і пересувний</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Переважно стаціонарний</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Умови ефективності</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Конкурентоспроможність</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Поінформованість, реклама, піар</w:t>
            </w:r>
          </w:p>
        </w:tc>
      </w:tr>
      <w:tr w:rsidR="001D0C14" w:rsidRPr="005B551B">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Мотивація</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Фізіологічні та духовні потреби</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Суспільні вподобання, пізнавальна цінність, статус, мода, престиж, значущість події</w:t>
            </w:r>
          </w:p>
        </w:tc>
      </w:tr>
      <w:tr w:rsidR="001D0C14" w:rsidRPr="005B551B">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Додаткові вигоди</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Формування туристичних потоків, зростання кількості робочих місць, наповнення бюджетів</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«Синергетичний» ефект впливу на розвиток різних секторів економіки та туристичної індустрії, зміцнення місця проведення заходів</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Залежність від суспільних вподобань</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Часткова</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Повна</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Залежність від сезону</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Повна</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Часткова</w:t>
            </w:r>
          </w:p>
        </w:tc>
      </w:tr>
      <w:tr w:rsidR="001D0C14">
        <w:tc>
          <w:tcPr>
            <w:tcW w:w="2405"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Інформаційний ефект</w:t>
            </w:r>
          </w:p>
        </w:tc>
        <w:tc>
          <w:tcPr>
            <w:tcW w:w="372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Тимчасовий</w:t>
            </w:r>
          </w:p>
        </w:tc>
        <w:tc>
          <w:tcPr>
            <w:tcW w:w="4063"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Довготривалий</w:t>
            </w:r>
          </w:p>
        </w:tc>
      </w:tr>
    </w:tbl>
    <w:p w:rsidR="001D0C14" w:rsidRDefault="001D0C14">
      <w:pPr>
        <w:pStyle w:val="af4"/>
        <w:spacing w:line="360" w:lineRule="auto"/>
        <w:ind w:left="0" w:firstLine="709"/>
        <w:rPr>
          <w:color w:val="FF0000"/>
          <w:sz w:val="14"/>
          <w:szCs w:val="14"/>
        </w:rPr>
      </w:pPr>
    </w:p>
    <w:p w:rsidR="001D0C14" w:rsidRDefault="001D0C14">
      <w:pPr>
        <w:pStyle w:val="af4"/>
        <w:spacing w:line="360" w:lineRule="auto"/>
        <w:ind w:left="0" w:firstLine="709"/>
        <w:rPr>
          <w:color w:val="000000" w:themeColor="text1"/>
        </w:rPr>
      </w:pPr>
    </w:p>
    <w:p w:rsidR="001D0C14" w:rsidRDefault="00E16C6E">
      <w:pPr>
        <w:pStyle w:val="af4"/>
        <w:spacing w:line="360" w:lineRule="auto"/>
        <w:ind w:left="0" w:firstLine="709"/>
        <w:rPr>
          <w:color w:val="000000" w:themeColor="text1"/>
        </w:rPr>
      </w:pPr>
      <w:r>
        <w:rPr>
          <w:color w:val="000000" w:themeColor="text1"/>
        </w:rPr>
        <w:lastRenderedPageBreak/>
        <w:t>Порівняльний аналіз між подієвим туризмом та традиційними видами туризму розкриває цікаві особливості, які відрізняють їх один від одного. Перш за все, подієвий туризм характеризується чіткою регламентованістю та періодичністю проведення заходів, тоді як традиційні форми туризму можуть бути менш структурованими в цьому відношенні.</w:t>
      </w:r>
    </w:p>
    <w:p w:rsidR="001D0C14" w:rsidRDefault="00E16C6E">
      <w:pPr>
        <w:pStyle w:val="af4"/>
        <w:spacing w:line="360" w:lineRule="auto"/>
        <w:ind w:left="0" w:firstLine="709"/>
        <w:rPr>
          <w:color w:val="000000" w:themeColor="text1"/>
        </w:rPr>
      </w:pPr>
      <w:r>
        <w:rPr>
          <w:color w:val="000000" w:themeColor="text1"/>
        </w:rPr>
        <w:t>Крім того, подієвий туризм відрізняється стаціонарністю проведення заходів, орієнтованих на певні події, тоді як традиційні види туризму можуть мати більш широкий термін проведення та локаційну гнучкість.</w:t>
      </w:r>
    </w:p>
    <w:p w:rsidR="001D0C14" w:rsidRDefault="00E16C6E">
      <w:pPr>
        <w:pStyle w:val="af4"/>
        <w:spacing w:line="360" w:lineRule="auto"/>
        <w:ind w:left="0" w:firstLine="709"/>
        <w:rPr>
          <w:color w:val="000000" w:themeColor="text1"/>
        </w:rPr>
      </w:pPr>
      <w:r>
        <w:rPr>
          <w:color w:val="000000" w:themeColor="text1"/>
        </w:rPr>
        <w:t>Управління організацією подій в подієвому туризмі базується на підходах проектного управління, що відрізняється від традиційного управління туристичними послугами.</w:t>
      </w:r>
    </w:p>
    <w:p w:rsidR="001D0C14" w:rsidRDefault="00E16C6E">
      <w:pPr>
        <w:pStyle w:val="af4"/>
        <w:spacing w:line="360" w:lineRule="auto"/>
        <w:ind w:left="0" w:firstLine="709"/>
        <w:rPr>
          <w:color w:val="000000" w:themeColor="text1"/>
        </w:rPr>
      </w:pPr>
      <w:r>
        <w:rPr>
          <w:color w:val="000000" w:themeColor="text1"/>
        </w:rPr>
        <w:t>Джерела фінансування також різняться: якщо традиційні форми туризму частіше отримують фінансування від туристичних фірм, то для подієвого туризму характерне залучення коштів від різних джерел, включаючи бюджетні асигнування, інвестиції та спонсорську підтримку.</w:t>
      </w:r>
    </w:p>
    <w:p w:rsidR="001D0C14" w:rsidRDefault="00E16C6E">
      <w:pPr>
        <w:pStyle w:val="af4"/>
        <w:spacing w:line="360" w:lineRule="auto"/>
        <w:ind w:left="0" w:firstLine="709"/>
        <w:rPr>
          <w:color w:val="000000" w:themeColor="text1"/>
        </w:rPr>
      </w:pPr>
      <w:r>
        <w:rPr>
          <w:color w:val="000000" w:themeColor="text1"/>
        </w:rPr>
        <w:t>Події притягують увагу широкого загалу, створюючи масовість відвідувачів, що відрізняється від більш індивідуального характеру традиційних форм туризму.</w:t>
      </w:r>
    </w:p>
    <w:p w:rsidR="001D0C14" w:rsidRDefault="00E16C6E">
      <w:pPr>
        <w:pStyle w:val="af4"/>
        <w:spacing w:line="360" w:lineRule="auto"/>
        <w:ind w:left="0" w:firstLine="709"/>
        <w:rPr>
          <w:color w:val="000000" w:themeColor="text1"/>
        </w:rPr>
      </w:pPr>
      <w:r>
        <w:rPr>
          <w:color w:val="000000" w:themeColor="text1"/>
        </w:rPr>
        <w:t>Успіх подій частково залежить від реакції суспільства та їх престижу, відмінності від більш фізіологічних або особистих мотивів туризму.</w:t>
      </w:r>
    </w:p>
    <w:p w:rsidR="001D0C14" w:rsidRDefault="00E16C6E">
      <w:pPr>
        <w:pStyle w:val="af4"/>
        <w:spacing w:line="360" w:lineRule="auto"/>
        <w:ind w:left="0" w:firstLine="709"/>
        <w:rPr>
          <w:color w:val="000000" w:themeColor="text1"/>
          <w:lang w:val="ru-RU"/>
        </w:rPr>
      </w:pPr>
      <w:r>
        <w:rPr>
          <w:color w:val="000000" w:themeColor="text1"/>
        </w:rPr>
        <w:t>Залучення до проведення подій може стимулювати економічний розвиток регіонів, доповнюючи традиційну індустрію дозвілля та туризму новими можливостями та ресурсами</w:t>
      </w:r>
      <w:r>
        <w:rPr>
          <w:color w:val="000000" w:themeColor="text1"/>
          <w:lang w:val="ru-RU"/>
        </w:rPr>
        <w:t xml:space="preserve"> </w:t>
      </w:r>
      <w:r>
        <w:rPr>
          <w:color w:val="000000" w:themeColor="text1"/>
          <w:spacing w:val="-4"/>
        </w:rPr>
        <w:t>[</w:t>
      </w:r>
      <w:r>
        <w:rPr>
          <w:color w:val="000000" w:themeColor="text1"/>
          <w:spacing w:val="-4"/>
          <w:lang w:val="ru-RU"/>
        </w:rPr>
        <w:t>1</w:t>
      </w:r>
      <w:r>
        <w:rPr>
          <w:color w:val="000000" w:themeColor="text1"/>
          <w:spacing w:val="-4"/>
        </w:rPr>
        <w:t>]</w:t>
      </w:r>
      <w:r>
        <w:rPr>
          <w:color w:val="000000" w:themeColor="text1"/>
        </w:rPr>
        <w:t>.</w:t>
      </w:r>
      <w:r>
        <w:rPr>
          <w:color w:val="000000" w:themeColor="text1"/>
          <w:lang w:val="ru-RU"/>
        </w:rPr>
        <w:t xml:space="preserve"> </w:t>
      </w:r>
    </w:p>
    <w:p w:rsidR="001D0C14" w:rsidRDefault="00E16C6E">
      <w:pPr>
        <w:pStyle w:val="af4"/>
        <w:ind w:left="2076"/>
        <w:jc w:val="left"/>
        <w:rPr>
          <w:color w:val="FF0000"/>
          <w:sz w:val="20"/>
        </w:rPr>
      </w:pPr>
      <w:r>
        <w:rPr>
          <w:noProof/>
        </w:rPr>
        <w:lastRenderedPageBreak/>
        <w:drawing>
          <wp:inline distT="0" distB="0" distL="0" distR="0">
            <wp:extent cx="4034155" cy="3212465"/>
            <wp:effectExtent l="0" t="0" r="0" b="0"/>
            <wp:docPr id="2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6"/>
                    <pic:cNvPicPr>
                      <a:picLocks noChangeAspect="1" noChangeArrowheads="1"/>
                    </pic:cNvPicPr>
                  </pic:nvPicPr>
                  <pic:blipFill>
                    <a:blip r:embed="rId9"/>
                    <a:stretch>
                      <a:fillRect/>
                    </a:stretch>
                  </pic:blipFill>
                  <pic:spPr bwMode="auto">
                    <a:xfrm>
                      <a:off x="0" y="0"/>
                      <a:ext cx="4034155" cy="3212465"/>
                    </a:xfrm>
                    <a:prstGeom prst="rect">
                      <a:avLst/>
                    </a:prstGeom>
                  </pic:spPr>
                </pic:pic>
              </a:graphicData>
            </a:graphic>
          </wp:inline>
        </w:drawing>
      </w:r>
    </w:p>
    <w:p w:rsidR="001D0C14" w:rsidRDefault="001D0C14">
      <w:pPr>
        <w:pStyle w:val="af4"/>
        <w:spacing w:line="360" w:lineRule="auto"/>
        <w:ind w:left="0"/>
        <w:jc w:val="center"/>
        <w:rPr>
          <w:color w:val="000000" w:themeColor="text1"/>
        </w:rPr>
      </w:pPr>
    </w:p>
    <w:p w:rsidR="001D0C14" w:rsidRDefault="00E16C6E">
      <w:pPr>
        <w:pStyle w:val="af4"/>
        <w:spacing w:line="360" w:lineRule="auto"/>
        <w:ind w:left="0"/>
        <w:jc w:val="center"/>
        <w:rPr>
          <w:color w:val="000000" w:themeColor="text1"/>
        </w:rPr>
      </w:pPr>
      <w:r>
        <w:rPr>
          <w:color w:val="000000" w:themeColor="text1"/>
        </w:rPr>
        <w:t>Рисунок</w:t>
      </w:r>
      <w:r>
        <w:rPr>
          <w:color w:val="000000" w:themeColor="text1"/>
          <w:spacing w:val="-8"/>
        </w:rPr>
        <w:t xml:space="preserve"> </w:t>
      </w:r>
      <w:r>
        <w:rPr>
          <w:color w:val="000000" w:themeColor="text1"/>
        </w:rPr>
        <w:t xml:space="preserve">1.1. </w:t>
      </w:r>
      <w:r>
        <w:rPr>
          <w:lang w:val="ru-RU"/>
        </w:rPr>
        <w:t>–</w:t>
      </w:r>
      <w:r>
        <w:rPr>
          <w:color w:val="000000" w:themeColor="text1"/>
          <w:spacing w:val="-7"/>
        </w:rPr>
        <w:t xml:space="preserve"> </w:t>
      </w:r>
      <w:r>
        <w:rPr>
          <w:color w:val="000000" w:themeColor="text1"/>
        </w:rPr>
        <w:t>Особливості</w:t>
      </w:r>
      <w:r>
        <w:rPr>
          <w:color w:val="000000" w:themeColor="text1"/>
          <w:spacing w:val="-6"/>
        </w:rPr>
        <w:t xml:space="preserve"> </w:t>
      </w:r>
      <w:r>
        <w:rPr>
          <w:color w:val="000000" w:themeColor="text1"/>
        </w:rPr>
        <w:t>подієвого</w:t>
      </w:r>
      <w:r>
        <w:rPr>
          <w:color w:val="000000" w:themeColor="text1"/>
          <w:spacing w:val="-5"/>
        </w:rPr>
        <w:t xml:space="preserve"> </w:t>
      </w:r>
      <w:r>
        <w:rPr>
          <w:color w:val="000000" w:themeColor="text1"/>
          <w:spacing w:val="-2"/>
        </w:rPr>
        <w:t xml:space="preserve">туризму (складено автором на основі </w:t>
      </w:r>
      <w:r>
        <w:rPr>
          <w:color w:val="000000" w:themeColor="text1"/>
          <w:lang w:val="ru-RU"/>
        </w:rPr>
        <w:t>[1,2]</w:t>
      </w:r>
    </w:p>
    <w:p w:rsidR="001D0C14" w:rsidRDefault="001D0C14">
      <w:pPr>
        <w:pStyle w:val="af4"/>
        <w:spacing w:line="360" w:lineRule="auto"/>
        <w:ind w:left="0" w:firstLine="709"/>
        <w:rPr>
          <w:color w:val="000000" w:themeColor="text1"/>
        </w:rPr>
      </w:pPr>
    </w:p>
    <w:p w:rsidR="001D0C14" w:rsidRDefault="00E16C6E">
      <w:pPr>
        <w:pStyle w:val="af4"/>
        <w:spacing w:line="360" w:lineRule="auto"/>
        <w:ind w:left="0" w:firstLine="709"/>
        <w:rPr>
          <w:color w:val="000000" w:themeColor="text1"/>
        </w:rPr>
      </w:pPr>
      <w:r>
        <w:rPr>
          <w:color w:val="000000" w:themeColor="text1"/>
        </w:rPr>
        <w:t>Специфікою спеціальних заходів є їх емоційний аспект, що породжує особисті враження учасників та спонукає до відчуття єдності емоційного стану. Цей фактор приваблює відвідувачів та впливає на їх систему цінностей, інтегруючи їх в контекст території. Якщо учасники взаємодії з подією переживають позитивні емоції, вони висловлюють свої враження, що має вплив на уявлення про всю область. Це сприяє формуванню позитивного іміджу місцевості, сприятливого ставлення до місцевого населення та підприємств, а також стимулює очікування майбутніх подій.</w:t>
      </w:r>
    </w:p>
    <w:p w:rsidR="001D0C14" w:rsidRDefault="00E16C6E">
      <w:pPr>
        <w:pStyle w:val="af4"/>
        <w:spacing w:line="360" w:lineRule="auto"/>
        <w:ind w:left="0" w:firstLine="709"/>
        <w:rPr>
          <w:color w:val="000000" w:themeColor="text1"/>
        </w:rPr>
      </w:pPr>
      <w:r>
        <w:rPr>
          <w:color w:val="000000" w:themeColor="text1"/>
        </w:rPr>
        <w:t>Однак існують чинники, які гальмують розвиток подієвого туризму. Серед них можна виокремити слабкість туристичної інфраструктури, недостатність інвестицій та підприємницької активності місцевого населення, нестачу кваліфікованих кадрів, обмежений інформаційний просування подій та неповноцінну реалізацію туристичного потенціалу.</w:t>
      </w:r>
    </w:p>
    <w:p w:rsidR="001D0C14" w:rsidRDefault="00E16C6E">
      <w:pPr>
        <w:pStyle w:val="af4"/>
        <w:ind w:left="231"/>
        <w:jc w:val="left"/>
        <w:rPr>
          <w:color w:val="FF0000"/>
          <w:sz w:val="20"/>
        </w:rPr>
      </w:pPr>
      <w:r>
        <w:rPr>
          <w:noProof/>
        </w:rPr>
        <w:lastRenderedPageBreak/>
        <w:drawing>
          <wp:inline distT="0" distB="0" distL="0" distR="0">
            <wp:extent cx="5848985" cy="2572385"/>
            <wp:effectExtent l="0" t="0" r="0" b="0"/>
            <wp:docPr id="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7"/>
                    <pic:cNvPicPr>
                      <a:picLocks noChangeAspect="1" noChangeArrowheads="1"/>
                    </pic:cNvPicPr>
                  </pic:nvPicPr>
                  <pic:blipFill>
                    <a:blip r:embed="rId10"/>
                    <a:stretch>
                      <a:fillRect/>
                    </a:stretch>
                  </pic:blipFill>
                  <pic:spPr bwMode="auto">
                    <a:xfrm>
                      <a:off x="0" y="0"/>
                      <a:ext cx="5848985" cy="2572385"/>
                    </a:xfrm>
                    <a:prstGeom prst="rect">
                      <a:avLst/>
                    </a:prstGeom>
                  </pic:spPr>
                </pic:pic>
              </a:graphicData>
            </a:graphic>
          </wp:inline>
        </w:drawing>
      </w:r>
    </w:p>
    <w:p w:rsidR="001D0C14" w:rsidRDefault="00E16C6E">
      <w:pPr>
        <w:pStyle w:val="af4"/>
        <w:spacing w:line="360" w:lineRule="auto"/>
        <w:ind w:left="0" w:firstLine="709"/>
        <w:jc w:val="center"/>
        <w:rPr>
          <w:color w:val="000000" w:themeColor="text1"/>
        </w:rPr>
      </w:pPr>
      <w:r>
        <w:rPr>
          <w:color w:val="000000" w:themeColor="text1"/>
        </w:rPr>
        <w:t>Рисунок</w:t>
      </w:r>
      <w:r>
        <w:rPr>
          <w:color w:val="000000" w:themeColor="text1"/>
          <w:spacing w:val="-8"/>
        </w:rPr>
        <w:t xml:space="preserve"> </w:t>
      </w:r>
      <w:r>
        <w:rPr>
          <w:color w:val="000000" w:themeColor="text1"/>
        </w:rPr>
        <w:t xml:space="preserve">1.2 </w:t>
      </w:r>
      <w:r>
        <w:rPr>
          <w:lang w:val="ru-RU"/>
        </w:rPr>
        <w:t>–</w:t>
      </w:r>
      <w:r>
        <w:rPr>
          <w:color w:val="000000" w:themeColor="text1"/>
          <w:spacing w:val="-6"/>
        </w:rPr>
        <w:t xml:space="preserve"> </w:t>
      </w:r>
      <w:r>
        <w:rPr>
          <w:color w:val="000000" w:themeColor="text1"/>
        </w:rPr>
        <w:t>Гальмуючі</w:t>
      </w:r>
      <w:r>
        <w:rPr>
          <w:color w:val="000000" w:themeColor="text1"/>
          <w:spacing w:val="-4"/>
        </w:rPr>
        <w:t xml:space="preserve"> </w:t>
      </w:r>
      <w:r>
        <w:rPr>
          <w:color w:val="000000" w:themeColor="text1"/>
        </w:rPr>
        <w:t>фактори</w:t>
      </w:r>
      <w:r>
        <w:rPr>
          <w:color w:val="000000" w:themeColor="text1"/>
          <w:spacing w:val="-4"/>
        </w:rPr>
        <w:t xml:space="preserve"> </w:t>
      </w:r>
      <w:r>
        <w:rPr>
          <w:color w:val="000000" w:themeColor="text1"/>
        </w:rPr>
        <w:t>розвитку</w:t>
      </w:r>
      <w:r>
        <w:rPr>
          <w:color w:val="000000" w:themeColor="text1"/>
          <w:spacing w:val="-9"/>
        </w:rPr>
        <w:t xml:space="preserve"> </w:t>
      </w:r>
      <w:r>
        <w:rPr>
          <w:color w:val="000000" w:themeColor="text1"/>
        </w:rPr>
        <w:t>подієвого</w:t>
      </w:r>
      <w:r>
        <w:rPr>
          <w:color w:val="000000" w:themeColor="text1"/>
          <w:spacing w:val="-3"/>
        </w:rPr>
        <w:t xml:space="preserve"> </w:t>
      </w:r>
      <w:r>
        <w:rPr>
          <w:color w:val="000000" w:themeColor="text1"/>
        </w:rPr>
        <w:t>туризму (складено автором на основі [30,31])</w:t>
      </w:r>
    </w:p>
    <w:p w:rsidR="001D0C14" w:rsidRDefault="00E16C6E">
      <w:pPr>
        <w:pStyle w:val="af4"/>
        <w:spacing w:line="360" w:lineRule="auto"/>
        <w:ind w:left="0" w:firstLine="709"/>
        <w:rPr>
          <w:color w:val="000000" w:themeColor="text1"/>
        </w:rPr>
      </w:pPr>
      <w:r>
        <w:rPr>
          <w:color w:val="000000" w:themeColor="text1"/>
        </w:rPr>
        <w:t>Події, що функціонують як туристичні ресурси, відзначаються вираженим мультиплікаційним ефектом, який сприяє стимулюванню розвитку різних секторів туристичної індустрії для максимального використання їхнього потенціалу. Цей ефект особливо помітний у випадках масових подій, які сприяють розвитку інфраструктури регіону та збільшенню прибутковості туризму. Наприклад, проведення фінальних матчів Чемпіонату Європи з футболу в Україні у 2012 році та Євробачення у 2005 та 2017 роках ілюструють цей ефект.</w:t>
      </w:r>
    </w:p>
    <w:p w:rsidR="001D0C14" w:rsidRDefault="00E16C6E">
      <w:pPr>
        <w:pStyle w:val="af4"/>
        <w:spacing w:line="360" w:lineRule="auto"/>
        <w:ind w:left="0" w:firstLine="709"/>
        <w:rPr>
          <w:color w:val="000000" w:themeColor="text1"/>
        </w:rPr>
      </w:pPr>
      <w:r>
        <w:rPr>
          <w:color w:val="000000" w:themeColor="text1"/>
        </w:rPr>
        <w:t>Роль і вплив запланованих подій у галузі туризму підтверджені науково, особливо великий вплив івентів на конкурентоспроможність туристичних напрямків. Подієвий туризм, визнаний окремою галуззю, відокремився від загальної індустрії туризму два десятиліття тому, що призвело до подальшого вражаючого розвитку даного сектору.</w:t>
      </w:r>
    </w:p>
    <w:p w:rsidR="001D0C14" w:rsidRDefault="00E16C6E">
      <w:pPr>
        <w:pStyle w:val="af4"/>
        <w:spacing w:line="360" w:lineRule="auto"/>
        <w:ind w:left="0" w:firstLine="709"/>
        <w:rPr>
          <w:color w:val="000000" w:themeColor="text1"/>
        </w:rPr>
      </w:pPr>
      <w:r>
        <w:rPr>
          <w:color w:val="000000" w:themeColor="text1"/>
        </w:rPr>
        <w:t>Івент-менеджмент виступає як прикладна галузь дослідження та професійної практики, спрямована на планування, організацію та управління різноманітними спеціальними заходами, такими як фестивалі, святкування, спортивні змагання, бізнес-події та інші.</w:t>
      </w:r>
    </w:p>
    <w:p w:rsidR="001D0C14" w:rsidRDefault="00E16C6E">
      <w:pPr>
        <w:pStyle w:val="af4"/>
        <w:spacing w:line="360" w:lineRule="auto"/>
        <w:ind w:left="0" w:firstLine="709"/>
        <w:rPr>
          <w:color w:val="000000" w:themeColor="text1"/>
        </w:rPr>
      </w:pPr>
      <w:r>
        <w:rPr>
          <w:color w:val="000000" w:themeColor="text1"/>
        </w:rPr>
        <w:t>Типологія запланованих подій охоплює культурні свята, політичні та державні заходи, бізнес та торговельні заходи, мистецькі виставки та розваги, освітні та наукові заходи, спортивні змагання, а також різноманітні розважальні та приватні події.</w:t>
      </w:r>
    </w:p>
    <w:p w:rsidR="001D0C14" w:rsidRDefault="00E16C6E">
      <w:pPr>
        <w:pStyle w:val="af4"/>
        <w:spacing w:line="360" w:lineRule="auto"/>
        <w:ind w:left="0" w:firstLine="709"/>
        <w:jc w:val="center"/>
        <w:rPr>
          <w:color w:val="FF0000"/>
        </w:rPr>
      </w:pPr>
      <w:r>
        <w:rPr>
          <w:noProof/>
        </w:rPr>
        <w:lastRenderedPageBreak/>
        <w:drawing>
          <wp:inline distT="0" distB="0" distL="0" distR="0">
            <wp:extent cx="3105150" cy="3533775"/>
            <wp:effectExtent l="0" t="0" r="0" b="0"/>
            <wp:docPr id="10"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31"/>
                    <pic:cNvPicPr>
                      <a:picLocks noChangeAspect="1" noChangeArrowheads="1"/>
                    </pic:cNvPicPr>
                  </pic:nvPicPr>
                  <pic:blipFill>
                    <a:blip r:embed="rId11"/>
                    <a:stretch>
                      <a:fillRect/>
                    </a:stretch>
                  </pic:blipFill>
                  <pic:spPr bwMode="auto">
                    <a:xfrm>
                      <a:off x="0" y="0"/>
                      <a:ext cx="3105150" cy="3533775"/>
                    </a:xfrm>
                    <a:prstGeom prst="rect">
                      <a:avLst/>
                    </a:prstGeom>
                  </pic:spPr>
                </pic:pic>
              </a:graphicData>
            </a:graphic>
          </wp:inline>
        </w:drawing>
      </w:r>
    </w:p>
    <w:p w:rsidR="001D0C14" w:rsidRDefault="00E16C6E">
      <w:pPr>
        <w:pStyle w:val="af4"/>
        <w:spacing w:line="360" w:lineRule="auto"/>
        <w:ind w:left="0"/>
        <w:jc w:val="center"/>
        <w:rPr>
          <w:color w:val="000000" w:themeColor="text1"/>
        </w:rPr>
      </w:pPr>
      <w:r>
        <w:rPr>
          <w:color w:val="000000" w:themeColor="text1"/>
        </w:rPr>
        <w:t>Рисунок</w:t>
      </w:r>
      <w:r>
        <w:rPr>
          <w:color w:val="000000" w:themeColor="text1"/>
          <w:spacing w:val="-8"/>
        </w:rPr>
        <w:t xml:space="preserve"> </w:t>
      </w:r>
      <w:r>
        <w:rPr>
          <w:color w:val="000000" w:themeColor="text1"/>
        </w:rPr>
        <w:t>1.3.</w:t>
      </w:r>
      <w:r>
        <w:rPr>
          <w:color w:val="000000" w:themeColor="text1"/>
          <w:spacing w:val="-6"/>
        </w:rPr>
        <w:t xml:space="preserve"> </w:t>
      </w:r>
      <w:r>
        <w:rPr>
          <w:lang w:val="ru-RU"/>
        </w:rPr>
        <w:t xml:space="preserve">– </w:t>
      </w:r>
      <w:r>
        <w:rPr>
          <w:color w:val="000000" w:themeColor="text1"/>
        </w:rPr>
        <w:t>Типологія</w:t>
      </w:r>
      <w:r>
        <w:rPr>
          <w:color w:val="000000" w:themeColor="text1"/>
          <w:spacing w:val="-5"/>
        </w:rPr>
        <w:t xml:space="preserve"> </w:t>
      </w:r>
      <w:r>
        <w:rPr>
          <w:color w:val="000000" w:themeColor="text1"/>
        </w:rPr>
        <w:t>запланованих</w:t>
      </w:r>
      <w:r>
        <w:rPr>
          <w:color w:val="000000" w:themeColor="text1"/>
          <w:spacing w:val="-4"/>
        </w:rPr>
        <w:t xml:space="preserve"> </w:t>
      </w:r>
      <w:r>
        <w:rPr>
          <w:color w:val="000000" w:themeColor="text1"/>
        </w:rPr>
        <w:t>подій</w:t>
      </w:r>
      <w:r>
        <w:rPr>
          <w:color w:val="000000" w:themeColor="text1"/>
          <w:spacing w:val="-5"/>
        </w:rPr>
        <w:t xml:space="preserve"> </w:t>
      </w:r>
      <w:r>
        <w:rPr>
          <w:color w:val="000000" w:themeColor="text1"/>
          <w:spacing w:val="-4"/>
        </w:rPr>
        <w:t>[</w:t>
      </w:r>
      <w:r>
        <w:rPr>
          <w:color w:val="000000" w:themeColor="text1"/>
          <w:spacing w:val="-4"/>
          <w:lang w:val="ru-RU"/>
        </w:rPr>
        <w:t>34</w:t>
      </w:r>
      <w:r>
        <w:rPr>
          <w:color w:val="000000" w:themeColor="text1"/>
          <w:spacing w:val="-4"/>
        </w:rPr>
        <w:t>]</w:t>
      </w:r>
    </w:p>
    <w:p w:rsidR="001D0C14" w:rsidRDefault="00E16C6E">
      <w:pPr>
        <w:spacing w:after="0"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p>
    <w:p w:rsidR="001D0C14" w:rsidRDefault="00E16C6E">
      <w:pPr>
        <w:spacing w:after="0"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Подієвий туризм і івент-менеджмент є динамічно розвиваючими галузями, де туристи виступають як активні учасники запланованих заходів. Проте не всі події мають орієнтуватися на туризм, оскільки це може мати негативні наслідки, пов’язані зі зміною маркетингової стратегії. Івент-менеджмент також має інші цілі, такі як формування суспільства, відродження міст, культурний розвиток. Заплановані події або івенти є просторово-часовими явищами, кожен з яких унікальний завдяки взаємодії різних елементів та програм.</w:t>
      </w:r>
    </w:p>
    <w:p w:rsidR="001D0C14" w:rsidRDefault="00E16C6E">
      <w:pPr>
        <w:spacing w:after="0"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Привабливість івентів полягає в їхній різноманітності та унікальності. Вони завжди відрізняються один від одного, що привертає увагу туристів. Крім того, існують також «віртуальні івенти», які викликають інтерес як серед споживачів, так і серед туристичної індустрії, використовуючи різноманітні засоби комунікації.</w:t>
      </w:r>
    </w:p>
    <w:p w:rsidR="001D0C14" w:rsidRDefault="00E16C6E">
      <w:pPr>
        <w:spacing w:after="0"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Розвиток сфери подієвого туризму є важливим національним завданням, оскільки він охоплює організацію не лише внутрішніх, але й міжнародних подій. Ця сфера туризму є перспективною не лише для загального розвитку країни, а й для її регіонального розвитку, оскільки пов’язана з територією проведення подій. Події сприяють поширенню інформації про регіони країни, їх історію та унікальність. </w:t>
      </w:r>
      <w:r>
        <w:rPr>
          <w:rFonts w:ascii="Times New Roman" w:eastAsia="Times New Roman" w:hAnsi="Times New Roman" w:cs="Times New Roman"/>
          <w:color w:val="000000" w:themeColor="text1"/>
          <w:sz w:val="28"/>
          <w:szCs w:val="28"/>
          <w:lang w:val="uk-UA"/>
        </w:rPr>
        <w:lastRenderedPageBreak/>
        <w:t>Комплексні подієві тури, які включають участь у події та супутні послуги, створюють умови для соціально-економічного розвитку регіонів.</w:t>
      </w:r>
    </w:p>
    <w:p w:rsidR="001D0C14" w:rsidRDefault="00E16C6E">
      <w:pPr>
        <w:spacing w:after="0"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Отже, під час аналізу основних особливостей подієвого туризму та подій було виявлено, що подія як туристичний ресурс має значний мультиплікаційний ефект, що сприяє розвитку різних секторів туристичної індустрії для ефективного використання їхнього потенціалу. Особливості подієвого туризму включають відсутність сезонності, можливість прогнозування, масовість, інтерактивність, інноваційність, регулярність подій та їх видовищність. Стимулювання розвитку подійних турів обумовлене їхніми функціями та перевагами, до яких відносяться швидка оборотність капіталу, висока доходність, можливість створення нових робочих місць, позитивний вплив на імідж території, популяризація країни як туристичного напрямку, синергетичний вплив на розвиток інших галузей та можливість підвищення інвестиційної привабливості України.</w:t>
      </w:r>
    </w:p>
    <w:p w:rsidR="001D0C14" w:rsidRDefault="001D0C14">
      <w:pPr>
        <w:spacing w:after="0" w:line="360" w:lineRule="auto"/>
        <w:ind w:firstLine="709"/>
        <w:rPr>
          <w:rFonts w:ascii="Times New Roman" w:hAnsi="Times New Roman" w:cs="Times New Roman"/>
          <w:b/>
          <w:color w:val="000000" w:themeColor="text1"/>
          <w:sz w:val="28"/>
          <w:lang w:val="uk-UA"/>
        </w:rPr>
      </w:pPr>
    </w:p>
    <w:p w:rsidR="001D0C14" w:rsidRDefault="00E16C6E">
      <w:pPr>
        <w:spacing w:after="0" w:line="360" w:lineRule="auto"/>
        <w:ind w:firstLine="709"/>
        <w:rPr>
          <w:rFonts w:ascii="Times New Roman" w:hAnsi="Times New Roman" w:cs="Times New Roman"/>
          <w:b/>
          <w:color w:val="000000" w:themeColor="text1"/>
          <w:sz w:val="28"/>
          <w:lang w:val="uk-UA"/>
        </w:rPr>
      </w:pPr>
      <w:r>
        <w:rPr>
          <w:rFonts w:ascii="Times New Roman" w:hAnsi="Times New Roman" w:cs="Times New Roman"/>
          <w:b/>
          <w:color w:val="000000" w:themeColor="text1"/>
          <w:sz w:val="28"/>
          <w:lang w:val="uk-UA"/>
        </w:rPr>
        <w:t>1.2. Зарубіжний досвід організації подієвого туризму</w:t>
      </w:r>
    </w:p>
    <w:p w:rsidR="001D0C14" w:rsidRDefault="00E16C6E">
      <w:pPr>
        <w:pStyle w:val="af4"/>
        <w:spacing w:line="360" w:lineRule="auto"/>
        <w:ind w:left="0" w:firstLine="709"/>
        <w:rPr>
          <w:color w:val="FF0000"/>
        </w:rPr>
      </w:pPr>
      <w:r>
        <w:rPr>
          <w:color w:val="000000" w:themeColor="text1"/>
        </w:rPr>
        <w:t>Частка подієвого туризму в загальному обсязі туристичних послуг постійно зростає. Це зумовлено кількома факторами: зменшенням інтересу до групових поїздок, зростанням популярності індивідуального туризму, збільшенням попиту на короткі тури вихідного дня, скороченням загальної тривалості туристичних поїздок та схильністю до активного відпочинку. Досвід зарубіжних країн у сфері подієвого туризму дуже багатий і різноманітний. Протягом першого півріччя 2017 року доходи від міжнародного туризму в усьому світі збільшилися на 6% порівняно з аналогічним періодом попереднього року</w:t>
      </w:r>
      <w:r>
        <w:rPr>
          <w:color w:val="000000" w:themeColor="text1"/>
          <w:lang w:val="ru-RU"/>
        </w:rPr>
        <w:t xml:space="preserve"> </w:t>
      </w:r>
      <w:r>
        <w:rPr>
          <w:color w:val="000000" w:themeColor="text1"/>
          <w:spacing w:val="-4"/>
        </w:rPr>
        <w:t>[</w:t>
      </w:r>
      <w:r>
        <w:rPr>
          <w:color w:val="000000" w:themeColor="text1"/>
          <w:spacing w:val="-4"/>
          <w:lang w:val="ru-RU"/>
        </w:rPr>
        <w:t>3</w:t>
      </w:r>
      <w:r>
        <w:rPr>
          <w:color w:val="000000" w:themeColor="text1"/>
          <w:spacing w:val="-4"/>
        </w:rPr>
        <w:t>]</w:t>
      </w:r>
      <w:r>
        <w:rPr>
          <w:color w:val="000000" w:themeColor="text1"/>
        </w:rPr>
        <w:t>.</w:t>
      </w:r>
      <w:r>
        <w:rPr>
          <w:color w:val="000000" w:themeColor="text1"/>
          <w:lang w:val="ru-RU"/>
        </w:rPr>
        <w:t xml:space="preserve"> </w:t>
      </w:r>
    </w:p>
    <w:p w:rsidR="001D0C14" w:rsidRDefault="00E16C6E">
      <w:pPr>
        <w:pStyle w:val="af4"/>
        <w:spacing w:line="360" w:lineRule="auto"/>
        <w:ind w:left="0" w:firstLine="709"/>
        <w:rPr>
          <w:color w:val="FF0000"/>
          <w:sz w:val="18"/>
        </w:rPr>
      </w:pPr>
      <w:r>
        <w:rPr>
          <w:color w:val="000000" w:themeColor="text1"/>
        </w:rPr>
        <w:t xml:space="preserve">Подієвий туризм має значний вплив на економіку, сприяючи зростанню зайнятості населення через створення нових робочих місць. Він також розширює ділові, культурні та торгові зв’язки регіонів, підвищуючи інвестиційну привабливість. Наприклад, у Відні подієвий туризм щорічно генерує 36 мільйонів євро податкових надходжень і підтримує близько 20 тисяч робочих місць. У США, лідері цієї галузі, івент-індустрія вносить у ВВП країни 115 мільярдів доларів і забезпечує близько 1,8 мільйона робочих місць </w:t>
      </w:r>
      <w:r>
        <w:rPr>
          <w:color w:val="000000" w:themeColor="text1"/>
          <w:spacing w:val="-4"/>
        </w:rPr>
        <w:t>[4]</w:t>
      </w:r>
      <w:r>
        <w:rPr>
          <w:color w:val="000000" w:themeColor="text1"/>
        </w:rPr>
        <w:t xml:space="preserve">.  </w:t>
      </w:r>
    </w:p>
    <w:p w:rsidR="001D0C14" w:rsidRDefault="00E16C6E">
      <w:pPr>
        <w:pStyle w:val="af4"/>
        <w:spacing w:line="360" w:lineRule="auto"/>
        <w:ind w:left="0" w:firstLine="709"/>
        <w:rPr>
          <w:color w:val="000000" w:themeColor="text1"/>
        </w:rPr>
      </w:pPr>
      <w:r>
        <w:rPr>
          <w:color w:val="000000" w:themeColor="text1"/>
        </w:rPr>
        <w:lastRenderedPageBreak/>
        <w:t>Події, які стимулюють міжнародний туризм, можна поділити на три основні категорії:</w:t>
      </w:r>
      <w:r>
        <w:rPr>
          <w:color w:val="FF0000"/>
        </w:rPr>
        <w:t xml:space="preserve"> </w:t>
      </w:r>
    </w:p>
    <w:p w:rsidR="001D0C14" w:rsidRDefault="00E16C6E">
      <w:pPr>
        <w:pStyle w:val="af4"/>
        <w:spacing w:line="360" w:lineRule="auto"/>
        <w:ind w:left="0" w:firstLine="709"/>
        <w:rPr>
          <w:rFonts w:eastAsiaTheme="minorEastAsia"/>
          <w:bCs/>
          <w:color w:val="000000" w:themeColor="text1"/>
        </w:rPr>
      </w:pPr>
      <w:r>
        <w:rPr>
          <w:rFonts w:eastAsiaTheme="minorEastAsia"/>
          <w:bCs/>
          <w:color w:val="000000" w:themeColor="text1"/>
        </w:rPr>
        <w:t>Ділові конференції є подіями, на які можуть бути залучені до 1 000 учасників, вони відносно економічні у проведенні, проте організація таких заходів приносить суттєвий прибуток від витрат міжнародних делегатів. Наприклад, індустрія ділових конференцій приносить доходу в 4 рази більше, ніж організація інших масових заходів, оскільки кожен учасник конгресу витрачає втричі більше, ніж звичайний турист (в середньому $736 на день).</w:t>
      </w:r>
    </w:p>
    <w:p w:rsidR="001D0C14" w:rsidRDefault="00E16C6E">
      <w:pPr>
        <w:pStyle w:val="af4"/>
        <w:numPr>
          <w:ilvl w:val="0"/>
          <w:numId w:val="1"/>
        </w:numPr>
        <w:spacing w:line="360" w:lineRule="auto"/>
        <w:ind w:left="0" w:firstLine="720"/>
        <w:rPr>
          <w:rFonts w:eastAsiaTheme="minorEastAsia"/>
          <w:bCs/>
          <w:color w:val="000000" w:themeColor="text1"/>
        </w:rPr>
      </w:pPr>
      <w:r>
        <w:rPr>
          <w:rFonts w:eastAsiaTheme="minorEastAsia"/>
          <w:bCs/>
          <w:color w:val="000000" w:themeColor="text1"/>
        </w:rPr>
        <w:t>Культурні події це заходи, які мають міжнародну репутацію як «must-see». Серед них South by Southwest (SXSW) в Остіні, Техас, фестиваль Sonar в Барселоні, Білі Ночі в Мельбурні, або Единбурзький фестиваль хортання і Хогманей в Шотландії.</w:t>
      </w:r>
    </w:p>
    <w:p w:rsidR="001D0C14" w:rsidRDefault="00E16C6E">
      <w:pPr>
        <w:pStyle w:val="af4"/>
        <w:numPr>
          <w:ilvl w:val="0"/>
          <w:numId w:val="1"/>
        </w:numPr>
        <w:spacing w:line="360" w:lineRule="auto"/>
        <w:ind w:left="0" w:firstLine="709"/>
        <w:rPr>
          <w:color w:val="FF0000"/>
        </w:rPr>
      </w:pPr>
      <w:r>
        <w:rPr>
          <w:rFonts w:eastAsiaTheme="minorEastAsia"/>
          <w:bCs/>
          <w:color w:val="000000" w:themeColor="text1"/>
        </w:rPr>
        <w:t>Спортивні заходи це події, які привертають тисячі учасників з-за меж країни, що приймає. Це можуть бути світові ігри майстрів, світові поліцейські і вогневі змагання, заходи за участю Ironman і молодіжні спортивні заходи. Наприклад, Чемпіонат світу з орієнтування в Шотландії у 2015 році залучив 6 000 учасників, які додатково витратили понад 9 мільйонів фунтів стерлінгів. Найбільшими подіями цього типу є Літні Олімпійські ігри і Чемпіонат світу з футболу. Однак, невеликі міжнародні спортивні заходи можуть мати аналогічний ефект в менших масштабах, часто з меншим фінансовим ризиком</w:t>
      </w:r>
      <w:r>
        <w:rPr>
          <w:rFonts w:eastAsiaTheme="minorEastAsia"/>
          <w:bCs/>
          <w:color w:val="000000" w:themeColor="text1"/>
          <w:lang w:val="ru-RU"/>
        </w:rPr>
        <w:t xml:space="preserve"> </w:t>
      </w:r>
      <w:r>
        <w:rPr>
          <w:color w:val="000000" w:themeColor="text1"/>
          <w:lang w:val="ru-RU"/>
        </w:rPr>
        <w:t>[4]</w:t>
      </w:r>
      <w:r>
        <w:rPr>
          <w:rFonts w:eastAsiaTheme="minorEastAsia"/>
          <w:bCs/>
          <w:color w:val="000000" w:themeColor="text1"/>
        </w:rPr>
        <w:t>.</w:t>
      </w:r>
      <w:r>
        <w:rPr>
          <w:rFonts w:eastAsiaTheme="minorEastAsia"/>
          <w:b/>
          <w:bCs/>
          <w:color w:val="000000" w:themeColor="text1"/>
        </w:rPr>
        <w:t xml:space="preserve"> </w:t>
      </w:r>
    </w:p>
    <w:p w:rsidR="001D0C14" w:rsidRDefault="00E16C6E">
      <w:pPr>
        <w:pStyle w:val="af4"/>
        <w:spacing w:line="360" w:lineRule="auto"/>
        <w:ind w:left="0" w:firstLine="709"/>
        <w:rPr>
          <w:color w:val="FF0000"/>
        </w:rPr>
      </w:pPr>
      <w:r>
        <w:rPr>
          <w:color w:val="000000" w:themeColor="text1"/>
        </w:rPr>
        <w:t xml:space="preserve">Масштабні міжнародні події впливають на імідж території, сприяють значному збільшенню її впізнаваності, формують бренд та підвищують туристичну привабливість. </w:t>
      </w:r>
      <w:r>
        <w:rPr>
          <w:color w:val="000000" w:themeColor="text1"/>
          <w:lang w:val="ru-RU"/>
        </w:rPr>
        <w:t xml:space="preserve">Лідерами в цій галузі є країни, такі як США, Італія, Франція, Південна Корея, Велика Британія. Деякі фахівці вважають, що найбільш розвиненою в цьому аспекті є Австралія, яка має чітку систему стратегічного планування подій, спрямованих на максимізацію вигоди від туризму для дестинації. Олімпійські ігри, які проводяться разом з численними асоційованими проектами, грають значну роль у розвитку туризму та утворенні іміджу країни-господаря. Наприклад, під час проведення Олімпійських ігор в Сіднеї у 2000 році було виявлено значне збільшення інтересу до Австралії серед іноземних туристів, а також підвищення відвідуваності </w:t>
      </w:r>
      <w:r>
        <w:rPr>
          <w:color w:val="000000" w:themeColor="text1"/>
          <w:lang w:val="ru-RU"/>
        </w:rPr>
        <w:lastRenderedPageBreak/>
        <w:t xml:space="preserve">туристичних ресурсів країни [4]. </w:t>
      </w:r>
    </w:p>
    <w:p w:rsidR="001D0C14" w:rsidRDefault="00E16C6E">
      <w:pPr>
        <w:pStyle w:val="af4"/>
        <w:spacing w:line="360" w:lineRule="auto"/>
        <w:ind w:left="0" w:firstLine="709"/>
        <w:rPr>
          <w:color w:val="000000" w:themeColor="text1"/>
        </w:rPr>
      </w:pPr>
      <w:r>
        <w:rPr>
          <w:color w:val="000000" w:themeColor="text1"/>
        </w:rPr>
        <w:t>Світовий досвід розвитку подієвого туризму представлений різноманітними прикладами та заходами, які привертають увагу та інтерес туристів з усього світу. Один із яскравих прикладів – це карнавал в Ріо-де-Жанейро, який має величезну популярність та приваблює мільйони відвідувачів з усіх континентів. Бразильський карнавал є одним із найбільш відвідуваних подій у світі, збираючи більше 700 тисяч гостей і приносячи значний прибуток.</w:t>
      </w:r>
    </w:p>
    <w:p w:rsidR="001D0C14" w:rsidRDefault="00E16C6E">
      <w:pPr>
        <w:pStyle w:val="af4"/>
        <w:spacing w:line="360" w:lineRule="auto"/>
        <w:ind w:left="0" w:firstLine="709"/>
        <w:rPr>
          <w:color w:val="000000" w:themeColor="text1"/>
        </w:rPr>
      </w:pPr>
      <w:r>
        <w:rPr>
          <w:color w:val="000000" w:themeColor="text1"/>
        </w:rPr>
        <w:t>Іншим прикладом успішного подієвого маркетингу є Каннський кінофестиваль, який є важливою подією у світі кіноіндустрії та приносить значний прибуток в розмірі 200 мільйонів євро, а також створює тисячі робочих місць.</w:t>
      </w:r>
    </w:p>
    <w:p w:rsidR="001D0C14" w:rsidRDefault="00E16C6E">
      <w:pPr>
        <w:pStyle w:val="af4"/>
        <w:spacing w:line="360" w:lineRule="auto"/>
        <w:ind w:left="0" w:firstLine="709"/>
        <w:rPr>
          <w:color w:val="000000" w:themeColor="text1"/>
        </w:rPr>
      </w:pPr>
      <w:r>
        <w:rPr>
          <w:color w:val="000000" w:themeColor="text1"/>
        </w:rPr>
        <w:t>Не менш популярними є інші світові фестивалі, такі як Октоберфест у Мюнхені, карнавал у Венеції, продуктові фестивалі у Великобританії та фестивалі квітів та місцевих традицій в Таїланді.</w:t>
      </w:r>
    </w:p>
    <w:p w:rsidR="001D0C14" w:rsidRDefault="00E16C6E">
      <w:pPr>
        <w:pStyle w:val="af4"/>
        <w:spacing w:line="360" w:lineRule="auto"/>
        <w:ind w:left="0" w:firstLine="709"/>
        <w:rPr>
          <w:color w:val="000000" w:themeColor="text1"/>
        </w:rPr>
      </w:pPr>
      <w:r>
        <w:rPr>
          <w:color w:val="000000" w:themeColor="text1"/>
        </w:rPr>
        <w:t>Австралія, зокрема, славиться своєю розвиненою системою стратегічного планування подій, яка сприяє максимізації вигоди від туризму для дестинації. Це лише декілька прикладів успішних ініціатив у розвитку подієвого туризму, які показують різноманітність та значущість цієї галузі для економіки та культури країн всього світу.</w:t>
      </w:r>
    </w:p>
    <w:p w:rsidR="001D0C14" w:rsidRDefault="001D0C14">
      <w:pPr>
        <w:pStyle w:val="af4"/>
        <w:spacing w:line="360" w:lineRule="auto"/>
        <w:ind w:left="0" w:firstLine="709"/>
        <w:rPr>
          <w:color w:val="000000" w:themeColor="text1"/>
        </w:rPr>
      </w:pPr>
    </w:p>
    <w:p w:rsidR="001D0C14" w:rsidRDefault="00E16C6E">
      <w:pPr>
        <w:pStyle w:val="af4"/>
        <w:spacing w:line="360" w:lineRule="auto"/>
        <w:ind w:left="0" w:firstLine="709"/>
        <w:rPr>
          <w:color w:val="000000" w:themeColor="text1"/>
        </w:rPr>
      </w:pPr>
      <w:r>
        <w:rPr>
          <w:color w:val="000000" w:themeColor="text1"/>
        </w:rPr>
        <w:t xml:space="preserve">Таблиця 1.3 - </w:t>
      </w:r>
      <w:r>
        <w:rPr>
          <w:b/>
          <w:color w:val="000000" w:themeColor="text1"/>
        </w:rPr>
        <w:t>Система</w:t>
      </w:r>
      <w:r>
        <w:rPr>
          <w:b/>
          <w:color w:val="000000" w:themeColor="text1"/>
          <w:spacing w:val="-7"/>
        </w:rPr>
        <w:t xml:space="preserve"> </w:t>
      </w:r>
      <w:r>
        <w:rPr>
          <w:b/>
          <w:color w:val="000000" w:themeColor="text1"/>
        </w:rPr>
        <w:t>стратегічної</w:t>
      </w:r>
      <w:r>
        <w:rPr>
          <w:b/>
          <w:color w:val="000000" w:themeColor="text1"/>
          <w:spacing w:val="-6"/>
        </w:rPr>
        <w:t xml:space="preserve"> </w:t>
      </w:r>
      <w:r>
        <w:rPr>
          <w:b/>
          <w:color w:val="000000" w:themeColor="text1"/>
        </w:rPr>
        <w:t>взаємодії</w:t>
      </w:r>
      <w:r>
        <w:rPr>
          <w:b/>
          <w:color w:val="000000" w:themeColor="text1"/>
          <w:spacing w:val="-6"/>
        </w:rPr>
        <w:t xml:space="preserve"> </w:t>
      </w:r>
      <w:r>
        <w:rPr>
          <w:b/>
          <w:color w:val="000000" w:themeColor="text1"/>
        </w:rPr>
        <w:t>учасників</w:t>
      </w:r>
      <w:r>
        <w:rPr>
          <w:b/>
          <w:color w:val="000000" w:themeColor="text1"/>
          <w:spacing w:val="-8"/>
        </w:rPr>
        <w:t xml:space="preserve"> </w:t>
      </w:r>
      <w:r>
        <w:rPr>
          <w:b/>
          <w:color w:val="000000" w:themeColor="text1"/>
        </w:rPr>
        <w:t>подієвого</w:t>
      </w:r>
      <w:r>
        <w:rPr>
          <w:b/>
          <w:color w:val="000000" w:themeColor="text1"/>
          <w:spacing w:val="-5"/>
        </w:rPr>
        <w:t xml:space="preserve"> </w:t>
      </w:r>
      <w:r>
        <w:rPr>
          <w:b/>
          <w:color w:val="000000" w:themeColor="text1"/>
          <w:spacing w:val="-2"/>
        </w:rPr>
        <w:t>туризму</w:t>
      </w:r>
      <w:r>
        <w:rPr>
          <w:color w:val="000000" w:themeColor="text1"/>
          <w:spacing w:val="-2"/>
        </w:rPr>
        <w:t xml:space="preserve"> </w:t>
      </w:r>
      <w:r>
        <w:rPr>
          <w:color w:val="000000" w:themeColor="text1"/>
          <w:lang w:val="ru-RU"/>
        </w:rPr>
        <w:t>[4]</w:t>
      </w:r>
    </w:p>
    <w:tbl>
      <w:tblPr>
        <w:tblStyle w:val="aff3"/>
        <w:tblW w:w="9923" w:type="dxa"/>
        <w:tblInd w:w="137" w:type="dxa"/>
        <w:tblLayout w:type="fixed"/>
        <w:tblLook w:val="04A0" w:firstRow="1" w:lastRow="0" w:firstColumn="1" w:lastColumn="0" w:noHBand="0" w:noVBand="1"/>
      </w:tblPr>
      <w:tblGrid>
        <w:gridCol w:w="2268"/>
        <w:gridCol w:w="7655"/>
      </w:tblGrid>
      <w:tr w:rsidR="001D0C14">
        <w:tc>
          <w:tcPr>
            <w:tcW w:w="2268"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Учасник подієвого туризму</w:t>
            </w:r>
          </w:p>
        </w:tc>
        <w:tc>
          <w:tcPr>
            <w:tcW w:w="7654"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Роль та функції</w:t>
            </w:r>
          </w:p>
        </w:tc>
      </w:tr>
      <w:tr w:rsidR="001D0C14" w:rsidRPr="005B551B">
        <w:tc>
          <w:tcPr>
            <w:tcW w:w="226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Організатори подій</w:t>
            </w:r>
          </w:p>
        </w:tc>
        <w:tc>
          <w:tcPr>
            <w:tcW w:w="765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Планування та проведення подій, враховуючи побажання та очікування усіх учасників.</w:t>
            </w:r>
          </w:p>
        </w:tc>
      </w:tr>
      <w:tr w:rsidR="001D0C14" w:rsidRPr="005B551B">
        <w:tc>
          <w:tcPr>
            <w:tcW w:w="226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Місцеві владні органи</w:t>
            </w:r>
          </w:p>
        </w:tc>
        <w:tc>
          <w:tcPr>
            <w:tcW w:w="765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Забезпечення підтримки та ресурсів для проведення подій, забезпечення безпеки та легального оформлення заходів.</w:t>
            </w:r>
          </w:p>
        </w:tc>
      </w:tr>
      <w:tr w:rsidR="001D0C14" w:rsidRPr="005B551B">
        <w:tc>
          <w:tcPr>
            <w:tcW w:w="226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Місцеві громади та жителі</w:t>
            </w:r>
          </w:p>
        </w:tc>
        <w:tc>
          <w:tcPr>
            <w:tcW w:w="765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Важливість їхніх інтересів та думок для успішної організації подій, оскільки вони можуть бути прямими учасниками або впливати на атмосферу та сприйняття заходу.</w:t>
            </w:r>
          </w:p>
        </w:tc>
      </w:tr>
      <w:tr w:rsidR="001D0C14" w:rsidRPr="005B551B">
        <w:tc>
          <w:tcPr>
            <w:tcW w:w="226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Бізнес-сектор</w:t>
            </w:r>
          </w:p>
        </w:tc>
        <w:tc>
          <w:tcPr>
            <w:tcW w:w="765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Участь у спонсорстві подій, надання послуг або продаж товарів під час заходів.</w:t>
            </w:r>
          </w:p>
        </w:tc>
      </w:tr>
      <w:tr w:rsidR="001D0C14" w:rsidRPr="005B551B">
        <w:tc>
          <w:tcPr>
            <w:tcW w:w="226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Туристи та відвідувачі</w:t>
            </w:r>
          </w:p>
        </w:tc>
        <w:tc>
          <w:tcPr>
            <w:tcW w:w="765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Врахування їхніх потреб та очікувань стосовно розваг, комфорту та безпеки для створення задоволеного досвіду.</w:t>
            </w:r>
          </w:p>
        </w:tc>
      </w:tr>
      <w:tr w:rsidR="001D0C14" w:rsidRPr="005B551B">
        <w:tc>
          <w:tcPr>
            <w:tcW w:w="226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Медіа</w:t>
            </w:r>
          </w:p>
        </w:tc>
        <w:tc>
          <w:tcPr>
            <w:tcW w:w="765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Роль у просуванні та рекламі подій, формуванні позитивного образу події та місця її проведення.</w:t>
            </w:r>
          </w:p>
        </w:tc>
      </w:tr>
    </w:tbl>
    <w:p w:rsidR="001D0C14" w:rsidRDefault="001D0C14">
      <w:pPr>
        <w:pStyle w:val="af4"/>
        <w:spacing w:line="360" w:lineRule="auto"/>
        <w:ind w:left="0" w:firstLine="709"/>
        <w:rPr>
          <w:color w:val="FF0000"/>
          <w:sz w:val="14"/>
        </w:rPr>
      </w:pPr>
    </w:p>
    <w:p w:rsidR="001D0C14" w:rsidRDefault="00E16C6E">
      <w:pPr>
        <w:pStyle w:val="af4"/>
        <w:spacing w:line="360" w:lineRule="auto"/>
        <w:ind w:left="0" w:firstLine="709"/>
        <w:rPr>
          <w:color w:val="000000" w:themeColor="text1"/>
        </w:rPr>
      </w:pPr>
      <w:r>
        <w:rPr>
          <w:color w:val="000000" w:themeColor="text1"/>
        </w:rPr>
        <w:lastRenderedPageBreak/>
        <w:t>Робота з учасниками в процесі стратегічного планування подієвого туризму є ключовою для успіху. Кожен учасник має свої власні інтереси та ролі, і їх взаємодія визначає напрямок розвитку подій.</w:t>
      </w:r>
    </w:p>
    <w:p w:rsidR="001D0C14" w:rsidRDefault="00E16C6E">
      <w:pPr>
        <w:pStyle w:val="af4"/>
        <w:spacing w:line="360" w:lineRule="auto"/>
        <w:ind w:left="0" w:firstLine="709"/>
        <w:rPr>
          <w:color w:val="000000" w:themeColor="text1"/>
        </w:rPr>
      </w:pPr>
      <w:r>
        <w:rPr>
          <w:color w:val="000000" w:themeColor="text1"/>
        </w:rPr>
        <w:t>Урядові структури можуть виступати як інвестори, сприяючи економічному зростанню та покращенню іміджу місць, що організовують події, тоді як приватний сектор може бути спонсором та інвестором.</w:t>
      </w:r>
    </w:p>
    <w:p w:rsidR="001D0C14" w:rsidRDefault="00E16C6E">
      <w:pPr>
        <w:pStyle w:val="af4"/>
        <w:spacing w:line="360" w:lineRule="auto"/>
        <w:ind w:left="0" w:firstLine="709"/>
        <w:rPr>
          <w:color w:val="000000" w:themeColor="text1"/>
        </w:rPr>
      </w:pPr>
      <w:r>
        <w:rPr>
          <w:color w:val="000000" w:themeColor="text1"/>
        </w:rPr>
        <w:t>Створення мережі між різними учасниками, або «нетворкінг», є важливим елементом успішного стратегічного планування. Це дозволяє ефективно обмінюватися інформацією та вирішувати проблеми, сприяючи досягненню консенсусу між різними сторонами. Успішне спілкування в цьому контексті ґрунтується на довірі, владі і спілкуванні. Довіра відображає впевненість у процесах та особах, влада полягає в умінні діяти залежно від функцій та ролей, а спілкування забезпечує передачу і обмін інформацією між учасниками</w:t>
      </w:r>
    </w:p>
    <w:p w:rsidR="001D0C14" w:rsidRDefault="00E16C6E">
      <w:pPr>
        <w:pStyle w:val="af4"/>
        <w:spacing w:line="360" w:lineRule="auto"/>
        <w:ind w:left="0" w:firstLine="709"/>
        <w:rPr>
          <w:color w:val="000000" w:themeColor="text1"/>
        </w:rPr>
      </w:pPr>
      <w:r>
        <w:rPr>
          <w:color w:val="000000" w:themeColor="text1"/>
        </w:rPr>
        <w:t>У зарубіжній практиці використовуються три основні моделі стратегічного розвитку подієвого туризму на рівні дестинації: корпоративна ринкова модель, громадська і синергетична модель (табл. 1.3)</w:t>
      </w:r>
    </w:p>
    <w:p w:rsidR="001D0C14" w:rsidRDefault="001D0C14">
      <w:pPr>
        <w:pStyle w:val="af4"/>
        <w:spacing w:line="360" w:lineRule="auto"/>
        <w:ind w:left="0" w:firstLine="709"/>
        <w:rPr>
          <w:color w:val="000000" w:themeColor="text1"/>
          <w:lang w:val="ru-RU"/>
        </w:rPr>
      </w:pPr>
    </w:p>
    <w:p w:rsidR="001D0C14" w:rsidRDefault="00E16C6E">
      <w:pPr>
        <w:pStyle w:val="af4"/>
        <w:spacing w:line="360" w:lineRule="auto"/>
        <w:ind w:left="0" w:firstLine="709"/>
        <w:rPr>
          <w:b/>
          <w:color w:val="000000" w:themeColor="text1"/>
        </w:rPr>
      </w:pPr>
      <w:r>
        <w:rPr>
          <w:color w:val="000000" w:themeColor="text1"/>
          <w:lang w:val="ru-RU"/>
        </w:rPr>
        <w:t xml:space="preserve">Таблиця 1.4 - </w:t>
      </w:r>
      <w:r>
        <w:rPr>
          <w:b/>
          <w:bCs/>
          <w:color w:val="000000" w:themeColor="text1"/>
          <w:lang w:val="ru-RU"/>
        </w:rPr>
        <w:t>Моделі стратегічного розвитку подієвого туризму</w:t>
      </w:r>
      <w:r>
        <w:rPr>
          <w:b/>
          <w:color w:val="000000" w:themeColor="text1"/>
          <w:lang w:val="ru-RU"/>
        </w:rPr>
        <w:t xml:space="preserve"> (</w:t>
      </w:r>
      <w:r>
        <w:rPr>
          <w:b/>
          <w:color w:val="000000" w:themeColor="text1"/>
        </w:rPr>
        <w:t>складено автором)</w:t>
      </w:r>
    </w:p>
    <w:tbl>
      <w:tblPr>
        <w:tblStyle w:val="aff3"/>
        <w:tblW w:w="10057" w:type="dxa"/>
        <w:tblLayout w:type="fixed"/>
        <w:tblLook w:val="04A0" w:firstRow="1" w:lastRow="0" w:firstColumn="1" w:lastColumn="0" w:noHBand="0" w:noVBand="1"/>
      </w:tblPr>
      <w:tblGrid>
        <w:gridCol w:w="2054"/>
        <w:gridCol w:w="2925"/>
        <w:gridCol w:w="2985"/>
        <w:gridCol w:w="2093"/>
      </w:tblGrid>
      <w:tr w:rsidR="001D0C14">
        <w:tc>
          <w:tcPr>
            <w:tcW w:w="2053"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Модель</w:t>
            </w:r>
          </w:p>
        </w:tc>
        <w:tc>
          <w:tcPr>
            <w:tcW w:w="2925"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Корпоративна або ринкова</w:t>
            </w:r>
          </w:p>
        </w:tc>
        <w:tc>
          <w:tcPr>
            <w:tcW w:w="2985"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Синергетична</w:t>
            </w:r>
          </w:p>
        </w:tc>
        <w:tc>
          <w:tcPr>
            <w:tcW w:w="2093"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Громадська</w:t>
            </w:r>
          </w:p>
        </w:tc>
      </w:tr>
      <w:tr w:rsidR="001D0C14" w:rsidRPr="005B551B">
        <w:tc>
          <w:tcPr>
            <w:tcW w:w="205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Фокус</w:t>
            </w:r>
          </w:p>
        </w:tc>
        <w:tc>
          <w:tcPr>
            <w:tcW w:w="292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Цінові пропозиції на події, маркетингові стратегії подієвого туризму</w:t>
            </w:r>
          </w:p>
        </w:tc>
        <w:tc>
          <w:tcPr>
            <w:tcW w:w="2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Інтегровані стратегії для існуючих та нових подій з високим туристичним потенціалом</w:t>
            </w:r>
          </w:p>
        </w:tc>
        <w:tc>
          <w:tcPr>
            <w:tcW w:w="20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Стратегії, що враховують вплив соціального, культурного та навколишнього середовища</w:t>
            </w:r>
          </w:p>
        </w:tc>
      </w:tr>
      <w:tr w:rsidR="001D0C14" w:rsidRPr="005B551B">
        <w:tc>
          <w:tcPr>
            <w:tcW w:w="205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Організаційний підхід</w:t>
            </w:r>
          </w:p>
        </w:tc>
        <w:tc>
          <w:tcPr>
            <w:tcW w:w="292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Корпоративна модель з одним або двома суб</w:t>
            </w:r>
            <w:r>
              <w:rPr>
                <w:rFonts w:ascii="Times New Roman" w:eastAsia="Times New Roman" w:hAnsi="Times New Roman" w:cs="Times New Roman"/>
                <w:color w:val="000000" w:themeColor="text1"/>
                <w:sz w:val="24"/>
                <w:szCs w:val="24"/>
                <w:lang w:val="ru-RU" w:eastAsia="uk-UA"/>
              </w:rPr>
              <w:t>’</w:t>
            </w:r>
            <w:r>
              <w:rPr>
                <w:rFonts w:ascii="Times New Roman" w:eastAsia="Times New Roman" w:hAnsi="Times New Roman" w:cs="Times New Roman"/>
                <w:color w:val="000000" w:themeColor="text1"/>
                <w:sz w:val="24"/>
                <w:szCs w:val="24"/>
                <w:lang w:val="uk-UA" w:eastAsia="uk-UA"/>
              </w:rPr>
              <w:t>єктами, які контролюють стратегічні процеси. Обмежений внесок суспільства в стратегічні процеси</w:t>
            </w:r>
          </w:p>
        </w:tc>
        <w:tc>
          <w:tcPr>
            <w:tcW w:w="2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Державні агентства відіграють ключову роль. Поєднання співпраці, координації та кооперації для вирішення проблем.</w:t>
            </w:r>
          </w:p>
        </w:tc>
        <w:tc>
          <w:tcPr>
            <w:tcW w:w="20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Громадська модель. Співпраця та партнерство для досягнення консенсусу у виборі стратегій.</w:t>
            </w:r>
          </w:p>
        </w:tc>
      </w:tr>
      <w:tr w:rsidR="001D0C14" w:rsidRPr="005B551B">
        <w:tc>
          <w:tcPr>
            <w:tcW w:w="205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Критерії прийняття рішень</w:t>
            </w:r>
          </w:p>
        </w:tc>
        <w:tc>
          <w:tcPr>
            <w:tcW w:w="292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 xml:space="preserve">Ринкові орієнтири. Портфелі подій базуються на ринковій привабливості, </w:t>
            </w:r>
            <w:r>
              <w:rPr>
                <w:rFonts w:ascii="Times New Roman" w:eastAsia="Times New Roman" w:hAnsi="Times New Roman" w:cs="Times New Roman"/>
                <w:color w:val="000000" w:themeColor="text1"/>
                <w:sz w:val="24"/>
                <w:szCs w:val="24"/>
                <w:lang w:val="uk-UA" w:eastAsia="uk-UA"/>
              </w:rPr>
              <w:lastRenderedPageBreak/>
              <w:t>ринковому рості та ресурсах.</w:t>
            </w:r>
          </w:p>
        </w:tc>
        <w:tc>
          <w:tcPr>
            <w:tcW w:w="2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lastRenderedPageBreak/>
              <w:t xml:space="preserve">Ринкові та ресурсні орієнтири. Використання комплексної портфельної моделі, заснованої на </w:t>
            </w:r>
            <w:r>
              <w:rPr>
                <w:rFonts w:ascii="Times New Roman" w:eastAsia="Times New Roman" w:hAnsi="Times New Roman" w:cs="Times New Roman"/>
                <w:color w:val="000000" w:themeColor="text1"/>
                <w:sz w:val="24"/>
                <w:szCs w:val="24"/>
                <w:lang w:val="uk-UA" w:eastAsia="uk-UA"/>
              </w:rPr>
              <w:lastRenderedPageBreak/>
              <w:t>економічних, соціальних, культурних та екологічних умовах.</w:t>
            </w:r>
          </w:p>
        </w:tc>
        <w:tc>
          <w:tcPr>
            <w:tcW w:w="20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lastRenderedPageBreak/>
              <w:t xml:space="preserve">Орієнтир на дестинацію або ресурсні орієнтири. </w:t>
            </w:r>
            <w:r>
              <w:rPr>
                <w:rFonts w:ascii="Times New Roman" w:eastAsia="Times New Roman" w:hAnsi="Times New Roman" w:cs="Times New Roman"/>
                <w:color w:val="000000" w:themeColor="text1"/>
                <w:sz w:val="24"/>
                <w:szCs w:val="24"/>
                <w:lang w:val="uk-UA" w:eastAsia="uk-UA"/>
              </w:rPr>
              <w:lastRenderedPageBreak/>
              <w:t>Акцент на соціальні, культурні та критерії навколишнього середовища.</w:t>
            </w:r>
          </w:p>
        </w:tc>
      </w:tr>
      <w:tr w:rsidR="001D0C14" w:rsidRPr="005B551B">
        <w:tc>
          <w:tcPr>
            <w:tcW w:w="205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lastRenderedPageBreak/>
              <w:t>Визначення часу впливу зацікавлених осіб</w:t>
            </w:r>
          </w:p>
        </w:tc>
        <w:tc>
          <w:tcPr>
            <w:tcW w:w="292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Вузьке коло учасників визначає час впливу на стратегічний процес.</w:t>
            </w:r>
          </w:p>
        </w:tc>
        <w:tc>
          <w:tcPr>
            <w:tcW w:w="2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Залежно від інтересів учасників.</w:t>
            </w:r>
          </w:p>
        </w:tc>
        <w:tc>
          <w:tcPr>
            <w:tcW w:w="20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Максимальне залучення учасників та постійні консультації з напрямками подієвого туризму.</w:t>
            </w:r>
          </w:p>
        </w:tc>
      </w:tr>
    </w:tbl>
    <w:p w:rsidR="001D0C14" w:rsidRDefault="001D0C14">
      <w:pPr>
        <w:pStyle w:val="af4"/>
        <w:spacing w:line="360" w:lineRule="auto"/>
        <w:ind w:left="0"/>
        <w:jc w:val="left"/>
        <w:rPr>
          <w:color w:val="FF0000"/>
          <w:sz w:val="10"/>
        </w:rPr>
      </w:pPr>
    </w:p>
    <w:p w:rsidR="001D0C14" w:rsidRDefault="001D0C14">
      <w:pPr>
        <w:pStyle w:val="af4"/>
        <w:spacing w:line="360" w:lineRule="auto"/>
        <w:ind w:left="0" w:firstLine="709"/>
        <w:rPr>
          <w:color w:val="000000" w:themeColor="text1"/>
        </w:rPr>
      </w:pPr>
    </w:p>
    <w:p w:rsidR="001D0C14" w:rsidRDefault="00E16C6E">
      <w:pPr>
        <w:pStyle w:val="af4"/>
        <w:spacing w:line="360" w:lineRule="auto"/>
        <w:ind w:left="0" w:firstLine="709"/>
        <w:rPr>
          <w:color w:val="000000" w:themeColor="text1"/>
          <w:lang w:val="ru-RU"/>
        </w:rPr>
      </w:pPr>
      <w:r>
        <w:rPr>
          <w:color w:val="000000" w:themeColor="text1"/>
          <w:lang w:val="ru-RU"/>
        </w:rPr>
        <w:t>Ринкова модель подієвого туризму базується на маркетингових стратегіях, економічному впливі та стратегічних маркетингових зусиллях. Організаційний підхід цієї моделі передбачає, що кілька суб’єктів відіграють ключову роль у підтримці життєвого циклу подій, максимізують їхній туристичний потенціал та оцінюють їх з економічних і ринкових позицій. Вибір подій здійснюється на основі їхньої ринкової привабливості, потенціалу зростання та наявності ресурсів. Плани та програми проведення заходів розробляються управлінськими органами, приватним сектором та менеджерами подій, а втручання інших учасників у стратегічне планування відбувається лише у випадках нагальної необхідності. Дослідження ринку подієвого туризму спрямовані на аналіз попиту, фінансових та операційних можливостей пропозиції та економічної ефективності подій.</w:t>
      </w:r>
    </w:p>
    <w:p w:rsidR="001D0C14" w:rsidRDefault="00E16C6E">
      <w:pPr>
        <w:pStyle w:val="af4"/>
        <w:spacing w:line="360" w:lineRule="auto"/>
        <w:ind w:left="0" w:firstLine="709"/>
        <w:rPr>
          <w:color w:val="000000" w:themeColor="text1"/>
        </w:rPr>
      </w:pPr>
      <w:r>
        <w:rPr>
          <w:color w:val="000000" w:themeColor="text1"/>
        </w:rPr>
        <w:t xml:space="preserve">Громадська модель подієвого туризму, орієнтована на дестинацію, протиставляється ринковій моделі і базується на активному залученні громадськості та культурних інституцій до стратегічного планування. Ця модель передбачає прийняття рішень через консенсус, досягнутий за допомогою круглих столів, обговорень та дискусій, що сприяють максимальному залученню місцевого населення. Вибір подій і їх проведення здійснюються відповідно до культурних, соціальних та екологічних критеріїв, надаючи їм пріоритет, тоді як економічні міркування займають другорядне місце. Стратегічні підходи в цій моделі формуються під впливом думок комерційних і некомерційних організацій, місцевих жителів, організаторів і державних органів. Проте ухвалені рішення оцінюються за їхнім </w:t>
      </w:r>
      <w:r>
        <w:rPr>
          <w:color w:val="000000" w:themeColor="text1"/>
        </w:rPr>
        <w:lastRenderedPageBreak/>
        <w:t>впливом, який заплановані події мають на громаду</w:t>
      </w:r>
      <w:r>
        <w:rPr>
          <w:color w:val="000000" w:themeColor="text1"/>
          <w:lang w:val="ru-RU"/>
        </w:rPr>
        <w:t xml:space="preserve"> [</w:t>
      </w:r>
      <w:r>
        <w:rPr>
          <w:color w:val="000000" w:themeColor="text1"/>
        </w:rPr>
        <w:t xml:space="preserve">10] </w:t>
      </w:r>
    </w:p>
    <w:p w:rsidR="001D0C14" w:rsidRDefault="00E16C6E">
      <w:pPr>
        <w:pStyle w:val="af4"/>
        <w:spacing w:line="360" w:lineRule="auto"/>
        <w:ind w:left="0" w:firstLine="709"/>
        <w:rPr>
          <w:color w:val="000000" w:themeColor="text1"/>
        </w:rPr>
      </w:pPr>
      <w:r>
        <w:rPr>
          <w:color w:val="000000" w:themeColor="text1"/>
        </w:rPr>
        <w:t>Синергетична модель подієвого туризму спрямована на об’єднання різних підходів, базуючись на інтегрованих стратегіях. Ця модель використовує комплексний підхід до портфельного аналізу, враховуючи як соціальні та культурні, так і економічні критерії. Вона передбачає співпрацю, координацію та кооперацію на всіх стратегічних етапах та формах залучення учасників. Різні форми співпраці між зацікавленими сторонами сприяють обміну інформацією та результатами досліджень, що допомагає створити ефективну стратегію подієвого туризму. Завдяки цьому поєднанню співпраці, кооперації та координації, стратегія враховує ресурсні можливості та ринкові орієнтири, забезпечуючи її ефективність [10].</w:t>
      </w:r>
    </w:p>
    <w:p w:rsidR="001D0C14" w:rsidRDefault="00E16C6E">
      <w:pPr>
        <w:pStyle w:val="af4"/>
        <w:spacing w:line="360" w:lineRule="auto"/>
        <w:ind w:left="0" w:firstLine="709"/>
        <w:rPr>
          <w:color w:val="000000" w:themeColor="text1"/>
        </w:rPr>
      </w:pPr>
      <w:r>
        <w:rPr>
          <w:color w:val="000000" w:themeColor="text1"/>
        </w:rPr>
        <w:t>Загалом, розвиток ринку подієвого туризму стимулюється кількома ключовими факторами:</w:t>
      </w:r>
    </w:p>
    <w:p w:rsidR="001D0C14" w:rsidRDefault="00E16C6E">
      <w:pPr>
        <w:pStyle w:val="af4"/>
        <w:numPr>
          <w:ilvl w:val="0"/>
          <w:numId w:val="6"/>
        </w:numPr>
        <w:spacing w:line="360" w:lineRule="auto"/>
        <w:ind w:left="0" w:firstLine="709"/>
        <w:rPr>
          <w:color w:val="000000" w:themeColor="text1"/>
        </w:rPr>
      </w:pPr>
      <w:r>
        <w:rPr>
          <w:color w:val="000000" w:themeColor="text1"/>
        </w:rPr>
        <w:t>Зменшенням попиту на групові поїздки та зростанням популярності індивідуального туризму.</w:t>
      </w:r>
    </w:p>
    <w:p w:rsidR="001D0C14" w:rsidRDefault="00E16C6E">
      <w:pPr>
        <w:pStyle w:val="af4"/>
        <w:numPr>
          <w:ilvl w:val="0"/>
          <w:numId w:val="6"/>
        </w:numPr>
        <w:spacing w:line="360" w:lineRule="auto"/>
        <w:ind w:left="0" w:firstLine="709"/>
        <w:rPr>
          <w:color w:val="000000" w:themeColor="text1"/>
        </w:rPr>
      </w:pPr>
      <w:r>
        <w:rPr>
          <w:color w:val="000000" w:themeColor="text1"/>
        </w:rPr>
        <w:t>Скороченням тривалості туроднів та збільшенням популярності турів на вихідні.</w:t>
      </w:r>
    </w:p>
    <w:p w:rsidR="001D0C14" w:rsidRDefault="00E16C6E">
      <w:pPr>
        <w:pStyle w:val="af4"/>
        <w:numPr>
          <w:ilvl w:val="0"/>
          <w:numId w:val="6"/>
        </w:numPr>
        <w:spacing w:line="360" w:lineRule="auto"/>
        <w:ind w:left="0" w:firstLine="709"/>
        <w:rPr>
          <w:color w:val="000000" w:themeColor="text1"/>
        </w:rPr>
      </w:pPr>
      <w:r>
        <w:rPr>
          <w:color w:val="000000" w:themeColor="text1"/>
        </w:rPr>
        <w:t>Перевагою активних форм відпочинку над пасивними.</w:t>
      </w:r>
    </w:p>
    <w:p w:rsidR="001D0C14" w:rsidRDefault="00E16C6E">
      <w:pPr>
        <w:pStyle w:val="af4"/>
        <w:spacing w:line="360" w:lineRule="auto"/>
        <w:ind w:left="0" w:firstLine="709"/>
        <w:rPr>
          <w:color w:val="000000" w:themeColor="text1"/>
        </w:rPr>
      </w:pPr>
      <w:r>
        <w:rPr>
          <w:color w:val="000000" w:themeColor="text1"/>
        </w:rPr>
        <w:t>Отже, дослідження та аналіз міжнародного досвіду свідчать про те, що ринок подієвого туризму є одним із найдинамічніших сегментів туристичної індустрії. Продукти цього ринку є різноманітними та привабливими для широкого кола потенційних туристів, незалежно від їх віку, рівня доходу, фізичної підготовки та інших особистих характеристик.</w:t>
      </w:r>
    </w:p>
    <w:p w:rsidR="001D0C14" w:rsidRDefault="00E16C6E">
      <w:pPr>
        <w:pStyle w:val="af4"/>
        <w:spacing w:line="360" w:lineRule="auto"/>
        <w:ind w:left="0" w:firstLine="709"/>
        <w:rPr>
          <w:color w:val="000000" w:themeColor="text1"/>
        </w:rPr>
      </w:pPr>
      <w:r>
        <w:rPr>
          <w:color w:val="000000" w:themeColor="text1"/>
        </w:rPr>
        <w:t>Успіх розвитку подієвого туризму залежить від стратегічного підходу, а ефективність стратегій – від добре налагодженої організаційної структури. Подальші дослідження мають зосереджуватися на пошуку та обґрунтуванні ефективних форм взаємодії різних суб’єктів ринку для створення привабливих туристичних продуктів, які враховують специфіку та потенціал дестинацій, попит і очікування споживачів.</w:t>
      </w:r>
    </w:p>
    <w:p w:rsidR="001D0C14" w:rsidRDefault="00E16C6E">
      <w:pPr>
        <w:pStyle w:val="af4"/>
        <w:spacing w:line="360" w:lineRule="auto"/>
        <w:ind w:left="0" w:firstLine="709"/>
        <w:rPr>
          <w:color w:val="000000" w:themeColor="text1"/>
        </w:rPr>
      </w:pPr>
      <w:r>
        <w:rPr>
          <w:color w:val="000000" w:themeColor="text1"/>
        </w:rPr>
        <w:t xml:space="preserve">Міжнародний досвід підтверджує, що якісно організовані та публічно оголошені події подієвого туризму можуть стати важливою частиною рекламної або PR-кампанії міста, регіону чи країни загалом. На сьогодні актуальними залишаються </w:t>
      </w:r>
      <w:r>
        <w:rPr>
          <w:color w:val="000000" w:themeColor="text1"/>
        </w:rPr>
        <w:lastRenderedPageBreak/>
        <w:t>різноманітні «карнавальні» тури, гастрономічні та музичні фестивалі, ділові форуми та виставки, тематичні заходи (наприклад, фестивалі татуювань, метеликів, повітроплавання тощо), презентації, фестивалі реконструкції та мистецтва тощо. Всі ці події об’єднує спільна мета – задоволення потреб людей у нових яскравих емоціях та враженнях, можливість стати частиною події та міста-організатора, а також формування позитивного іміджу території.</w:t>
      </w:r>
    </w:p>
    <w:p w:rsidR="001D0C14" w:rsidRDefault="001D0C14">
      <w:pPr>
        <w:spacing w:after="0" w:line="360" w:lineRule="auto"/>
        <w:ind w:firstLine="709"/>
        <w:rPr>
          <w:rFonts w:ascii="Times New Roman" w:hAnsi="Times New Roman" w:cs="Times New Roman"/>
          <w:b/>
          <w:color w:val="000000" w:themeColor="text1"/>
          <w:sz w:val="28"/>
          <w:lang w:val="uk-UA"/>
        </w:rPr>
      </w:pP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lang w:val="uk-UA"/>
        </w:rPr>
        <w:t>1.3. Фестиваль як драйвер розвитку культурного туризму в Україні</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Фестивалі є важливим елементом розвитку культурного туризму, особливо в контексті країн з різноманітною культурною спадщиною, таких як Україна. Вони відіграють ключову роль у привертанні уваги не лише місцевого населення, але й туристів з різних країн, сприяючи культурному обміну, економічному зростанню та підвищенню міжнародної відомості про Україну.</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Фестивалі в Україні охоплюють широкий спектр культурних подій, від музичних і кінофестивалів до літературних зустрічей та гастрономічних свят. Вони стають платформою для представлення місцевої мистецької та культурної спадщини, історії, кулінарії та народних ремесел, сприяючи відродженню національної самосвідомості та збереженню культурної спадщини.</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Організація фестивалів вимагає значних зусиль та планування, починаючи від вибору локації до логістики, реклами, залучення спонсорів та волонтерів. Привабливість фестивалю залежить від його можливості пропонувати унікальний та незабутній досвід, враховуючи культурні особливості та сучасні тренди.</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Фестивалі є важливим елементом у стратегії розвитку культурного туризму, оскільки вони стимулюють економічний розвиток через залучення туристів, сприяючи розвитку місцевих підприємств та послуг. Крім того, вони сприяють створенню позитивного іміджу міста або регіону, залучаючи увагу національних та міжнародних ЗМІ.</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Фестивалі активізують участь молоді у культурному житті країни, створюючи інтерактивні та інноваційні простори для їхнього креативного розвитку та самовираження. Шляхом організації воркшопів, дискусійних панелей та творчих </w:t>
      </w:r>
      <w:r>
        <w:rPr>
          <w:rFonts w:ascii="Times New Roman" w:hAnsi="Times New Roman" w:cs="Times New Roman"/>
          <w:color w:val="000000" w:themeColor="text1"/>
          <w:sz w:val="28"/>
          <w:szCs w:val="28"/>
          <w:lang w:val="uk-UA"/>
        </w:rPr>
        <w:lastRenderedPageBreak/>
        <w:t>лабораторій фестивалі відіграють роль інкубаторів для молодих талантів, стимулюючи їхній креативний потенціал та розкриваючи нові можливості для самореалізації.</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Культурна спадщина та культурний туризм включають в себе пошук нових знань та досвіду у сфері історії та культури, який може мати як матеріальну, так і нематеріальну форму. Це охоплює відвідування пам</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яток, музеїв, історичних місць, а також участь у стародавніх обрядах, музичних виставах та інших культурних заходах. Фестивалі та культурні події є важливими складовими культурного туризму, оскільки вони пропонують туристам можливість відкрити для себе різноманітні аспекти культури та традицій різних народів.</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Сучасна Україна переживає зростання популярності фестивалів у всіх їхніх формах і розмірах. Ці події відіграють значну роль у підвищенні міжнародного іміджу країни. Організація фестивалів вимагає значних фінансових та часових зусиль, тому вони зазвичай проводяться рідко – раз або навіть двічі на рік. Організатори фестивалів активно залучають спонсорів, як місцевих, так і з-за кордону.</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Участь у фестивалях також привертає велику кількість туристів, які мотивовані подіями культурного життя та унікальними природними явищами міста. Найпопулярніші категорії фестивалів представлено у табл.1.5.:</w:t>
      </w:r>
    </w:p>
    <w:p w:rsidR="001D0C14" w:rsidRDefault="001D0C14">
      <w:pPr>
        <w:spacing w:after="0" w:line="360" w:lineRule="auto"/>
        <w:ind w:firstLine="709"/>
        <w:rPr>
          <w:rFonts w:ascii="Times New Roman" w:hAnsi="Times New Roman" w:cs="Times New Roman"/>
          <w:color w:val="000000" w:themeColor="text1"/>
          <w:sz w:val="28"/>
          <w:szCs w:val="28"/>
          <w:lang w:val="uk-UA"/>
        </w:rPr>
      </w:pP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Таблиця 1.5. </w:t>
      </w:r>
      <w:r>
        <w:rPr>
          <w:rFonts w:ascii="Times New Roman" w:hAnsi="Times New Roman" w:cs="Times New Roman"/>
          <w:b/>
          <w:color w:val="000000" w:themeColor="text1"/>
          <w:sz w:val="28"/>
          <w:szCs w:val="28"/>
          <w:lang w:val="uk-UA"/>
        </w:rPr>
        <w:t xml:space="preserve">Категорії фестивалів в Україні </w:t>
      </w:r>
      <w:r>
        <w:rPr>
          <w:rFonts w:ascii="Times New Roman" w:hAnsi="Times New Roman" w:cs="Times New Roman"/>
          <w:color w:val="000000" w:themeColor="text1"/>
          <w:sz w:val="28"/>
          <w:szCs w:val="24"/>
          <w:lang w:val="uk-UA"/>
        </w:rPr>
        <w:t>[</w:t>
      </w:r>
      <w:r>
        <w:rPr>
          <w:rFonts w:ascii="Times New Roman" w:hAnsi="Times New Roman" w:cs="Times New Roman"/>
          <w:color w:val="000000" w:themeColor="text1"/>
          <w:sz w:val="28"/>
          <w:szCs w:val="24"/>
          <w:lang w:val="ru-RU"/>
        </w:rPr>
        <w:t>28</w:t>
      </w:r>
      <w:r>
        <w:rPr>
          <w:rFonts w:ascii="Times New Roman" w:hAnsi="Times New Roman" w:cs="Times New Roman"/>
          <w:color w:val="000000" w:themeColor="text1"/>
          <w:sz w:val="28"/>
          <w:szCs w:val="24"/>
          <w:lang w:val="uk-UA"/>
        </w:rPr>
        <w:t>]</w:t>
      </w:r>
    </w:p>
    <w:tbl>
      <w:tblPr>
        <w:tblStyle w:val="aff3"/>
        <w:tblW w:w="10340" w:type="dxa"/>
        <w:tblLayout w:type="fixed"/>
        <w:tblLook w:val="04A0" w:firstRow="1" w:lastRow="0" w:firstColumn="1" w:lastColumn="0" w:noHBand="0" w:noVBand="1"/>
      </w:tblPr>
      <w:tblGrid>
        <w:gridCol w:w="1991"/>
        <w:gridCol w:w="8349"/>
      </w:tblGrid>
      <w:tr w:rsidR="001D0C14">
        <w:tc>
          <w:tcPr>
            <w:tcW w:w="1991"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Види фестивалів</w:t>
            </w:r>
          </w:p>
        </w:tc>
        <w:tc>
          <w:tcPr>
            <w:tcW w:w="8348"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Опис</w:t>
            </w:r>
          </w:p>
        </w:tc>
      </w:tr>
      <w:tr w:rsidR="001D0C14" w:rsidRPr="005B551B">
        <w:tc>
          <w:tcPr>
            <w:tcW w:w="1991"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Етнофестивалі</w:t>
            </w:r>
          </w:p>
        </w:tc>
        <w:tc>
          <w:tcPr>
            <w:tcW w:w="834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Ці заходи включають музичну програму з етнічного напряму, різноманітні ігри, майстер-класи, літературні читання, ярмарки та інші події. Найвідоміші українські етнофестивалі включають у себе Країну мрій, Шешори, Етновир та інші.</w:t>
            </w:r>
          </w:p>
        </w:tc>
      </w:tr>
      <w:tr w:rsidR="001D0C14" w:rsidRPr="005B551B">
        <w:tc>
          <w:tcPr>
            <w:tcW w:w="1991"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Гастрономічні</w:t>
            </w:r>
          </w:p>
        </w:tc>
        <w:tc>
          <w:tcPr>
            <w:tcW w:w="834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Фестивалі, де проводиться приготування та дегустація страв національної кухні та кухонь різних народів світу. Особливо популярні на заході України, де майже щомісяця проводяться гастрономічні фестивалі окремих страв з безкоштовними дегустаціями та кулінарними майстер-класами.</w:t>
            </w:r>
          </w:p>
        </w:tc>
      </w:tr>
      <w:tr w:rsidR="001D0C14" w:rsidRPr="005B551B">
        <w:tc>
          <w:tcPr>
            <w:tcW w:w="1991"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Фестивалі історичної реконструкції</w:t>
            </w:r>
          </w:p>
        </w:tc>
        <w:tc>
          <w:tcPr>
            <w:tcW w:w="8348"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uk-UA"/>
              </w:rPr>
              <w:t xml:space="preserve">Ці події приурочені до свят або річниць важливих історичних подій, які відтворюються за допомогою рольової гри. Вони включають різні змагання та конкурси, такі як фехтування, стрільба з лука чи арбалета, масові бої, конкурс на найбільш автентичний одяг. </w:t>
            </w:r>
            <w:r>
              <w:rPr>
                <w:rFonts w:ascii="Times New Roman" w:hAnsi="Times New Roman" w:cs="Times New Roman"/>
                <w:sz w:val="24"/>
                <w:lang w:val="ru-RU"/>
              </w:rPr>
              <w:t>Найвідоміші фестивалі-реконструкції в Україні включають у себе «Битву націй» на території Хотинської фортеці, «Стародавній Меджибіж», «Терра героїка» на Хмельниччині.</w:t>
            </w:r>
          </w:p>
        </w:tc>
      </w:tr>
    </w:tbl>
    <w:p w:rsidR="001D0C14" w:rsidRDefault="001D0C14">
      <w:pPr>
        <w:spacing w:after="0" w:line="360" w:lineRule="auto"/>
        <w:ind w:firstLine="709"/>
        <w:rPr>
          <w:rFonts w:ascii="Times New Roman" w:hAnsi="Times New Roman" w:cs="Times New Roman"/>
          <w:color w:val="000000" w:themeColor="text1"/>
          <w:sz w:val="28"/>
          <w:szCs w:val="24"/>
          <w:lang w:val="uk-UA"/>
        </w:rPr>
      </w:pP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Фестивальний рух в Україні відзначається використанням фольклорних традицій, що стає його визначною особливістю. Один з ілюстративних прикладів таких сучасних етнографічних заходів – міжнародні етнофестивалі «Трипільське коло» та «Країна мрій».</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Міжнародний етнографічний фестиваль «Трипільське коло» проводиться на пагорбах Дніпра недалеко від міста Ржищів в Київській області. Цей фестиваль має семирічний цикл, присвячений кожному з елементів природи – Воді, Землі, Повітрю та Вогню. Програма фестивалю включає культурно-пізнавальні, спортивно-розважальні та мистецькі заходи, такі як фестивальна толока, гончарне містечко, показ фільмів, міжнародна школа танцю, спортивні змагання, мистецькі виставки та концерти. Метою організаторів є підтримка інтересу до трипільської культури та пропозиція альтернативних форм відпочинку для різних соціальних груп.</w:t>
      </w:r>
    </w:p>
    <w:p w:rsidR="001D0C14" w:rsidRDefault="00E16C6E">
      <w:pPr>
        <w:spacing w:after="0" w:line="360" w:lineRule="auto"/>
        <w:ind w:firstLine="709"/>
        <w:rPr>
          <w:rFonts w:ascii="Times New Roman" w:hAnsi="Times New Roman" w:cs="Times New Roman"/>
          <w:color w:val="FF0000"/>
          <w:sz w:val="28"/>
          <w:szCs w:val="28"/>
          <w:lang w:val="uk-UA"/>
        </w:rPr>
      </w:pPr>
      <w:r>
        <w:rPr>
          <w:rFonts w:ascii="Times New Roman" w:hAnsi="Times New Roman" w:cs="Times New Roman"/>
          <w:color w:val="000000" w:themeColor="text1"/>
          <w:sz w:val="28"/>
          <w:szCs w:val="28"/>
          <w:lang w:val="uk-UA"/>
        </w:rPr>
        <w:t>Особливістю цього фестивалю є інтеграція різних мистецьких напрямків та створення атмосфери духовного та творчого розвитку.</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Фестиваль «Країна мрій» є міжнародним заходом етнічної музики, що проводиться на Співочому полі у Києві з 2004 року, зазвичай в кінці червня – на початку липня, під час народного свята Івана Купала. Цей захід, тривалість якого становить від 2 до 5 днів, представляє собою своєрідне народне свято-ярмарок. Крім музичних виступів на головній сцені, в програмі також включені ярмарок виробів народного мистецтва, книжковий ярмарок, майстер-класи з народних ремесел, виставка народного малярства, дитяча розвага, страви етнічної кухні, а також різноманітні майстер-класи з етнічних танців, співу, бойових мистецтв та інше. У фестивалі беруть участь гості з різних країн світу, включаючи Японію, Норвегію, Румунію, Литву та інші.</w:t>
      </w:r>
    </w:p>
    <w:p w:rsidR="001D0C14" w:rsidRDefault="00E16C6E">
      <w:pPr>
        <w:spacing w:after="0" w:line="360" w:lineRule="auto"/>
        <w:ind w:firstLine="709"/>
        <w:rPr>
          <w:rFonts w:ascii="Times New Roman" w:hAnsi="Times New Roman" w:cs="Times New Roman"/>
          <w:color w:val="000000" w:themeColor="text1"/>
          <w:sz w:val="28"/>
          <w:szCs w:val="24"/>
          <w:lang w:val="uk-UA"/>
        </w:rPr>
      </w:pPr>
      <w:r>
        <w:rPr>
          <w:rFonts w:ascii="Times New Roman" w:hAnsi="Times New Roman" w:cs="Times New Roman"/>
          <w:color w:val="000000" w:themeColor="text1"/>
          <w:sz w:val="28"/>
          <w:szCs w:val="28"/>
          <w:lang w:val="uk-UA"/>
        </w:rPr>
        <w:t>Крім того, фестиваль «Країна мрій» протягом року організовує ряд культурних заходів в Україні, таких як фестиваль «Рок-Січ», танцювальні вечірки в стилі «Етно-Диско», фестиваль героїчної пісні, вечір українського романсу, парад вишиванок, традиційні вечорниці та видавнича діяльність [13</w:t>
      </w:r>
      <w:r>
        <w:rPr>
          <w:rFonts w:ascii="Times New Roman" w:hAnsi="Times New Roman" w:cs="Times New Roman"/>
          <w:color w:val="000000" w:themeColor="text1"/>
          <w:sz w:val="28"/>
          <w:szCs w:val="24"/>
          <w:lang w:val="uk-UA"/>
        </w:rPr>
        <w:t>].</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Україні сьогодні проводиться значна кількість різноманітних гастрономічних фестивалів, де можна спробувати страви різних національних кухонь. Ці заходи з </w:t>
      </w:r>
      <w:r>
        <w:rPr>
          <w:rFonts w:ascii="Times New Roman" w:hAnsi="Times New Roman" w:cs="Times New Roman"/>
          <w:color w:val="000000" w:themeColor="text1"/>
          <w:sz w:val="28"/>
          <w:szCs w:val="28"/>
          <w:lang w:val="uk-UA"/>
        </w:rPr>
        <w:lastRenderedPageBreak/>
        <w:t>кожним роком стають все більш популярними і стали важливою складовою відпочинкової програми як для місцевого населення, так і для іноземних гостей. Національна українська кухня наразі цікавить як місцевих мешканців, так і іноземців.</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Один із найвизначніших фестивалів цього роду – «Гуцульська бринза», що щорічно проводиться у Рахові, Закарпатська область. Ця подія стала своєрідною візитівкою регіону та однією з найяскравіших подій культурно-мистецького життя. Фестиваль демонструє найкращі аспекти гуцульського життя: традиції, ремесла, культуру та гостинність.</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Крім того, щороку на початку весни у місті Берегово, Закарпатська область, відбувається фестиваль вина, де місто, що вже має статус винної столиці, презентує свої вироби. Також у Ужгороді проходить фестиваль вина та меду «Сонячний напій», де представлені виробники з різних регіонів України та з-за кордону. Обидва заходи відзначаються професійним оцінюванням напоїв та роботою дегустаційної комісії.</w:t>
      </w:r>
    </w:p>
    <w:p w:rsidR="001D0C14" w:rsidRDefault="00E16C6E">
      <w:pPr>
        <w:spacing w:after="0" w:line="360" w:lineRule="auto"/>
        <w:ind w:firstLine="709"/>
        <w:rPr>
          <w:rFonts w:ascii="Times New Roman" w:hAnsi="Times New Roman" w:cs="Times New Roman"/>
          <w:color w:val="FF0000"/>
          <w:sz w:val="18"/>
          <w:szCs w:val="28"/>
          <w:lang w:val="ru-RU"/>
        </w:rPr>
      </w:pPr>
      <w:r>
        <w:rPr>
          <w:rFonts w:ascii="Times New Roman" w:hAnsi="Times New Roman" w:cs="Times New Roman"/>
          <w:color w:val="000000" w:themeColor="text1"/>
          <w:sz w:val="28"/>
          <w:szCs w:val="28"/>
          <w:lang w:val="ru-RU"/>
        </w:rPr>
        <w:t>У додаток до вищезазначених заходів, в Україні також проводяться різноманітні гастрономічні фестивалі, що варто відзначити, такі як Міжнародний фестиваль дерунів у Коростені, Житомирська область, та фестиваль борщу «Борщ’їв» на Тернопільщині. Ці заходи не лише дозволяють гостям насолодитися стравами, а й надають можливість пізнати українську культуру та традиції через гастрономічні витвори та програми, що спрямовані на популяризацію місцевої кулінарії та культурних аспектів</w:t>
      </w:r>
      <w:r>
        <w:rPr>
          <w:rFonts w:ascii="Times New Roman" w:hAnsi="Times New Roman" w:cs="Times New Roman"/>
          <w:color w:val="000000" w:themeColor="text1"/>
          <w:sz w:val="28"/>
          <w:szCs w:val="28"/>
          <w:lang w:val="uk-UA"/>
        </w:rPr>
        <w:t xml:space="preserve"> [26]</w:t>
      </w:r>
      <w:r>
        <w:rPr>
          <w:rFonts w:ascii="Times New Roman" w:hAnsi="Times New Roman" w:cs="Times New Roman"/>
          <w:color w:val="000000" w:themeColor="text1"/>
          <w:sz w:val="28"/>
          <w:szCs w:val="28"/>
          <w:lang w:val="ru-RU"/>
        </w:rPr>
        <w:t>.</w:t>
      </w:r>
    </w:p>
    <w:p w:rsidR="001D0C14" w:rsidRDefault="00E16C6E">
      <w:pPr>
        <w:spacing w:after="0" w:line="360" w:lineRule="auto"/>
        <w:ind w:firstLine="709"/>
        <w:rPr>
          <w:rFonts w:ascii="Times New Roman" w:hAnsi="Times New Roman" w:cs="Times New Roman"/>
          <w:color w:val="FF0000"/>
          <w:sz w:val="28"/>
          <w:szCs w:val="28"/>
          <w:lang w:val="uk-UA"/>
        </w:rPr>
      </w:pPr>
      <w:r>
        <w:rPr>
          <w:rFonts w:ascii="Times New Roman" w:hAnsi="Times New Roman" w:cs="Times New Roman"/>
          <w:color w:val="000000" w:themeColor="text1"/>
          <w:sz w:val="28"/>
          <w:szCs w:val="28"/>
          <w:lang w:val="uk-UA"/>
        </w:rPr>
        <w:t xml:space="preserve">У Львові протягом року відбуваються різноманітні фестивалі, приурочені каві, шоколаду, сиру, вину, хлібу та пиву. Кожен із них характеризується власною унікальністю та оригінальністю. Львів, як місто, відійшов від традиційних форматів святкувань та впровадив новий підхід до культурних заходів, що виражається у реалізації різноманітних тематичних фестивалів. </w:t>
      </w:r>
      <w:r>
        <w:rPr>
          <w:rFonts w:ascii="Times New Roman" w:hAnsi="Times New Roman" w:cs="Times New Roman"/>
          <w:color w:val="000000" w:themeColor="text1"/>
          <w:sz w:val="28"/>
          <w:szCs w:val="28"/>
          <w:lang w:val="ru-RU"/>
        </w:rPr>
        <w:t>Ці фестивалі створюють багатобарвну програму, яка нараховує понад 50 різних подій протягом року</w:t>
      </w:r>
      <w:r>
        <w:rPr>
          <w:rFonts w:ascii="Times New Roman" w:hAnsi="Times New Roman" w:cs="Times New Roman"/>
          <w:color w:val="000000" w:themeColor="text1"/>
          <w:sz w:val="28"/>
          <w:szCs w:val="28"/>
          <w:lang w:val="uk-UA"/>
        </w:rPr>
        <w:t xml:space="preserve"> [15].</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Фестивалі історичної реконструкції в Україні є цікавими не лише для місцевих жителів, але й для іноземних гостей, оскільки історія України переплітається з історіями багатьох сусідніх країн.</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Проведення таких фестивалів на територіях середньовічних замків та фортець в Україні має свою історію. З 1991 року кількість цих заходів і їх якість постійно зростають. Одним з напрямів розвитку туристичної сфери є використання замків та фортець для організації різноманітних фестивалів, зокрема історичної реконструкції.</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Основні об’єкти фортифікаційної архітектури розташовані у регіонах Волині, Галичині, Закарпатті, Поділлі та Криму, з високою концентрацією в Тернопільській області. Стан збереження замків та фортець різноманітний. Найбільш популярні серед туристів об’єкти – це ті, що збереглися у найкращому стані та використовуються як історико-архітектурні комплекси чи музеї. Серед найвідоміших об’єктів можна відзначити замки та фортеці у Збаражі, Золочеві, Кам’янець-Подільському, Мукачеві, Луцьку, Олеську, Острозі, Хотині та інших містах. Ці об’єкти середньовічної оборонної архітектури є основою десяти історико-архітектурних заповідників в Україні [11].</w:t>
      </w:r>
    </w:p>
    <w:p w:rsidR="001D0C14" w:rsidRDefault="00E16C6E">
      <w:pPr>
        <w:spacing w:after="0" w:line="360" w:lineRule="auto"/>
        <w:ind w:firstLine="709"/>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Міжнародний досвід підтверджує високу ефективність використання замків та фортець різного ступеня збереженості для проведення культурних заходів. Україна, відзначаючи набуття незалежності, відзначилася проведенням різноманітних фестивалів, присвячених середньовічній культурі, військово-історичній реконструкції та історико-музичним заходам у середньовічних замках і фортецях. Такі заходи відбувалися на територіях замків і фортець у різних містах країни, включаючи Балаклаву, Білгород-Дністровський, Дубно, Збараж, Золочів, Кам’янець-Подільський, Кременець, Луцьк, Судак та інші. Серед найвідоміших подій можна відзначити міжнародний фестиваль історичного фехтування «Генуезький шолом» та «Рицарський замок», що проходять у Судаку на території Генуезької фортеці, фестиваль середньовічної культури «Меч Луцького замку» у Луцьку, фестиваль військово-історичної реконструкції «</w:t>
      </w:r>
      <w:r>
        <w:rPr>
          <w:rFonts w:ascii="Times New Roman" w:hAnsi="Times New Roman" w:cs="Times New Roman"/>
          <w:color w:val="000000" w:themeColor="text1"/>
          <w:sz w:val="28"/>
          <w:szCs w:val="28"/>
        </w:rPr>
        <w:t>Terra</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heroica</w:t>
      </w:r>
      <w:r>
        <w:rPr>
          <w:rFonts w:ascii="Times New Roman" w:hAnsi="Times New Roman" w:cs="Times New Roman"/>
          <w:color w:val="000000" w:themeColor="text1"/>
          <w:sz w:val="28"/>
          <w:szCs w:val="28"/>
          <w:lang w:val="ru-RU"/>
        </w:rPr>
        <w:t>» у Кам’янці-Подільському та фестиваль середньовічної культури «Тустань» у державному історико-культурному заповіднику «Тустань» у селі Урич, Львівська область.</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Інші відомі події включають історико-музичний фестиваль «Стародавній Меджибіж» у Меджибожі, а також музичні фестивалі «Фортеця» у Білгород-Дністровському та «Тарас Бульба» у Дубно.</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Аналіз проведення фестивалів у замках та фортецях України свідчить про те, що більшість цих заходів організовані саме на об’єктах оборонної архітектури, які знаходяться у хорошому стані збереження або були відновлені. Отже, ступінь збереженості цих споруд визначається як важливий фактор при обиранні місця проведення фестивалю [11].</w:t>
      </w:r>
    </w:p>
    <w:p w:rsidR="001D0C14" w:rsidRDefault="00E16C6E">
      <w:pPr>
        <w:spacing w:after="0" w:line="360" w:lineRule="auto"/>
        <w:ind w:firstLine="709"/>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 xml:space="preserve">Успішна реалізація фестивалю значною мірою залежить від цікавої та оригінальної презентації та промоції. </w:t>
      </w:r>
      <w:r>
        <w:rPr>
          <w:rFonts w:ascii="Times New Roman" w:hAnsi="Times New Roman" w:cs="Times New Roman"/>
          <w:color w:val="000000" w:themeColor="text1"/>
          <w:sz w:val="28"/>
          <w:szCs w:val="28"/>
          <w:lang w:val="ru-RU"/>
        </w:rPr>
        <w:t>Це завдання включає в себе застосування стратегій, що базуються на структурних особливостях самого фестивалю, методах представлення матеріалу та характері комунікації. Наприклад, це може включати концерти виконавців-легенд, демонстрацію спеціально привезених або відновлених музичних інструментів, нестандартні акції, взаємодію різних видів мистецтва на фестивальному просторі, одночасне проведення різноманітних подій (на великій та малій сценах, літературні читання, танцювальні вистави, кінематографічні покази, дитячі розваги і т. д.), а також організацію майстер-класів, де учасники можуть взяти участь у творчому процесі. Все це сприяє посиленню емоційного впливу заходу на аудиторію та формуванню відповідного іміджу фестивалю.</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Фестивалі в Україні мають величезний потенціал не лише як розважальні заходи, але й як культурні драйвери. Вони сприяють культурному розвитку, економічному зростанню та підвищенню міжнародного престижу країни. Здатність фестивалів залучати різні аудиторії та створювати незабутні враження робить їх важливим інструментом у просуванні України як культурного напрямку. Такі заходи стимулюють розвиток нових туристичних продуктів та послуг, наприклад, тематичних екскурсій або спеціалізованих турпакетів, що включають відвідування фестивалів.</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Ключовим аспектом є також маркетинг та промоція фестивалів. Ефективна комунікаційна стратегія, яка використовує цифрові платформи, соціальні мережі та інфлюенсер-маркетинг, може значно підвищити обізнаність про заходи та привернути більше уваги, включаючи іноземних туристів. Забезпечення доступності фестивалів для різних груп населення, включаючи осіб з обмеженими можливостями та сім’ї з дітьми, має велике значення. Це вимагає створення інклюзивних та </w:t>
      </w:r>
      <w:r>
        <w:rPr>
          <w:rFonts w:ascii="Times New Roman" w:hAnsi="Times New Roman" w:cs="Times New Roman"/>
          <w:color w:val="000000" w:themeColor="text1"/>
          <w:sz w:val="28"/>
          <w:szCs w:val="28"/>
          <w:lang w:val="uk-UA"/>
        </w:rPr>
        <w:lastRenderedPageBreak/>
        <w:t>комфортних умов для всіх учасників подій. Фестивалі не лише розважальні заходи, але й важливі майданчики для спілкування, обміну ідеями та взаєморозуміння між культурами. Їхня унікальність полягає в тому, що вони збирають людей з усього світу, які діляться своєю творчістю, традиціями та поглядами на світ. Таким чином, фестивалі стають справжніми культурними майданчиками, що сприяють міжнародному розумінню та співпраці.</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Залучення міжнародних учасників робить фестивалі особливо цікавими та багатогранними подіями. Вони створюють унікальні можливості для обміну цінностями, ідеями та досвідом між культурами, що сприяє глибшому розумінню різноманітності світової спадщини та способам її збереження.</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Крім того, фестивалі є потужними інструментами культурної дипломатії, сприяючи позитивному іміджу регіону чи країни. Вони демонструють багатство та різноманіття культурних традицій, мистецтва та народної спадщини, що сприяє підвищенню привабливості цих місць для туристів з усього світу. Фестивалі стають магнітом, який притягує як внутрішніх, так і міжнародних туристів, сприяючи розвитку туристичної індустрії та збільшенню економічного зростання.</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Отже, фестивалі відіграють ключову роль у формуванні відкритого та толерантного суспільства, сприяючи розширенню культурного обміну та взаєморозуміння між народами. Вони не лише збагачують культурний ландшафт, але й сприяють побудові міжнародних партнерств та співробітництва на шляху до більш гармонійного та злагодженого світу.</w:t>
      </w:r>
    </w:p>
    <w:p w:rsidR="001D0C14" w:rsidRDefault="001D0C14">
      <w:pPr>
        <w:spacing w:after="0" w:line="360" w:lineRule="auto"/>
        <w:ind w:firstLine="709"/>
        <w:rPr>
          <w:rFonts w:ascii="Times New Roman" w:hAnsi="Times New Roman" w:cs="Times New Roman"/>
          <w:sz w:val="28"/>
          <w:szCs w:val="28"/>
          <w:lang w:val="uk-UA"/>
        </w:rPr>
      </w:pPr>
      <w:bookmarkStart w:id="4" w:name="_Hlk165924029"/>
      <w:bookmarkEnd w:id="4"/>
    </w:p>
    <w:p w:rsidR="001D0C14" w:rsidRDefault="00E16C6E">
      <w:pPr>
        <w:rPr>
          <w:rFonts w:ascii="Times New Roman" w:hAnsi="Times New Roman" w:cs="Times New Roman"/>
          <w:bCs/>
          <w:sz w:val="28"/>
          <w:lang w:val="uk-UA"/>
        </w:rPr>
      </w:pPr>
      <w:r w:rsidRPr="005B551B">
        <w:rPr>
          <w:lang w:val="uk-UA"/>
        </w:rPr>
        <w:br w:type="page"/>
      </w:r>
    </w:p>
    <w:p w:rsidR="001D0C14" w:rsidRDefault="00E16C6E">
      <w:pPr>
        <w:spacing w:after="0"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2. ПРОЕКТУВАННЯ ТА ПЛАНУВАННЯ ТЕРИТОРІЇ ІСТОРИЧНОГО ФЕСТИВАЛЮ «ЯВОРИНА» ДЛЯ ВИТВИЦЬКОЇ ОТГ</w:t>
      </w:r>
    </w:p>
    <w:p w:rsidR="001D0C14" w:rsidRDefault="001D0C14">
      <w:pPr>
        <w:spacing w:after="0" w:line="360" w:lineRule="auto"/>
        <w:ind w:firstLine="709"/>
        <w:rPr>
          <w:rFonts w:ascii="Times New Roman" w:hAnsi="Times New Roman" w:cs="Times New Roman"/>
          <w:b/>
          <w:bCs/>
          <w:sz w:val="28"/>
          <w:szCs w:val="28"/>
          <w:lang w:val="uk-UA"/>
        </w:rPr>
      </w:pPr>
    </w:p>
    <w:p w:rsidR="001D0C14" w:rsidRDefault="00E16C6E">
      <w:pPr>
        <w:spacing w:after="0"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2.1. Загальна характеристика розвитку туризму Витвицької ОТГ</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Витвицька об’єднана територіальна громада (далі Витвицька ОТГ) була утворена 2 вересня 2016 року в рамках децентралізаційної реформи в Україні, спрямованої на оптимізацію місцевого самоврядування та поліпшення надання послуг на місцевому рівні. Вона розташована на південному заході України в мальовничій місцевості передгір’я Українських Карпат, що додає регіону унікальної природної привабливості та туристичного потенціалу.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Реформування адміністративно-територіального устрою призвело до включення Витвицької громади до складу Калуського району Івано-Франківської області, тоді як раніше вона була частиною Долинського району. Це територіальне переформування мало на меті підвищення ефективності управління та забезпечення сталого розвитку місцевих громад (рис.2.1).</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Географічне розташування Витвицької ОТГ забезпечує їй стратегічну близькість до інших важливих адміністративних одиниць. Вона межує з Долинською, Вигодською, Болехівською об’єднаними територіальними громадами, а також з поселеннями Львівської області, що сприяє міжрегіональному співробітництву та розвитку. Таке розташування відкриває додаткові можливості для економічного та соціального розвитку громади, зокрема в галузях туризму, рекреації та сільського господарства.</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Крім того, завдяки своєму розташуванню в передгір</w:t>
      </w:r>
      <w:r>
        <w:rPr>
          <w:rFonts w:ascii="Times New Roman" w:hAnsi="Times New Roman" w:cs="Times New Roman"/>
          <w:sz w:val="28"/>
          <w:szCs w:val="28"/>
          <w:lang w:val="ru-RU"/>
        </w:rPr>
        <w:t>’</w:t>
      </w:r>
      <w:r>
        <w:rPr>
          <w:rFonts w:ascii="Times New Roman" w:hAnsi="Times New Roman" w:cs="Times New Roman"/>
          <w:sz w:val="28"/>
          <w:szCs w:val="28"/>
          <w:lang w:val="uk-UA"/>
        </w:rPr>
        <w:t>ї Карпат, Витвицька громада має значний природний потенціал. Цей регіон є багатим на лісові ресурси, мінеральні води та природні ландшафти, які можуть бути використані для розвитку туристичних маршрутів, рекреаційних зон та екологічного туризму.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розвиток Витвицької ОТГ спрямований на покращення інфраструктури, залучення інвестицій та підвищення якості життя місцевих жителів. В рамках децентралізації активно впроваджуються проекти з модернізації комунальних послуг, будівництва та ремонту доріг, розвитку освіти та охорони </w:t>
      </w:r>
      <w:r>
        <w:rPr>
          <w:rFonts w:ascii="Times New Roman" w:hAnsi="Times New Roman" w:cs="Times New Roman"/>
          <w:sz w:val="28"/>
          <w:szCs w:val="28"/>
          <w:lang w:val="uk-UA"/>
        </w:rPr>
        <w:lastRenderedPageBreak/>
        <w:t>здоров</w:t>
      </w:r>
      <w:r>
        <w:rPr>
          <w:rFonts w:ascii="Times New Roman" w:hAnsi="Times New Roman" w:cs="Times New Roman"/>
          <w:sz w:val="28"/>
          <w:szCs w:val="28"/>
          <w:lang w:val="ru-RU"/>
        </w:rPr>
        <w:t>’</w:t>
      </w:r>
      <w:r>
        <w:rPr>
          <w:rFonts w:ascii="Times New Roman" w:hAnsi="Times New Roman" w:cs="Times New Roman"/>
          <w:sz w:val="28"/>
          <w:szCs w:val="28"/>
          <w:lang w:val="uk-UA"/>
        </w:rPr>
        <w:t>я. Всі ці заходи мають на меті створити сприятливі умови для стійкого розвитку громади та залучення молоді до активного життя в регіоні.</w:t>
      </w:r>
    </w:p>
    <w:p w:rsidR="001D0C14" w:rsidRDefault="00E16C6E">
      <w:pPr>
        <w:spacing w:after="0" w:line="360" w:lineRule="auto"/>
        <w:jc w:val="center"/>
        <w:rPr>
          <w:rFonts w:ascii="Times New Roman" w:hAnsi="Times New Roman" w:cs="Times New Roman"/>
          <w:sz w:val="28"/>
          <w:szCs w:val="28"/>
          <w:lang w:val="ru-RU"/>
        </w:rPr>
      </w:pPr>
      <w:r>
        <w:rPr>
          <w:noProof/>
        </w:rPr>
        <w:drawing>
          <wp:inline distT="0" distB="0" distL="0" distR="0">
            <wp:extent cx="4936490" cy="297561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noChangeArrowheads="1"/>
                    </pic:cNvPicPr>
                  </pic:nvPicPr>
                  <pic:blipFill>
                    <a:blip r:embed="rId12"/>
                    <a:stretch>
                      <a:fillRect/>
                    </a:stretch>
                  </pic:blipFill>
                  <pic:spPr bwMode="auto">
                    <a:xfrm>
                      <a:off x="0" y="0"/>
                      <a:ext cx="4936490" cy="2975610"/>
                    </a:xfrm>
                    <a:prstGeom prst="rect">
                      <a:avLst/>
                    </a:prstGeom>
                  </pic:spPr>
                </pic:pic>
              </a:graphicData>
            </a:graphic>
          </wp:inline>
        </w:drawing>
      </w:r>
    </w:p>
    <w:p w:rsidR="001D0C14" w:rsidRDefault="00E16C6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2.1. – Територія Витвицької ОТГ [22]</w:t>
      </w:r>
    </w:p>
    <w:p w:rsidR="001D0C14" w:rsidRDefault="001D0C14">
      <w:pPr>
        <w:spacing w:after="0" w:line="360" w:lineRule="auto"/>
        <w:ind w:firstLine="709"/>
        <w:rPr>
          <w:rFonts w:ascii="Times New Roman" w:hAnsi="Times New Roman" w:cs="Times New Roman"/>
          <w:sz w:val="28"/>
          <w:szCs w:val="28"/>
          <w:lang w:val="uk-UA"/>
        </w:rPr>
      </w:pP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Витвицька ОТГ розташована на відстані 83 км від Івано-Франківська, 106 км від Львова та 260 км від Ужгорода. Її географічне положення характеризується практично рівновіддаленістю від кордонів України з Європейським Союзом: відстань до кордону з Румунією становить 262 км, з Польщею – 174 км, зі Словаччиною – 236 км, з Угорщиною – 248 км. Така географічна позиція сприяє розвитку транспортно-логістичних зв’язків із європейськими країнами і водночас стимулює трудову міграцію економічно активного населення.</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Адміністративний центр громади – село Витвиця, яке знаходиться на відстані 49 км від районного центру міста Калуш та 83 км від обласного центру міста Івано-Франківська.</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Територія Витвицької ОТГ займає площу 154,939 км² і включає дев’ять населених пунктів, розташованих у чотирьох старостинських округах, що охоплюють п’ять територіальних громад: села Витвиця, Кальна, Липа, Лужки, Розточки, Слобода-Болехівська, Станківці, Церківна та селище Вигодівка. Всі ці населені пункти мають статус гірських.</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Завдяки своєму географічному положенню, Витвицька ОТГ має значний потенціал для розвитку міжрегіональних та міжнародних зв’язків, що сприятиме економічному розвитку громади. Окрім того, статус гірських населених пунктів дозволяє громаді отримувати додаткові ресурси та підтримку для розвитку інфраструктури і покращення якості життя місцевих жителів.</w:t>
      </w:r>
    </w:p>
    <w:p w:rsidR="001D0C14" w:rsidRDefault="00E16C6E">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uk-UA"/>
        </w:rPr>
        <w:t xml:space="preserve">Транспортна мережа у складі Витвицької ОТГ охоплює загальну протяжність 33,8 кілометрів і включає в себе районні автомобільні дороги, які мають місцеве значення. Хоча більшість цих доріг має тверде покриття, деякі ділянки залишаються ґрунтовими і потребують серйозного ремонту. </w:t>
      </w:r>
      <w:r>
        <w:rPr>
          <w:rFonts w:ascii="Times New Roman" w:hAnsi="Times New Roman" w:cs="Times New Roman"/>
          <w:sz w:val="28"/>
          <w:szCs w:val="28"/>
          <w:lang w:val="ru-RU"/>
        </w:rPr>
        <w:t xml:space="preserve">Густота автомобільних магістралей у межах громади складає 218 кілометрів на квадратний кілометр, що менше середнього показника по Івано-Франківській області, який становить 296 кілометрів на квадратний кілометр. Усі населені пункти громади обладнані зупинками для громадського транспорту. Щодня з кожного з поселень відправляється приблизно 3-4 автобусних рейси до найближчого міста, Долини. Це забезпечує мешканцям доступ до необхідних адміністративних та соціальних послуг і сприяє загальній мобільності населення. </w:t>
      </w:r>
      <w:r>
        <w:rPr>
          <w:rFonts w:ascii="Times New Roman" w:hAnsi="Times New Roman" w:cs="Times New Roman"/>
          <w:sz w:val="28"/>
          <w:szCs w:val="28"/>
          <w:lang w:val="uk-UA"/>
        </w:rPr>
        <w:t>Транспортна інфраструктура Витвицької ОТГ є важливою складовою її розвитку, адже якісні дороги та наявність регулярного транспортного сполучення сприяють економічному зростанню та покращенню якості життя місцевих жителів. Однак для підвищення ефективності транспортної системи необхідно продовжити модернізацію доріг та покращення транспортних послуг.</w:t>
      </w:r>
      <w:r>
        <w:rPr>
          <w:rFonts w:ascii="Times New Roman" w:hAnsi="Times New Roman" w:cs="Times New Roman"/>
          <w:sz w:val="28"/>
          <w:szCs w:val="28"/>
          <w:lang w:val="ru-RU"/>
        </w:rPr>
        <w:t xml:space="preserve"> (рис. 2.2.)</w:t>
      </w:r>
    </w:p>
    <w:p w:rsidR="001D0C14" w:rsidRDefault="00E16C6E">
      <w:pPr>
        <w:spacing w:after="0" w:line="360" w:lineRule="auto"/>
        <w:ind w:firstLine="709"/>
        <w:jc w:val="center"/>
        <w:rPr>
          <w:rFonts w:ascii="Times New Roman" w:hAnsi="Times New Roman" w:cs="Times New Roman"/>
          <w:sz w:val="28"/>
          <w:szCs w:val="28"/>
          <w:lang w:val="ru-RU"/>
        </w:rPr>
      </w:pPr>
      <w:r>
        <w:rPr>
          <w:noProof/>
        </w:rPr>
        <w:drawing>
          <wp:inline distT="0" distB="0" distL="0" distR="0">
            <wp:extent cx="4077970" cy="2465070"/>
            <wp:effectExtent l="0" t="0" r="0"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4"/>
                    <pic:cNvPicPr>
                      <a:picLocks noChangeAspect="1" noChangeArrowheads="1"/>
                    </pic:cNvPicPr>
                  </pic:nvPicPr>
                  <pic:blipFill>
                    <a:blip r:embed="rId13"/>
                    <a:srcRect l="8462" t="10166" r="13915"/>
                    <a:stretch>
                      <a:fillRect/>
                    </a:stretch>
                  </pic:blipFill>
                  <pic:spPr bwMode="auto">
                    <a:xfrm>
                      <a:off x="0" y="0"/>
                      <a:ext cx="4077970" cy="2465070"/>
                    </a:xfrm>
                    <a:prstGeom prst="rect">
                      <a:avLst/>
                    </a:prstGeom>
                  </pic:spPr>
                </pic:pic>
              </a:graphicData>
            </a:graphic>
          </wp:inline>
        </w:drawing>
      </w:r>
    </w:p>
    <w:p w:rsidR="001D0C14" w:rsidRDefault="00E16C6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2.2 – Транспортна доступність с. Витвиця для сусідніх населених пунктів (хв) [22]</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Однією з важливих переваг Витвицької ОТГ є її близьке розташування (17 км) до автомобільної дороги національного значення Н-10, яка є важливою транспортною артерією регіону. Ця дорога, відома як «Ключ до Прикарпаття», з</w:t>
      </w:r>
      <w:r>
        <w:rPr>
          <w:rFonts w:ascii="Times New Roman" w:hAnsi="Times New Roman" w:cs="Times New Roman"/>
          <w:sz w:val="28"/>
          <w:szCs w:val="28"/>
          <w:lang w:val="ru-RU"/>
        </w:rPr>
        <w:t>’</w:t>
      </w:r>
      <w:r>
        <w:rPr>
          <w:rFonts w:ascii="Times New Roman" w:hAnsi="Times New Roman" w:cs="Times New Roman"/>
          <w:sz w:val="28"/>
          <w:szCs w:val="28"/>
          <w:lang w:val="uk-UA"/>
        </w:rPr>
        <w:t>єднує міста Стрий, Івано-Франківськ, Чернівці та прикордонний пропускний пункт Мамалига. Дорога Н-10 перетинається з іншим важливим шляхом Н-09, який проходить через Мукачеве, Яремче, Івано-Франківськ, Рогатин та Львів, а також забезпечує під</w:t>
      </w:r>
      <w:r>
        <w:rPr>
          <w:rFonts w:ascii="Times New Roman" w:hAnsi="Times New Roman" w:cs="Times New Roman"/>
          <w:sz w:val="28"/>
          <w:szCs w:val="28"/>
          <w:lang w:val="ru-RU"/>
        </w:rPr>
        <w:t>’</w:t>
      </w:r>
      <w:r>
        <w:rPr>
          <w:rFonts w:ascii="Times New Roman" w:hAnsi="Times New Roman" w:cs="Times New Roman"/>
          <w:sz w:val="28"/>
          <w:szCs w:val="28"/>
          <w:lang w:val="uk-UA"/>
        </w:rPr>
        <w:t>їзд до популярного курорту Буковель.</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Крім того, Витвицька ОТГ розташована поблизу значних курортних центрів, таких як Моршин і Трускавець, що сприяє розвитку туризму та рекреаційної діяльності в регіоні. Важливою транспортною перевагою також є близькість до залізничної станції Болехів, що знаходиться на відстані 12 км від громади. Це забезпечує можливість ефективного налагодження матеріальних потоків і сприяє розвитку логістичних зв’язків.</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Таке розташування Витвицької ОТГ створює сприятливі умови для економічного розвитку, зокрема шляхом поліпшення транспортної інфраструктури, залучення інвестицій та активізації туристичного потенціалу.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Рельєф Витвицької ОТГ варіюється від низькогірних і відносно рівнинних ділянок зовнішніх Карпат до гірських масивів із горбистим рельєфом, пересіченим ярами та балками, вершинами та хребтами, з загальним нахилом на північний схід.</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Загальна площа земельних ресурсів Витвицької ОТГ розподіляється наступним чином: 10 992,0 гектари (64,2%) припадають на землі лісогосподарських підприємств, 2540,8 гектарів (14,8%) належать громадянам у власність і користування, 1707,8 гектарів (10%) використовуються особистими селянськими господарствами, а 1057,6 гектарів (6,2%) відведено під інші категорії. Загальна площа земель за межами населених пунктів складає 13 249,9 гектарів.</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Для приваблення додаткових інвестицій та підтримки підприємницької діяльності в ОТГ відведено 11 земельних ділянок загальною площею 41 гектар. Передбачається їх використання для рекреаційних цілей, промислового розвитку, сільського господарства та відновлювальної енергетики.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Структура земель включає:</w:t>
      </w:r>
    </w:p>
    <w:p w:rsidR="001D0C14" w:rsidRDefault="00E16C6E">
      <w:pPr>
        <w:numPr>
          <w:ilvl w:val="0"/>
          <w:numId w:val="2"/>
        </w:numPr>
        <w:spacing w:after="0" w:line="360" w:lineRule="auto"/>
        <w:ind w:left="0" w:firstLine="720"/>
        <w:rPr>
          <w:rFonts w:ascii="Times New Roman" w:hAnsi="Times New Roman" w:cs="Times New Roman"/>
          <w:sz w:val="28"/>
          <w:szCs w:val="28"/>
          <w:lang w:val="uk-UA"/>
        </w:rPr>
      </w:pPr>
      <w:r>
        <w:rPr>
          <w:rFonts w:ascii="Times New Roman" w:hAnsi="Times New Roman" w:cs="Times New Roman"/>
          <w:sz w:val="28"/>
          <w:szCs w:val="28"/>
          <w:lang w:val="uk-UA"/>
        </w:rPr>
        <w:lastRenderedPageBreak/>
        <w:t>Лісогосподарські землі: 70,9%</w:t>
      </w:r>
    </w:p>
    <w:p w:rsidR="001D0C14" w:rsidRDefault="00E16C6E">
      <w:pPr>
        <w:numPr>
          <w:ilvl w:val="0"/>
          <w:numId w:val="2"/>
        </w:numPr>
        <w:spacing w:after="0" w:line="360" w:lineRule="auto"/>
        <w:ind w:left="0" w:firstLine="720"/>
        <w:rPr>
          <w:rFonts w:ascii="Times New Roman" w:hAnsi="Times New Roman" w:cs="Times New Roman"/>
          <w:sz w:val="28"/>
          <w:szCs w:val="28"/>
          <w:lang w:val="uk-UA"/>
        </w:rPr>
      </w:pPr>
      <w:r>
        <w:rPr>
          <w:rFonts w:ascii="Times New Roman" w:hAnsi="Times New Roman" w:cs="Times New Roman"/>
          <w:sz w:val="28"/>
          <w:szCs w:val="28"/>
          <w:lang w:val="uk-UA"/>
        </w:rPr>
        <w:t>Сільськогосподарські землі: 16,4%</w:t>
      </w:r>
    </w:p>
    <w:p w:rsidR="001D0C14" w:rsidRDefault="00E16C6E">
      <w:pPr>
        <w:numPr>
          <w:ilvl w:val="0"/>
          <w:numId w:val="2"/>
        </w:numPr>
        <w:spacing w:after="0" w:line="360" w:lineRule="auto"/>
        <w:ind w:left="0" w:firstLine="720"/>
        <w:rPr>
          <w:rFonts w:ascii="Times New Roman" w:hAnsi="Times New Roman" w:cs="Times New Roman"/>
          <w:sz w:val="28"/>
          <w:szCs w:val="28"/>
          <w:lang w:val="uk-UA"/>
        </w:rPr>
      </w:pPr>
      <w:r>
        <w:rPr>
          <w:rFonts w:ascii="Times New Roman" w:hAnsi="Times New Roman" w:cs="Times New Roman"/>
          <w:sz w:val="28"/>
          <w:szCs w:val="28"/>
          <w:lang w:val="uk-UA"/>
        </w:rPr>
        <w:t>Землі природно-заповідного фонду: 5,8%</w:t>
      </w:r>
    </w:p>
    <w:p w:rsidR="001D0C14" w:rsidRDefault="00E16C6E">
      <w:pPr>
        <w:numPr>
          <w:ilvl w:val="0"/>
          <w:numId w:val="2"/>
        </w:numPr>
        <w:spacing w:after="0" w:line="360" w:lineRule="auto"/>
        <w:ind w:left="0" w:firstLine="720"/>
        <w:rPr>
          <w:rFonts w:ascii="Times New Roman" w:hAnsi="Times New Roman" w:cs="Times New Roman"/>
          <w:sz w:val="28"/>
          <w:szCs w:val="28"/>
          <w:lang w:val="uk-UA"/>
        </w:rPr>
      </w:pPr>
      <w:r>
        <w:rPr>
          <w:rFonts w:ascii="Times New Roman" w:hAnsi="Times New Roman" w:cs="Times New Roman"/>
          <w:sz w:val="28"/>
          <w:szCs w:val="28"/>
          <w:lang w:val="uk-UA"/>
        </w:rPr>
        <w:t>Землі житлової та громадської забудови: 2,5%</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Приблизно 240 га займають земельні частки (паї) членів громади. Ці ресурси відіграють ключову роль у розвитку громади, оскільки їх ефективне використання сприяє економічному зростанню та поліпшенню якості життя населення.</w:t>
      </w:r>
    </w:p>
    <w:p w:rsidR="001D0C14" w:rsidRDefault="00E16C6E">
      <w:pPr>
        <w:spacing w:after="0" w:line="360" w:lineRule="auto"/>
        <w:ind w:firstLine="709"/>
        <w:jc w:val="center"/>
        <w:rPr>
          <w:rFonts w:ascii="Times New Roman" w:hAnsi="Times New Roman" w:cs="Times New Roman"/>
          <w:sz w:val="28"/>
          <w:szCs w:val="28"/>
          <w:lang w:val="ru-RU"/>
        </w:rPr>
      </w:pPr>
      <w:r>
        <w:rPr>
          <w:noProof/>
        </w:rPr>
        <w:drawing>
          <wp:inline distT="0" distB="0" distL="0" distR="0">
            <wp:extent cx="4800600" cy="2725420"/>
            <wp:effectExtent l="0" t="0" r="0" b="0"/>
            <wp:docPr id="1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5"/>
                    <pic:cNvPicPr>
                      <a:picLocks noChangeAspect="1" noChangeArrowheads="1"/>
                    </pic:cNvPicPr>
                  </pic:nvPicPr>
                  <pic:blipFill>
                    <a:blip r:embed="rId14"/>
                    <a:stretch>
                      <a:fillRect/>
                    </a:stretch>
                  </pic:blipFill>
                  <pic:spPr bwMode="auto">
                    <a:xfrm>
                      <a:off x="0" y="0"/>
                      <a:ext cx="4800600" cy="2725420"/>
                    </a:xfrm>
                    <a:prstGeom prst="rect">
                      <a:avLst/>
                    </a:prstGeom>
                  </pic:spPr>
                </pic:pic>
              </a:graphicData>
            </a:graphic>
          </wp:inline>
        </w:drawing>
      </w:r>
    </w:p>
    <w:p w:rsidR="001D0C14" w:rsidRDefault="00E16C6E">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2.3. – Категоріальна структура земельних угідь Витвицької ОТГ, % [22]</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На території громади переважають ґрунти, типові для лісистих районів. Серед них можна виокремити бурі гірсько-лісові неглибокі щебенюваті, середньо-глибокі, глибокі опідзолені та дернові опідзолені оглеєні ґрунти. Основним процесом у формуванні цих ґрунтів є кисле буроземлеутворення.</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Залежно від крутизни та експозиції схилів, ці ґрунти можуть піддаватися водній ерозії, що призводить до різного ступеня змитості певних ділянок. Цей процес відіграє важливу роль у формуванні ґрунтового покриву та визначає стан ґрунтової екосистеми у даній місцевості.</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важливим аспектом є вплив людської діяльності на стан ґрунтівної покриви. Антропогенні фактори, такі як вирубка лісів, сільське господарство та будівництво, також можуть призвести до змін у якості та структурі ґрунтів, що </w:t>
      </w:r>
      <w:r>
        <w:rPr>
          <w:rFonts w:ascii="Times New Roman" w:hAnsi="Times New Roman" w:cs="Times New Roman"/>
          <w:sz w:val="28"/>
          <w:szCs w:val="28"/>
          <w:lang w:val="uk-UA"/>
        </w:rPr>
        <w:lastRenderedPageBreak/>
        <w:t>вимагає уважного контролю та раціонального використання ресурсів для збереження природних екосистем. (рис. 2.4.)</w:t>
      </w:r>
    </w:p>
    <w:p w:rsidR="001D0C14" w:rsidRDefault="00E16C6E">
      <w:pPr>
        <w:spacing w:after="0" w:line="360" w:lineRule="auto"/>
        <w:ind w:firstLine="709"/>
        <w:rPr>
          <w:rFonts w:ascii="Times New Roman" w:hAnsi="Times New Roman" w:cs="Times New Roman"/>
          <w:sz w:val="28"/>
          <w:szCs w:val="28"/>
          <w:lang w:val="uk-UA"/>
        </w:rPr>
      </w:pPr>
      <w:r>
        <w:rPr>
          <w:noProof/>
        </w:rPr>
        <w:drawing>
          <wp:inline distT="0" distB="0" distL="0" distR="0">
            <wp:extent cx="5448300" cy="3561715"/>
            <wp:effectExtent l="0" t="0" r="0" b="0"/>
            <wp:docPr id="1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9"/>
                    <pic:cNvPicPr>
                      <a:picLocks noChangeAspect="1" noChangeArrowheads="1"/>
                    </pic:cNvPicPr>
                  </pic:nvPicPr>
                  <pic:blipFill>
                    <a:blip r:embed="rId15"/>
                    <a:srcRect t="7703" r="-1280"/>
                    <a:stretch>
                      <a:fillRect/>
                    </a:stretch>
                  </pic:blipFill>
                  <pic:spPr bwMode="auto">
                    <a:xfrm>
                      <a:off x="0" y="0"/>
                      <a:ext cx="5448300" cy="3561715"/>
                    </a:xfrm>
                    <a:prstGeom prst="rect">
                      <a:avLst/>
                    </a:prstGeom>
                  </pic:spPr>
                </pic:pic>
              </a:graphicData>
            </a:graphic>
          </wp:inline>
        </w:drawing>
      </w:r>
      <w:r>
        <w:rPr>
          <w:rFonts w:ascii="Times New Roman" w:hAnsi="Times New Roman" w:cs="Times New Roman"/>
          <w:sz w:val="28"/>
          <w:szCs w:val="28"/>
          <w:lang w:val="uk-UA"/>
        </w:rPr>
        <w:t xml:space="preserve"> </w:t>
      </w:r>
    </w:p>
    <w:p w:rsidR="001D0C14" w:rsidRDefault="00E16C6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2.4 – Земельні ресурси Витвицької ОТГ [22]</w:t>
      </w:r>
    </w:p>
    <w:p w:rsidR="001D0C14" w:rsidRDefault="001D0C14">
      <w:pPr>
        <w:spacing w:after="0" w:line="360" w:lineRule="auto"/>
        <w:ind w:firstLine="709"/>
        <w:rPr>
          <w:rFonts w:ascii="Times New Roman" w:hAnsi="Times New Roman" w:cs="Times New Roman"/>
          <w:sz w:val="28"/>
          <w:szCs w:val="28"/>
          <w:lang w:val="uk-UA"/>
        </w:rPr>
      </w:pP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Водні ресурси Витвицької об’єднаної територіальної громади відіграють значну роль у природному доробку цього регіону. На її території протікають декілька річок басейну Дністра, зокрема Лужанка (довжина – 29 км, площа басейну – 149 км²), Розточка – права притока Лужанки (9 км), Путня – права притока Лужанки (10 км, площа басейну – 28,8 км²), а також кілька струмків. Ці річки мають значний нахил та швидку течію, їх русла кам’янисті та порожисті, що стимулює формування каскадів і водоспадів. Вони є важливим елементом туристичного потенціалу громади.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Підземні води використовуються для задоволення виробничих та соціальних потреб. У зв’язку з відсутністю централізованого водопостачання та каналізації в населених пунктах Витвицької ОТГ, адміністративні установи, освітні, культурні та медичні заклади отримують воду зі свердловин, а домогосподарства – з колодязів. Ця вода відповідає державним стандартам щодо якості, проте потребує систематичного моніторингу для контролю динаміки якісних показників.</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Витвицька ОТГ має значні рекреаційні ресурси, які включають велику площу лісових масивів, замовних ялин, ялиць та буків. Таке розмаїття природних ландшафтів та культурних об’єктів дозволяє громаді активно взаємодіяти з туристичним кластером «Магура» та об’єднуватися з іншими громадами Івано-Франківської, Львівської та Закарпатської областей у рамках «Бойківського кола».</w:t>
      </w:r>
    </w:p>
    <w:p w:rsidR="001D0C14" w:rsidRDefault="00E16C6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 межах цього кластеру Витвицька ОТГ впроваджує різноманітні туристичні маршрути, такі як пішохідний маршрут з гори Магура на гору Яворина, що включає в себе відвідування Скель Довбуша, урочища Цапове, Бовкоти, Розтока та станції вузькоколійки «Глибоке». Також розроблений новий маршрут «Стежками воїнів УПА» та унікальний веломаршрут. Нові відкриття включають пам’ятки історичної спадщини, зокрема, пластунські тризуби 20–30-х років минулого століття.</w:t>
      </w:r>
    </w:p>
    <w:p w:rsidR="001D0C14" w:rsidRDefault="00E16C6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 метою подальшої популяризації туризму у Прикарпатті планується створення віртуального 3D-туру Витвицькою ОТГ на платформі Google Maps та організація туристичних наметових таборів. Такі заходи сприятимуть розвитку туризму та культурного обміну в регіоні, а також сприятимуть залученню уваги до багатофункціонального туристичного потенціалу громади.</w:t>
      </w:r>
    </w:p>
    <w:p w:rsidR="001D0C14" w:rsidRDefault="001D0C14">
      <w:pPr>
        <w:spacing w:after="0" w:line="360" w:lineRule="auto"/>
        <w:rPr>
          <w:rFonts w:ascii="Times New Roman" w:hAnsi="Times New Roman" w:cs="Times New Roman"/>
          <w:sz w:val="28"/>
          <w:szCs w:val="28"/>
          <w:lang w:val="uk-UA"/>
        </w:rPr>
      </w:pPr>
    </w:p>
    <w:p w:rsidR="001D0C14" w:rsidRDefault="00E16C6E">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Таблиця 2.1 -</w:t>
      </w:r>
      <w:r>
        <w:rPr>
          <w:rFonts w:ascii="Times New Roman" w:hAnsi="Times New Roman" w:cs="Times New Roman"/>
          <w:b/>
          <w:bCs/>
          <w:sz w:val="28"/>
          <w:szCs w:val="28"/>
          <w:lang w:val="ru-RU"/>
        </w:rPr>
        <w:t xml:space="preserve">Туристичні ресурси Витвицької ОТГ </w:t>
      </w:r>
      <w:r>
        <w:rPr>
          <w:rFonts w:ascii="Times New Roman" w:hAnsi="Times New Roman" w:cs="Times New Roman"/>
          <w:sz w:val="28"/>
          <w:szCs w:val="28"/>
          <w:lang w:val="ru-RU"/>
        </w:rPr>
        <w:t>[22]</w:t>
      </w:r>
    </w:p>
    <w:tbl>
      <w:tblPr>
        <w:tblStyle w:val="aff3"/>
        <w:tblW w:w="10060" w:type="dxa"/>
        <w:tblLayout w:type="fixed"/>
        <w:tblLook w:val="04A0" w:firstRow="1" w:lastRow="0" w:firstColumn="1" w:lastColumn="0" w:noHBand="0" w:noVBand="1"/>
      </w:tblPr>
      <w:tblGrid>
        <w:gridCol w:w="2087"/>
        <w:gridCol w:w="4024"/>
        <w:gridCol w:w="3949"/>
      </w:tblGrid>
      <w:tr w:rsidR="001D0C14">
        <w:tc>
          <w:tcPr>
            <w:tcW w:w="2087" w:type="dxa"/>
          </w:tcPr>
          <w:p w:rsidR="001D0C14" w:rsidRDefault="00E16C6E">
            <w:pPr>
              <w:widowControl w:val="0"/>
              <w:spacing w:after="0" w:line="240" w:lineRule="auto"/>
              <w:jc w:val="center"/>
              <w:rPr>
                <w:rFonts w:ascii="Times New Roman" w:eastAsia="Times New Roman" w:hAnsi="Times New Roman" w:cs="Times New Roman"/>
                <w:b/>
                <w:bCs/>
                <w:sz w:val="24"/>
                <w:szCs w:val="24"/>
                <w:lang w:val="uk-UA" w:eastAsia="uk-UA"/>
              </w:rPr>
            </w:pPr>
            <w:r>
              <w:rPr>
                <w:rFonts w:ascii="Times New Roman" w:eastAsia="Times New Roman" w:hAnsi="Times New Roman" w:cs="Times New Roman"/>
                <w:b/>
                <w:bCs/>
                <w:sz w:val="24"/>
                <w:szCs w:val="24"/>
                <w:lang w:val="uk-UA" w:eastAsia="uk-UA"/>
              </w:rPr>
              <w:t>Вид ресурсу</w:t>
            </w:r>
          </w:p>
        </w:tc>
        <w:tc>
          <w:tcPr>
            <w:tcW w:w="4024" w:type="dxa"/>
          </w:tcPr>
          <w:p w:rsidR="001D0C14" w:rsidRDefault="00E16C6E">
            <w:pPr>
              <w:widowControl w:val="0"/>
              <w:spacing w:after="0" w:line="240" w:lineRule="auto"/>
              <w:jc w:val="center"/>
              <w:rPr>
                <w:rFonts w:ascii="Times New Roman" w:eastAsia="Times New Roman" w:hAnsi="Times New Roman" w:cs="Times New Roman"/>
                <w:b/>
                <w:bCs/>
                <w:sz w:val="24"/>
                <w:szCs w:val="24"/>
                <w:lang w:val="uk-UA" w:eastAsia="uk-UA"/>
              </w:rPr>
            </w:pPr>
            <w:r>
              <w:rPr>
                <w:rFonts w:ascii="Times New Roman" w:eastAsia="Times New Roman" w:hAnsi="Times New Roman" w:cs="Times New Roman"/>
                <w:b/>
                <w:bCs/>
                <w:sz w:val="24"/>
                <w:szCs w:val="24"/>
                <w:lang w:val="uk-UA" w:eastAsia="uk-UA"/>
              </w:rPr>
              <w:t>Приклад</w:t>
            </w:r>
          </w:p>
        </w:tc>
        <w:tc>
          <w:tcPr>
            <w:tcW w:w="3949" w:type="dxa"/>
          </w:tcPr>
          <w:p w:rsidR="001D0C14" w:rsidRDefault="00E16C6E">
            <w:pPr>
              <w:widowControl w:val="0"/>
              <w:spacing w:after="0" w:line="240" w:lineRule="auto"/>
              <w:jc w:val="center"/>
              <w:rPr>
                <w:rFonts w:ascii="Times New Roman" w:eastAsia="Times New Roman" w:hAnsi="Times New Roman" w:cs="Times New Roman"/>
                <w:b/>
                <w:bCs/>
                <w:sz w:val="24"/>
                <w:szCs w:val="24"/>
                <w:lang w:val="uk-UA" w:eastAsia="uk-UA"/>
              </w:rPr>
            </w:pPr>
            <w:r>
              <w:rPr>
                <w:rFonts w:ascii="Times New Roman" w:eastAsia="Times New Roman" w:hAnsi="Times New Roman" w:cs="Times New Roman"/>
                <w:b/>
                <w:bCs/>
                <w:sz w:val="24"/>
                <w:szCs w:val="24"/>
                <w:lang w:val="uk-UA" w:eastAsia="uk-UA"/>
              </w:rPr>
              <w:t>Значення для розвитку туризму</w:t>
            </w:r>
          </w:p>
        </w:tc>
      </w:tr>
      <w:tr w:rsidR="001D0C14" w:rsidRPr="005B551B">
        <w:trPr>
          <w:trHeight w:val="976"/>
        </w:trPr>
        <w:tc>
          <w:tcPr>
            <w:tcW w:w="208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Природно-географічні</w:t>
            </w:r>
          </w:p>
        </w:tc>
        <w:tc>
          <w:tcPr>
            <w:tcW w:w="4024"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Комплекс скель «Церковнослов’янські» урочище Бовкоти</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Комплексна пам’ятка природи місцевого значення «Лисий потік», урочище Морино</w:t>
            </w:r>
          </w:p>
        </w:tc>
        <w:tc>
          <w:tcPr>
            <w:tcW w:w="3949"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Природні пам’ятки, привабливі для екотуристів та любителів активного відпочинку</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Унікальні природні утворення, які привертають увагу туристів</w:t>
            </w:r>
          </w:p>
        </w:tc>
      </w:tr>
      <w:tr w:rsidR="001D0C14" w:rsidRPr="005B551B">
        <w:trPr>
          <w:trHeight w:val="1469"/>
        </w:trPr>
        <w:tc>
          <w:tcPr>
            <w:tcW w:w="208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Культурно-історичні</w:t>
            </w:r>
          </w:p>
        </w:tc>
        <w:tc>
          <w:tcPr>
            <w:tcW w:w="4024"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Церква Святого Івана Богослова</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Церква Святого Михаїла Архистратига</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Церква Вознесіння Христового</w:t>
            </w:r>
          </w:p>
        </w:tc>
        <w:tc>
          <w:tcPr>
            <w:tcW w:w="3949"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Історико-культурні об’єкти, що представляють релігійне та культурне значення</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Архітектурні пам’ятки, що зберігають історичну спадщину регіону</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Місця релігійного паломництва та культурної цінності</w:t>
            </w:r>
          </w:p>
        </w:tc>
      </w:tr>
      <w:tr w:rsidR="001D0C14" w:rsidRPr="005B551B">
        <w:tc>
          <w:tcPr>
            <w:tcW w:w="208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Інфраструктурні</w:t>
            </w:r>
          </w:p>
        </w:tc>
        <w:tc>
          <w:tcPr>
            <w:tcW w:w="4024"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Санаторій «Перлина Карпат»</w:t>
            </w:r>
          </w:p>
        </w:tc>
        <w:tc>
          <w:tcPr>
            <w:tcW w:w="3949"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Медичні та оздоровчі заклади, що пропонують різноманітні послуги для туристів</w:t>
            </w:r>
          </w:p>
        </w:tc>
      </w:tr>
      <w:tr w:rsidR="001D0C14" w:rsidRPr="005B551B">
        <w:trPr>
          <w:trHeight w:val="2208"/>
        </w:trPr>
        <w:tc>
          <w:tcPr>
            <w:tcW w:w="208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lastRenderedPageBreak/>
              <w:t>Подієві</w:t>
            </w:r>
          </w:p>
        </w:tc>
        <w:tc>
          <w:tcPr>
            <w:tcW w:w="4024"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Пам’ятний Хрест «Борцям за волю України»</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Могила Січовим Стрільцям</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Пам’ятний хрест Небесній сотні</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Пам’ятний Хрест на честь скасування кріпосного права</w:t>
            </w:r>
          </w:p>
        </w:tc>
        <w:tc>
          <w:tcPr>
            <w:tcW w:w="3949"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Місця пам’яті та проведення культурних заходів</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Історичні місця, важливі для національної пам’яті</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Об’єкти, що вшановують історичні події та героїв</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Місця, що нагадують про важливі історичні події</w:t>
            </w:r>
          </w:p>
        </w:tc>
      </w:tr>
      <w:tr w:rsidR="001D0C14" w:rsidRPr="005B551B">
        <w:trPr>
          <w:trHeight w:val="3179"/>
        </w:trPr>
        <w:tc>
          <w:tcPr>
            <w:tcW w:w="2087"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Природно-антропогенні</w:t>
            </w:r>
          </w:p>
        </w:tc>
        <w:tc>
          <w:tcPr>
            <w:tcW w:w="4024"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Ландшафтний заказник «Цапове»</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Ботанічний заказник «Миховцев»</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Заповідне урочище «Макогінка»</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Еталон модриново-насадження</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Еталон буково-модриново насадження</w:t>
            </w:r>
          </w:p>
        </w:tc>
        <w:tc>
          <w:tcPr>
            <w:tcW w:w="3949" w:type="dxa"/>
          </w:tcPr>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Регіони, що поєднують природні та антропогенні елементи, привабливі для туристів</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Території з унікальними рослинними спільнотами, що є цікавими для ботаніків та екологів</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Захищені природні території, важливі для досліджень та відпочинку на природі</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Ліси та лісові масиви, що мають природоохоронне значення</w:t>
            </w:r>
          </w:p>
          <w:p w:rsidR="001D0C14" w:rsidRDefault="00E16C6E">
            <w:pPr>
              <w:widowControl w:val="0"/>
              <w:spacing w:after="0" w:line="240" w:lineRule="auto"/>
              <w:jc w:val="left"/>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Місця з унікальними рослинними спільнотами, що приваблюють екотуристів</w:t>
            </w:r>
          </w:p>
        </w:tc>
      </w:tr>
    </w:tbl>
    <w:p w:rsidR="001D0C14" w:rsidRDefault="001D0C14">
      <w:pPr>
        <w:spacing w:after="0" w:line="360" w:lineRule="auto"/>
        <w:ind w:firstLine="709"/>
        <w:rPr>
          <w:rFonts w:ascii="Times New Roman" w:hAnsi="Times New Roman" w:cs="Times New Roman"/>
          <w:sz w:val="28"/>
          <w:szCs w:val="28"/>
          <w:lang w:val="ru-RU"/>
        </w:rPr>
      </w:pPr>
    </w:p>
    <w:p w:rsidR="001D0C14" w:rsidRDefault="00E16C6E">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Розвиток туризму в Витвицькій об’єднаній територіальній громаді характеризується багатоманітністю туристичних ресурсів та активною діяльністю у напрямку їх використання. Природні ресурси, такі як ландшафтні та ботанічні заказники, різноманітні лісові масиви та заповідні урочища, сприяють розвитку екологічного туризму та відпочинку на природі. Культурно-історичні об’єкти, такі як церковні комплекси та пам’ятні хрести, надають можливості для культурних екскурсій та паломництва. Інфраструктура, як наприклад санаторії, створює умови для медичного туризму та відпочинку. Також значна увага приділяється подієвим об’єктам, що нагадують про історичні події та героїв, що стимулює розвиток культурно-історичного туризму. Природно-антропогенні ресурси, які об’єднують природні та антропогенні елементи, також привертають увагу туристів. Всі ці фактори вказують на потенціал подальшого розвитку туризму в Витвицькій ОТГ та можливості для приваблення туристів різних категорій.</w:t>
      </w:r>
    </w:p>
    <w:p w:rsidR="001D0C14" w:rsidRDefault="001D0C14">
      <w:pPr>
        <w:spacing w:after="0" w:line="360" w:lineRule="auto"/>
        <w:ind w:firstLine="709"/>
        <w:rPr>
          <w:rFonts w:ascii="Times New Roman" w:hAnsi="Times New Roman" w:cs="Times New Roman"/>
          <w:sz w:val="28"/>
          <w:szCs w:val="28"/>
          <w:lang w:val="uk-UA"/>
        </w:rPr>
      </w:pPr>
    </w:p>
    <w:p w:rsidR="001D0C14" w:rsidRDefault="00E16C6E">
      <w:pPr>
        <w:spacing w:after="160" w:line="259" w:lineRule="auto"/>
        <w:jc w:val="left"/>
        <w:rPr>
          <w:rFonts w:ascii="Times New Roman" w:hAnsi="Times New Roman" w:cs="Times New Roman"/>
          <w:sz w:val="28"/>
          <w:szCs w:val="28"/>
          <w:lang w:val="uk-UA"/>
        </w:rPr>
      </w:pPr>
      <w:r w:rsidRPr="005B551B">
        <w:rPr>
          <w:lang w:val="ru-RU"/>
        </w:rPr>
        <w:br w:type="page"/>
      </w:r>
    </w:p>
    <w:p w:rsidR="001D0C14" w:rsidRDefault="00E16C6E">
      <w:pPr>
        <w:spacing w:after="0"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2.2. Концепція історичного фестивалю «Яворина»</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Традиційний щорічний фестиваль «Яворина» є значущою патріотичною подією, яка відіграє важливу роль у збереженні історичної пам’яті про Українську повстанську армію (УПА). Фестиваль зазвичай проводиться в липні в урочищі Розтока, розташованому поблизу села Липа в Івано-Франківській області, Україна.</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Цей захід спрямований на вшанування героїв УПА, які боролися за незалежність України в середині ХХ століття. Під час фестивалю проводяться різноманітні заходи, включаючи історичні реконструкції, виступи науковців та дослідників, а також культурні та мистецькі програми. Учасники мають можливість ознайомитися з історичними матеріалами, документами та експонатами, які відображають діяльність УПА та її роль у визвольному русі.</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Фестиваль «Яворина» також сприяє вихованню патріотизму серед молоді та зміцненню національної свідомості. Захід збирає не лише місцевих мешканців, але й відвідувачів з інших регіонів України та закордону. Він слугує платформою для обміну знаннями та досвідом між різними поколіннями, підтримуючи зв’язок між історією та сучасністю.</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Окрім цього, фестиваль має значний вплив на збереження та популяризацію культурної спадщини регіону. В урочищі Розтока, де проводиться фестиваль, створюється атмосфера, що дозволяє учасникам відчути дух епохи та глибше зрозуміти значення подій, пов’язаних з Українською повстанською армією [29].</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Унікальність цього заходу полягає у наступних характеристиках:</w:t>
      </w:r>
    </w:p>
    <w:p w:rsidR="001D0C14" w:rsidRDefault="00E16C6E">
      <w:pPr>
        <w:numPr>
          <w:ilvl w:val="0"/>
          <w:numId w:val="5"/>
        </w:numPr>
        <w:spacing w:after="0" w:line="360" w:lineRule="auto"/>
        <w:ind w:left="0" w:firstLine="720"/>
        <w:rPr>
          <w:rFonts w:ascii="Times New Roman" w:hAnsi="Times New Roman" w:cs="Times New Roman"/>
          <w:sz w:val="28"/>
          <w:szCs w:val="28"/>
          <w:lang w:val="uk-UA"/>
        </w:rPr>
      </w:pPr>
      <w:r>
        <w:rPr>
          <w:rFonts w:ascii="Times New Roman" w:hAnsi="Times New Roman" w:cs="Times New Roman"/>
          <w:bCs/>
          <w:sz w:val="28"/>
          <w:szCs w:val="28"/>
          <w:lang w:val="uk-UA"/>
        </w:rPr>
        <w:t>Патріотична спрямованість:</w:t>
      </w:r>
      <w:r>
        <w:rPr>
          <w:rFonts w:ascii="Times New Roman" w:hAnsi="Times New Roman" w:cs="Times New Roman"/>
          <w:sz w:val="28"/>
          <w:szCs w:val="28"/>
          <w:lang w:val="uk-UA"/>
        </w:rPr>
        <w:t xml:space="preserve"> Фестиваль фокусується на патріотичних цінностях, вшануванні пам’яті загиблих воїнів та культурних традиціях, пов’язаних з національно-визвольною боротьбою.</w:t>
      </w:r>
    </w:p>
    <w:p w:rsidR="001D0C14" w:rsidRDefault="00E16C6E">
      <w:pPr>
        <w:numPr>
          <w:ilvl w:val="0"/>
          <w:numId w:val="5"/>
        </w:numPr>
        <w:spacing w:after="0" w:line="360" w:lineRule="auto"/>
        <w:ind w:left="0" w:firstLine="720"/>
        <w:rPr>
          <w:rFonts w:ascii="Times New Roman" w:hAnsi="Times New Roman" w:cs="Times New Roman"/>
          <w:sz w:val="28"/>
          <w:szCs w:val="28"/>
          <w:lang w:val="uk-UA"/>
        </w:rPr>
      </w:pPr>
      <w:r>
        <w:rPr>
          <w:rFonts w:ascii="Times New Roman" w:hAnsi="Times New Roman" w:cs="Times New Roman"/>
          <w:bCs/>
          <w:sz w:val="28"/>
          <w:szCs w:val="28"/>
          <w:lang w:val="uk-UA"/>
        </w:rPr>
        <w:t>Регіональна інтеграція:</w:t>
      </w:r>
      <w:r>
        <w:rPr>
          <w:rFonts w:ascii="Times New Roman" w:hAnsi="Times New Roman" w:cs="Times New Roman"/>
          <w:sz w:val="28"/>
          <w:szCs w:val="28"/>
          <w:lang w:val="uk-UA"/>
        </w:rPr>
        <w:t xml:space="preserve"> Представлення учасників з різних регіонів України (Івано-Франківщина, Закарпаття, Київщина) сприяє обміну культурними досвідами та підтримує єдність краю.</w:t>
      </w:r>
    </w:p>
    <w:p w:rsidR="001D0C14" w:rsidRDefault="00E16C6E">
      <w:pPr>
        <w:numPr>
          <w:ilvl w:val="0"/>
          <w:numId w:val="5"/>
        </w:numPr>
        <w:spacing w:after="0" w:line="360" w:lineRule="auto"/>
        <w:ind w:left="0" w:firstLine="720"/>
        <w:rPr>
          <w:rFonts w:ascii="Times New Roman" w:hAnsi="Times New Roman" w:cs="Times New Roman"/>
          <w:sz w:val="28"/>
          <w:szCs w:val="28"/>
          <w:lang w:val="uk-UA"/>
        </w:rPr>
      </w:pPr>
      <w:r>
        <w:rPr>
          <w:rFonts w:ascii="Times New Roman" w:hAnsi="Times New Roman" w:cs="Times New Roman"/>
          <w:bCs/>
          <w:sz w:val="28"/>
          <w:szCs w:val="28"/>
          <w:lang w:val="uk-UA"/>
        </w:rPr>
        <w:t>Залучення владних структур:</w:t>
      </w:r>
      <w:r>
        <w:rPr>
          <w:rFonts w:ascii="Times New Roman" w:hAnsi="Times New Roman" w:cs="Times New Roman"/>
          <w:sz w:val="28"/>
          <w:szCs w:val="28"/>
          <w:lang w:val="uk-UA"/>
        </w:rPr>
        <w:t xml:space="preserve"> Фестиваль отримав підтримку від різних рівнів влади, що свідчить про його значимість у регіоні та важливість утримання ініціатив патріотичного спрямування.</w:t>
      </w:r>
    </w:p>
    <w:p w:rsidR="001D0C14" w:rsidRDefault="00E16C6E">
      <w:pPr>
        <w:numPr>
          <w:ilvl w:val="0"/>
          <w:numId w:val="5"/>
        </w:numPr>
        <w:spacing w:after="0" w:line="360" w:lineRule="auto"/>
        <w:ind w:left="0" w:firstLine="720"/>
        <w:rPr>
          <w:rFonts w:ascii="Times New Roman" w:hAnsi="Times New Roman" w:cs="Times New Roman"/>
          <w:sz w:val="28"/>
          <w:szCs w:val="28"/>
          <w:lang w:val="uk-UA"/>
        </w:rPr>
      </w:pPr>
      <w:r>
        <w:rPr>
          <w:rFonts w:ascii="Times New Roman" w:hAnsi="Times New Roman" w:cs="Times New Roman"/>
          <w:bCs/>
          <w:sz w:val="28"/>
          <w:szCs w:val="28"/>
          <w:lang w:val="uk-UA"/>
        </w:rPr>
        <w:lastRenderedPageBreak/>
        <w:t>Культурно-історичний контекст:</w:t>
      </w:r>
      <w:r>
        <w:rPr>
          <w:rFonts w:ascii="Times New Roman" w:hAnsi="Times New Roman" w:cs="Times New Roman"/>
          <w:sz w:val="28"/>
          <w:szCs w:val="28"/>
          <w:lang w:val="uk-UA"/>
        </w:rPr>
        <w:t xml:space="preserve"> Учасники фестивалю вшановують пам’ять культурних та історичних постатей, таких як Ярослав Мельник «Роберт» і загиблі у підстаршинській школі «Олені», що надає події глибокий культурно-історичний контекст.</w:t>
      </w:r>
    </w:p>
    <w:p w:rsidR="001D0C14" w:rsidRDefault="00E16C6E">
      <w:pPr>
        <w:numPr>
          <w:ilvl w:val="0"/>
          <w:numId w:val="5"/>
        </w:numPr>
        <w:spacing w:after="0" w:line="360" w:lineRule="auto"/>
        <w:ind w:left="0" w:firstLine="720"/>
        <w:rPr>
          <w:rFonts w:ascii="Times New Roman" w:hAnsi="Times New Roman" w:cs="Times New Roman"/>
          <w:sz w:val="28"/>
          <w:szCs w:val="28"/>
          <w:lang w:val="uk-UA"/>
        </w:rPr>
      </w:pPr>
      <w:r>
        <w:rPr>
          <w:rFonts w:ascii="Times New Roman" w:hAnsi="Times New Roman" w:cs="Times New Roman"/>
          <w:bCs/>
          <w:sz w:val="28"/>
          <w:szCs w:val="28"/>
          <w:lang w:val="uk-UA"/>
        </w:rPr>
        <w:t>Різноманіття заходів:</w:t>
      </w:r>
      <w:r>
        <w:rPr>
          <w:rFonts w:ascii="Times New Roman" w:hAnsi="Times New Roman" w:cs="Times New Roman"/>
          <w:sz w:val="28"/>
          <w:szCs w:val="28"/>
          <w:lang w:val="uk-UA"/>
        </w:rPr>
        <w:t xml:space="preserve"> В програмі фестивалю різноманітні заходи, включаючи виступи художніх колективів, спортивні змагання та демонстрації народних розваг, що робить його привабливим для широкого кола учасників та глядачів.</w:t>
      </w:r>
    </w:p>
    <w:p w:rsidR="001D0C14" w:rsidRDefault="00E16C6E">
      <w:pPr>
        <w:numPr>
          <w:ilvl w:val="0"/>
          <w:numId w:val="5"/>
        </w:numPr>
        <w:spacing w:after="0" w:line="360" w:lineRule="auto"/>
        <w:ind w:left="0" w:firstLine="720"/>
        <w:rPr>
          <w:rFonts w:ascii="Times New Roman" w:hAnsi="Times New Roman" w:cs="Times New Roman"/>
          <w:sz w:val="28"/>
          <w:szCs w:val="28"/>
          <w:lang w:val="uk-UA"/>
        </w:rPr>
      </w:pPr>
      <w:r>
        <w:rPr>
          <w:rFonts w:ascii="Times New Roman" w:hAnsi="Times New Roman" w:cs="Times New Roman"/>
          <w:bCs/>
          <w:sz w:val="28"/>
          <w:szCs w:val="28"/>
          <w:lang w:val="uk-UA"/>
        </w:rPr>
        <w:t>Емоційне збагачення:</w:t>
      </w:r>
      <w:r>
        <w:rPr>
          <w:rFonts w:ascii="Times New Roman" w:hAnsi="Times New Roman" w:cs="Times New Roman"/>
          <w:sz w:val="28"/>
          <w:szCs w:val="28"/>
          <w:lang w:val="uk-UA"/>
        </w:rPr>
        <w:t xml:space="preserve"> Учасники фестивалю мають можливість відчути емоційне збагачення через взаємодію з історичними місцями, участь у традиційних забавах та спілкування з іншими патріотами та учасниками заходу.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Головною метою фестивалю є вшанування пам’яті національних героїв, зокрема крайового провідника ОУН Карпатського краю Ярослава Мельника «Роберта» та загиблих вояків підстаршинської школи «Олені». По-друге, фестиваль сприяв популяризації патріотичних цінностей серед учасників та відвідувачів, наголошуючи на важливості національно-визвольної боротьби. Це сприяло зміцненню національної свідомості та гордості за історію своєї країни.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Третя мета полягала у збереженні та популяризації культурної спадщини. Фестиваль підтримував виступи народних аматорських художніх колективів, сприяючи збереженню та поширенню народних традицій і пісенної спадщини.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Четвертою метою було формування національної ідентичності через історичну пам’ять та культурні заходи, що відбувалися у символічно значущих місцях. Це дозволяло учасникам відчути зв’язок з історичними подіями та постатями.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П’ята мета полягала у соціальній інтеграції та об’єднанні. Залучення колективів та патріотів з різних регіонів України сприяло інтеграції, об’єднанню та зміцненню соціальних зв’язків між громадами.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Шостою метою було фізичне і духовне збагачення учасників. Участь у різноманітних спортивних змаганнях та культурних заходах сприяла фізичному розвитку та духовному збагаченню. Сьома мета полягала у підтримці місцевих ініціатив, які сприяють культурному та туристичному розвитку регіону. Фестиваль </w:t>
      </w:r>
      <w:r>
        <w:rPr>
          <w:rFonts w:ascii="Times New Roman" w:hAnsi="Times New Roman" w:cs="Times New Roman"/>
          <w:sz w:val="28"/>
          <w:szCs w:val="28"/>
          <w:lang w:val="uk-UA"/>
        </w:rPr>
        <w:lastRenderedPageBreak/>
        <w:t>підкреслював важливість таких ініціатив та їхню роль у розвитку громади. Восьмою, і останньою метою, було залучення молоді до активної громадянської позиції. Захід сприяв активному залученню молодих людей до участі в громадському житті, підтримуючи розвиток їхньої громадянської свідомості та активності.</w:t>
      </w:r>
    </w:p>
    <w:p w:rsidR="001D0C14" w:rsidRDefault="00E16C6E">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uk-UA"/>
        </w:rPr>
        <w:t>Фестиваль «Яворина» був започаткований у 1988 році і традиційно проводився в першу неділю після свята верховних апостолів Петра і Павла. Початково захід проходив в урочищі Розтока на Долинщині, куди з’їжджалися аматори сцени з різних куточків Прикарпаття, України та інших країн світу. За роки свого існування фестиваль став значущою подією для багатьох культурних і громадських діячів</w:t>
      </w:r>
      <w:r>
        <w:rPr>
          <w:rFonts w:ascii="Times New Roman" w:hAnsi="Times New Roman" w:cs="Times New Roman"/>
          <w:sz w:val="28"/>
          <w:szCs w:val="28"/>
          <w:lang w:val="ru-RU"/>
        </w:rPr>
        <w:t xml:space="preserve"> [29].</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Фестиваль «Яворина» щорічно залучав різноманітних учасників, серед яких були як професійні митці, так і аматори, що представляли різні форми мистецтва, включаючи музику, театр, літературу та образотворче мистецтво. Програма фестивалю завжди була насиченою і різноманітною, включаючи не лише виступи та концерти, але й науково-практичні конференції, присвячені історії Української повстанської армії та визвольному руху в Україні.</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Особлива увага на фестивалі приділялася пам’ятним заходам та вшануванню ветеранів УПА, що додавало заходу патріотичного та емоційного характеру. Урочисті церемонії, молебні, покладання вінків до пам’ятних знаків та інші ритуали стали невід’ємною частиною «Яворини».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 2024 році, через обставини, спричинені війною, місце проведення фестивалю було змінено на Івано-Франківськ. Це рішення дозволило зберегти традицію проведення фестивалю, забезпечуючи безпеку його учасників та гостей. Нове місце проведення відкриває нові можливості для організації заходів, залучення нової аудиторії та інтеграції фестивалю у міський культурний контекст.</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Незважаючи на зміну місця проведення, основна мета фестивалю залишається незмінною: вшанування пам’яті героїв УПА, збереження історичної спадщини та розвиток патріотичного духу серед українців. Івано-Франківськ, як культурний центр регіону, надає фестивалю новий імпульс та сприяє його подальшому розвитку, підтверджуючи важливість цієї події в сучасному українському культурному житті.</w:t>
      </w:r>
    </w:p>
    <w:p w:rsidR="001D0C14" w:rsidRDefault="001D0C14">
      <w:pPr>
        <w:rPr>
          <w:rFonts w:ascii="Times New Roman" w:hAnsi="Times New Roman" w:cs="Times New Roman"/>
          <w:b/>
          <w:bCs/>
          <w:sz w:val="28"/>
          <w:szCs w:val="28"/>
          <w:lang w:val="uk-UA"/>
        </w:rPr>
      </w:pPr>
    </w:p>
    <w:p w:rsidR="001D0C14" w:rsidRDefault="001D0C14">
      <w:pPr>
        <w:rPr>
          <w:rFonts w:ascii="Times New Roman" w:hAnsi="Times New Roman" w:cs="Times New Roman"/>
          <w:b/>
          <w:bCs/>
          <w:sz w:val="28"/>
          <w:szCs w:val="28"/>
          <w:lang w:val="uk-UA"/>
        </w:rPr>
      </w:pPr>
    </w:p>
    <w:p w:rsidR="001D0C14" w:rsidRDefault="00E16C6E">
      <w:pPr>
        <w:rPr>
          <w:rFonts w:ascii="Times New Roman" w:hAnsi="Times New Roman" w:cs="Times New Roman"/>
          <w:b/>
          <w:bCs/>
          <w:sz w:val="28"/>
          <w:szCs w:val="28"/>
          <w:lang w:val="uk-UA"/>
        </w:rPr>
      </w:pPr>
      <w:r>
        <w:rPr>
          <w:rFonts w:ascii="Times New Roman" w:hAnsi="Times New Roman" w:cs="Times New Roman"/>
          <w:b/>
          <w:bCs/>
          <w:sz w:val="28"/>
          <w:szCs w:val="28"/>
          <w:lang w:val="uk-UA"/>
        </w:rPr>
        <w:t>2.3. Розробка та планування території фестивалю</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Фестивальний простір фестивалю «Яворина» становить 4 тис. м², однак відсутність раціонального планування цієї території та її функціонального зонування створює серйозні проблеми, особливо з огляду на постійне збільшення кількості учасників та відвідувачів.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Нераціональне зонування території призводить до хаотичного розташування сцен, торгових точок, зон відпочинку та інших важливих об’єктів. Це створює значні незручності для відвідувачів, які можуть відчувати труднощі в орієнтуванні на території. Коли об’єкти розташовані без певної логіки, людям важко знайти потрібні зони, що негативно впливає на їхній загальний досвід від фестивалю. Функціональне зонування має забезпечити логічне та зручне розташування різних зон, таких як сцени, торгові площі, зони відпочинку, санітарні вузли та пункти першої медичної допомоги.</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Окрім цього, відсутність чіткої системи навігації також є наслідком нераціонального планування. Відвідувачі можуть витрачати багато часу на пошук потрібних зон чи об’єктів, що спричиняє незадоволення та знижує рівень комфорту. Важливо розробити чіткі навігаційні схеми та встановити відповідні вказівники, які допоможуть відвідувачам швидко орієнтуватися на території фестивалю.</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Недостатня доступність інфраструктури є ще однією серйозною проблемою. Без правильного планування може виникати ситуація, коли важливі об’єкти, такі як санітарні вузли, пункти першої медичної допомоги або зони харчування, розташовані занадто далеко від основних зон проведення заходів. Це створює незручності для відвідувачів, особливо для людей з обмеженими можливостями, дітей та літніх людей. Розробка плану розташування цих об’єктів повинна враховувати їх доступність для всіх категорій відвідувачів.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Безпека також страждає від нераціонального планування території. У разі виникнення надзвичайних ситуацій важливо забезпечити можливість швидкої евакуації людей з будь-якої частини фестивальної зони. Відсутність чітких евакуаційних шляхів і зон безпеки може призвести до паніки та травмування людей.</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lastRenderedPageBreak/>
        <w:t>Хаотичне розташування об’єктів і зон також може негативно вплинути на загальну атмосферу фестивалю. Важливо створити гармонійне середовище, яке сприятиме позитивному настрою та комфорту відвідувачів. Це включає врахування ландшафтних особливостей місцевості, наявність зелених зон та зон відпочинку, а також створення естетично привабливого простору.</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На фестивалі «Яворина» також бракує тимчасових приміщень, таких як намети чи павільйони для учасників фестивалю, де вони могли би переодягнутися та підготуватися до виступів. Це створює значні незручності для артистів і організаторів, оскільки відсутність спеціально облаштованих місць для підготовки знижує рівень організації та комфорт учасників. Учасникам доводиться шукати альтернативні способи підготовки, що може вплинути на якість їхніх виступів та загальний рівень заходу.</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Наявність таких приміщень дозволила б не лише забезпечити комфорт учасників, але й підвищити загальний професійний рівень фестивалю. Тимчасові споруди повинні бути обладнані всім необхідним для комфортного перебування артистів, включаючи освітлення, електричні розетки, дзеркала та місця для сидіння. Це створить умови, які сприятимуть кращій підготовці до виступів та допоможуть учасникам зосередитися на своїй творчості, не відволікаючись на побутові проблеми.</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Окрім цього, фестиваль стикається з проблемою обмеженості місць для стоянки транспорту. Збільшення кількості відвідувачів і учасників фестивалю вимагає розширення паркувальної зони. Наразі недостатньо місць для паркування, що створює труднощі як для відвідувачів, так і для учасників, особливо тих, хто приїжджає з іншими містами або країнами на власному транспорті.</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Розширення паркувальної зони повинно бути ретельно спланованим і враховувати потреби всіх категорій відвідувачів, включаючи людей з обмеженими можливостями. Важливо забезпечити зручний доступ до паркувальних місць та їх близькість до основної території фестивалю, що допоможе уникнути довгих переходів та забезпечить комфортний доступ до заходів.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 xml:space="preserve">Також необхідно врахувати питання безпеки та охорони паркувальної зони. Важливо забезпечити достатню кількість охоронців та встановити </w:t>
      </w:r>
      <w:r>
        <w:rPr>
          <w:rFonts w:ascii="Times New Roman" w:eastAsiaTheme="minorHAnsi" w:hAnsi="Times New Roman" w:cs="Times New Roman"/>
          <w:bCs/>
          <w:color w:val="000000" w:themeColor="text1"/>
          <w:sz w:val="28"/>
          <w:szCs w:val="28"/>
          <w:lang w:val="uk-UA"/>
        </w:rPr>
        <w:lastRenderedPageBreak/>
        <w:t>відеоспостереження, щоб відвідувачі могли бути впевнені у безпеці свого транспорту. Це додасть до загальної привабливості фестивалю і створить позитивне враження у гостей.</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Для вирішення цих проблем необхідно провести комплексне планування та залучити додаткові ресурси. Це може включати співпрацю з місцевими владою та підприємствами, які можуть надати необхідні матеріали та допомогу в облаштуванні тимчасових приміщень та паркувальних місць. Інвестиції в ці аспекти значно підвищать комфорт і безпеку учасників та відвідувачів, сприятимуть позитивному іміджу фестивалю «Яворина» та залученню ще більшої кількості гостей у майбутньому.</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Для успішного проведення фестивалю «Яворина» необхідно звернути особливу увагу на планування фестивальної території та її функціональне зонування. Раціональне розташування об’єктів, забезпечення зручної навігації та доступності інфраструктури, врахування безпекових аспектів та створення гармонійної атмосфери — всі ці фактори є ключовими для покращення досвіду відвідувачів і успішного функціонування фестивалю в цілому. Вирішення цих питань вимагатиме ретельного планування, співпраці з експертами у галузі урбаністики та дизайну, а також активного залучення відгуків відвідувачів для подальшого вдосконалення організаційних процесів.</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Отримавши детальну покрокову інструкцію потрібно поставити відповідні мітки на рисунку 2.5. Даний рисунок виступатиме як полотно для розмітки. Цей процес включає в себе аналіз наданої інформації та правильне розміщення відповідних позначок на вказаних у документації місцях рисунку. Жовтим кольором відмічено територію найближчого села, а синім – саму територію для фестивального простору. Зокрема, необхідно уважно дослідити кожну інструкцію, враховуючи всі деталі та вимоги, щоб забезпечити точне розміщення міток у визначених місцях. Такий підхід дозволяє забезпечити належну ідентифікацію і розпізнаваність елементів на рисунку та забезпечити повноту реалізації вказівок, наданих у документі.</w:t>
      </w:r>
    </w:p>
    <w:p w:rsidR="001D0C14" w:rsidRDefault="00E16C6E">
      <w:pPr>
        <w:spacing w:after="0" w:line="360" w:lineRule="auto"/>
        <w:ind w:firstLine="709"/>
        <w:rPr>
          <w:rFonts w:ascii="Times New Roman" w:eastAsiaTheme="minorHAnsi" w:hAnsi="Times New Roman" w:cs="Times New Roman"/>
          <w:bCs/>
          <w:color w:val="000000" w:themeColor="text1"/>
          <w:sz w:val="16"/>
          <w:szCs w:val="28"/>
          <w:lang w:val="uk-UA"/>
        </w:rPr>
      </w:pPr>
      <w:r>
        <w:rPr>
          <w:rFonts w:ascii="Times New Roman" w:eastAsiaTheme="minorHAnsi" w:hAnsi="Times New Roman" w:cs="Times New Roman"/>
          <w:bCs/>
          <w:noProof/>
          <w:color w:val="000000" w:themeColor="text1"/>
          <w:sz w:val="16"/>
          <w:szCs w:val="28"/>
          <w:lang w:val="uk-UA"/>
        </w:rPr>
        <w:lastRenderedPageBreak/>
        <w:drawing>
          <wp:anchor distT="0" distB="0" distL="0" distR="0" simplePos="0" relativeHeight="18" behindDoc="0" locked="0" layoutInCell="0" allowOverlap="1">
            <wp:simplePos x="0" y="0"/>
            <wp:positionH relativeFrom="column">
              <wp:posOffset>19050</wp:posOffset>
            </wp:positionH>
            <wp:positionV relativeFrom="paragraph">
              <wp:posOffset>635</wp:posOffset>
            </wp:positionV>
            <wp:extent cx="6480175" cy="4143375"/>
            <wp:effectExtent l="0" t="0" r="0" b="0"/>
            <wp:wrapTopAndBottom/>
            <wp:docPr id="15"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Зображення1"/>
                    <pic:cNvPicPr>
                      <a:picLocks noChangeAspect="1" noChangeArrowheads="1"/>
                    </pic:cNvPicPr>
                  </pic:nvPicPr>
                  <pic:blipFill>
                    <a:blip r:embed="rId16"/>
                    <a:stretch>
                      <a:fillRect/>
                    </a:stretch>
                  </pic:blipFill>
                  <pic:spPr bwMode="auto">
                    <a:xfrm>
                      <a:off x="0" y="0"/>
                      <a:ext cx="6480175" cy="4143375"/>
                    </a:xfrm>
                    <a:prstGeom prst="rect">
                      <a:avLst/>
                    </a:prstGeom>
                  </pic:spPr>
                </pic:pic>
              </a:graphicData>
            </a:graphic>
          </wp:anchor>
        </w:drawing>
      </w:r>
    </w:p>
    <w:p w:rsidR="001D0C14" w:rsidRDefault="00E16C6E">
      <w:pPr>
        <w:spacing w:after="0" w:line="360" w:lineRule="auto"/>
        <w:ind w:firstLine="709"/>
        <w:jc w:val="center"/>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 xml:space="preserve">Рисунок 2.5 </w:t>
      </w:r>
      <w:r>
        <w:rPr>
          <w:rFonts w:ascii="Times New Roman" w:hAnsi="Times New Roman" w:cs="Times New Roman"/>
          <w:sz w:val="28"/>
          <w:szCs w:val="28"/>
          <w:lang w:val="ru-RU"/>
        </w:rPr>
        <w:t>–</w:t>
      </w:r>
      <w:r>
        <w:rPr>
          <w:rFonts w:ascii="Times New Roman" w:eastAsiaTheme="minorHAnsi" w:hAnsi="Times New Roman" w:cs="Times New Roman"/>
          <w:bCs/>
          <w:color w:val="000000" w:themeColor="text1"/>
          <w:sz w:val="28"/>
          <w:szCs w:val="28"/>
          <w:lang w:val="uk-UA"/>
        </w:rPr>
        <w:t xml:space="preserve"> План-мапа території фестивального простору у Витвицькій ОТГ</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1. Аналіз існуючої ситуації</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Оцінка наявної території: Цей процес включатиме в себе ретельне вивчення топографії місцевості, аналіз наявної інфраструктури та природних умов, а також оцінку потенційних зон для різних видів діяльності. Особливу увагу слід приділити рельєфу, ґрунтам, рослинності, наявності водних ресурсів та інших природних елементів, що можуть впливати на розташування функціональних зон. Аналіз цих факторів дозволить визначити оптимальні місця для розміщення сцени, зон відпочинку, торгових місць, зон харчування та інших необхідних об’єктів, забезпечуючи при цьому ефективне використання доступної площі та максимальний комфорт для відвідувачів.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 xml:space="preserve">Збір даних про відвідувачів та учасників: Цей процес передбачає застосування різноманітних методів збору інформації, таких як опитування, попередній продаж квитків, реєстрація учасників та аналіз минулих даних про відвідуваність аналогічних заходів. Необхідно також враховувати демографічні характеристики відвідувачів, їхні інтереси та потреби, щоб створити більш комфортні умови на фестивалі. Зібрані дані </w:t>
      </w:r>
      <w:r>
        <w:rPr>
          <w:rFonts w:ascii="Times New Roman" w:eastAsiaTheme="minorHAnsi" w:hAnsi="Times New Roman" w:cs="Times New Roman"/>
          <w:bCs/>
          <w:color w:val="000000" w:themeColor="text1"/>
          <w:sz w:val="28"/>
          <w:szCs w:val="28"/>
          <w:lang w:val="uk-UA"/>
        </w:rPr>
        <w:lastRenderedPageBreak/>
        <w:t xml:space="preserve">дозволять ефективно розподілити ресурси, забезпечити високий рівень обслуговування і задоволення потреб відвідувачів, а також уникнути перенавантаження окремих зон фестивального простору. </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2. Планування функціонального зонування</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 xml:space="preserve">Розробка плану території: Цей план повинен враховувати розміщення різних функціональних зон, таких як сцена, зони відпочинку, торгові місця, зони харчування, санітарні зони та інші необхідні об’єкти. Для кожної зони необхідно визначити оптимальне розташування з урахуванням логістики, безпеки та комфорту відвідувачів. Розробка плану повинна включати аналіз просторових взаємозв’язків між різними зонами, забезпечуючи їхню взаємодію та зручність використання. Планування території також передбачає врахування топографічних особливостей, наявної інфраструктури та природних умов, щоб мінімізувати негативний вплив на навколишнє середовище та забезпечити стійкість усіх конструкцій і споруд. </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ru-RU"/>
        </w:rPr>
      </w:pPr>
      <w:r>
        <w:rPr>
          <w:rFonts w:ascii="Times New Roman" w:eastAsiaTheme="minorHAnsi" w:hAnsi="Times New Roman" w:cs="Times New Roman"/>
          <w:bCs/>
          <w:color w:val="000000" w:themeColor="text1"/>
          <w:sz w:val="28"/>
          <w:szCs w:val="28"/>
          <w:lang w:val="uk-UA"/>
        </w:rPr>
        <w:t>Забезпечення доступності: Сюди входить проектування безбар’єрного середовища з достатньою кількістю пандусів, ліфтів, спеціально обладнаних санітарних вузлів та інших пристосувань, що сприяють комфортному переміщенню осіб з інвалідністю. Крім того, маршрути до кожної зони повинні бути чітко позначені та достатньо просторими, щоб уникнути скупчення людей і забезпечити швидкий і безпечний доступ. Важливим є також забезпечення належного освітлення та маркування шляхів руху, що сприятиме орієнтації відвідувачів на території фестивалю. Врахування всіх цих аспектів гарантує, що фестиваль буде доступним і привабливим для максимально широкої аудиторії.</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3. Облаштування тимчасових приміщень</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 xml:space="preserve">Закупівля та встановлення наметів/павільйонів: Ці приміщення слугуватимуть місцями для переодягання та підготовки учасників до виступів. Процес закупівлі повинен враховувати вимоги до розміру, стійкості та функціональності наметів/павільйонів. Важливо забезпечити їхню відповідність стандартам безпеки та комфорту, а також врахувати можливі погодні умови. Розташування цих приміщень на території фестивалю має бути ретельно сплановане для зручного доступу учасників, при цьому вони повинні бути достатньо віддалені від основних зон </w:t>
      </w:r>
      <w:r>
        <w:rPr>
          <w:rFonts w:ascii="Times New Roman" w:eastAsiaTheme="minorHAnsi" w:hAnsi="Times New Roman" w:cs="Times New Roman"/>
          <w:bCs/>
          <w:color w:val="000000" w:themeColor="text1"/>
          <w:sz w:val="28"/>
          <w:szCs w:val="28"/>
          <w:lang w:val="uk-UA"/>
        </w:rPr>
        <w:lastRenderedPageBreak/>
        <w:t>активності, щоб забезпечити приватність і спокій. Крім того, необхідно передбачити відповідну інфраструктуру для електропостачання, вентиляції та освітлення, що сприятиме комфортним умовам для підготовки учасників.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Облаштування санітарних зон: Санітарні зони повинні бути розміщені в зручних і легкодоступних місцях, рівномірно розподілених по всій території фестивалю, щоб уникнути черг та перенавантаження окремих об’єктів. Особливу увагу слід приділити облаштуванню зон для людей з обмеженими можливостями, забезпечивши їх доступність і відповідність спеціальним стандартам. Крім того, необхідно організувати регулярне обслуговування та очищення санітарних зон, що забезпечить високий рівень гігієни протягом усього фестивалю. Встановлення додаткових пунктів для миття рук та дезінфекції також сприятиме підтримці належних санітарних умов і зниженню ризику поширення інфекцій.</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4. Розширення стоянки для транспорту</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Аналіз поточної стоянки: Це передбачає систематичний огляд і оцінку існуючих можливостей для подальшого розвитку або створення нових стоянок. Цей процес включає в себе детальне дослідження інфраструктури, зокрема доступності, вмісту і розташування існуючих стоянок. Метою є визначення областей для можливого розширення або вдосконалення стоянки з метою забезпечення більшої ефективності і задоволення потреб користувачів.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Впорядкування паркування: Сюди входить встановлення належної маркування місць для паркування, визначення зон для різних типів транспорту (особистий транспорт, автобуси, технічні засоби) та розробку оптимальної схеми розташування паркомісць з урахуванням потреб користувачів та вимог безпеки та ефективності</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5. Закупівля матеріально-технічних засобів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Визначення необхідних засобів: Цей процес включає в себе складання списку матеріально-технічних засобів, таких як сцени, звукове обладнання, освітлення та інші відповідно до потреб і специфіки фестивалю. Для досягнення максимальної ефективності й забезпечення відповідності стандартам безпеки та якості необхідно провести детальний аналіз технічних характеристик і доступних варіантів засобів.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lastRenderedPageBreak/>
        <w:t>Процес закупівлі: Процес закупівлі передбачає проведення тендерів або конкурсів з метою вибору найкращих постачальників матеріалів і обладнання для фестивальної інфраструктури відповідно до бюджетних можливостей організаторів. Це включає ретельне оцінювання пропозицій від потенційних постачальників, врахування якості, ціни та технічних характеристик пропонованих засобів, а також забезпечення відповідності закупівельних процедур вимогам законодавства.</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6. Впровадження плану</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Координація робіт: Впровадження плану вимагає систематичної координації та моніторингу для успішної реалізації завдань в обумовлені терміни. Координація робіт передбачає організацію діяльності підрядників і волонтерів з метою ефективної виконавчої діяльності, спрямованої на досягнення поставлених цілей. Цей процес включає в себе розподіл обов’язків, контроль за виконанням завдань та вирішенням поточних питань, що виникають під час реалізації плану.</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Моніторинг виконання: Даний процес включає в себе оцінку прогресу, виявлення можливих затримок або проблем, а також прийняття заходів для їх вирішення. Регулярний моніторинг дозволяє оперативно реагувати на зміни в умовах виконання проекту та забезпечує своєчасне внесення коректив у план дій для досягнення запланованих результатів.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7. Оцінка результатів</w:t>
      </w: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Оцінка успішності заходів: Після завершення фестивалю необхідно провести систематичний аналіз, що включає збір відгуків від учасників та відвідувачів. Цей процес передбачає вивчення різноманітних аспектів, таких як якість інфраструктури, організація програми подій, комфорт для гостей тощо, з метою визначення позитивних та негативних аспектів фестивалю.</w:t>
      </w:r>
    </w:p>
    <w:p w:rsidR="001D0C14" w:rsidRDefault="00E16C6E">
      <w:pPr>
        <w:spacing w:after="0" w:line="360" w:lineRule="auto"/>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 xml:space="preserve">Аналіз для майбутніх покращень: Аналіз для майбутніх покращень полягає в використанні отриманих даних з оцінки успішності для подальшого вдосконалення фестивальної інфраструктури в наступні роки. Цей процес включає в себе ідентифікацію слабких місць та проблемних аспектів фестивалю на основі отриманих відгуків і впровадження відповідних заходів для їх вирішення. Крім того, важливою </w:t>
      </w:r>
      <w:r>
        <w:rPr>
          <w:rFonts w:ascii="Times New Roman" w:eastAsiaTheme="minorHAnsi" w:hAnsi="Times New Roman" w:cs="Times New Roman"/>
          <w:bCs/>
          <w:color w:val="000000" w:themeColor="text1"/>
          <w:sz w:val="28"/>
          <w:szCs w:val="28"/>
          <w:lang w:val="uk-UA"/>
        </w:rPr>
        <w:lastRenderedPageBreak/>
        <w:t>частиною цього процесу є постійний моніторинг та оновлення стратегій організації фестивалю з урахуванням змін у потребах та очікуваннях учасників та відвідувачів.</w:t>
      </w:r>
      <w:bookmarkStart w:id="5" w:name="_Hlk165899718"/>
      <w:bookmarkEnd w:id="5"/>
    </w:p>
    <w:p w:rsidR="001D0C14" w:rsidRDefault="00E16C6E">
      <w:pPr>
        <w:spacing w:after="0" w:line="360" w:lineRule="auto"/>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На основі прописаних етапів отримано наступний результат на рисунку 2.6. Цей результат відображає відповідність проведених процесів інструкціям та включає в себе всі необхідні елементи, які були описані на кожному етапі. Враховуючи надані деталі і вимоги, розроблено графічну інформацію, яка повністю відповідає запропонованим крокам. Результат представлений у відповідності з усіма вимогами та стандартами, що дозволяє досягти максимальної ефективності та точності у виконанні завдання. Важливо зазначити, що кінцевий результат є результатом уважного дотримання інструкцій та уважної реалізації кожного етапу процесу. Використовується схематичне зображення відображене на рисунку 2.6.</w:t>
      </w:r>
    </w:p>
    <w:p w:rsidR="001D0C14" w:rsidRDefault="00E16C6E">
      <w:pPr>
        <w:spacing w:beforeAutospacing="1" w:afterAutospacing="1" w:line="240" w:lineRule="auto"/>
        <w:jc w:val="center"/>
        <w:rPr>
          <w:rFonts w:ascii="Times New Roman" w:eastAsia="Times New Roman" w:hAnsi="Times New Roman" w:cs="Times New Roman"/>
          <w:sz w:val="24"/>
          <w:szCs w:val="24"/>
          <w:lang w:val="uk-UA" w:eastAsia="uk-UA"/>
        </w:rPr>
      </w:pPr>
      <w:r>
        <w:rPr>
          <w:noProof/>
        </w:rPr>
        <w:drawing>
          <wp:inline distT="0" distB="0" distL="0" distR="0">
            <wp:extent cx="4697095" cy="2711450"/>
            <wp:effectExtent l="0" t="0" r="0" b="0"/>
            <wp:docPr id="1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3"/>
                    <pic:cNvPicPr>
                      <a:picLocks noChangeAspect="1" noChangeArrowheads="1"/>
                    </pic:cNvPicPr>
                  </pic:nvPicPr>
                  <pic:blipFill>
                    <a:blip r:embed="rId17"/>
                    <a:stretch>
                      <a:fillRect/>
                    </a:stretch>
                  </pic:blipFill>
                  <pic:spPr bwMode="auto">
                    <a:xfrm>
                      <a:off x="0" y="0"/>
                      <a:ext cx="4697095" cy="2711450"/>
                    </a:xfrm>
                    <a:prstGeom prst="rect">
                      <a:avLst/>
                    </a:prstGeom>
                  </pic:spPr>
                </pic:pic>
              </a:graphicData>
            </a:graphic>
          </wp:inline>
        </w:drawing>
      </w:r>
    </w:p>
    <w:p w:rsidR="001D0C14" w:rsidRDefault="00E16C6E">
      <w:pPr>
        <w:spacing w:after="0" w:line="360" w:lineRule="auto"/>
        <w:jc w:val="center"/>
        <w:rPr>
          <w:rFonts w:ascii="Times New Roman" w:eastAsiaTheme="minorHAnsi" w:hAnsi="Times New Roman" w:cs="Times New Roman"/>
          <w:bCs/>
          <w:color w:val="000000" w:themeColor="text1"/>
          <w:sz w:val="28"/>
          <w:szCs w:val="28"/>
          <w:lang w:val="uk-UA"/>
        </w:rPr>
      </w:pPr>
      <w:r>
        <w:rPr>
          <w:rFonts w:ascii="Times New Roman" w:eastAsiaTheme="minorHAnsi" w:hAnsi="Times New Roman" w:cs="Times New Roman"/>
          <w:bCs/>
          <w:color w:val="000000" w:themeColor="text1"/>
          <w:sz w:val="28"/>
          <w:szCs w:val="28"/>
          <w:lang w:val="uk-UA"/>
        </w:rPr>
        <w:t>Рисунок 2.6 – Схематичне зображення території фестивалю «Яворина»</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Червоний пунктир на карті фестивалю вказує на область фестивальної площі, що охоплює площу 4000 квадратних метрів. Ця зона призначена для проведення основних заходів та активностей фестивалю, таких як виставки, демонстрації, майстер-класи та інші культурні події.</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Синій колір вказує на місце розташування сцени, де заплановані виступи, концерти та інші масові заходи, які привертають увагу великої аудиторії. Зелений відзначає зону відпочинку, призначену для відвідувачів та учасників фестивалю для відпочинку, відновлення сил та спілкування з іншими учасниками.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Жовтий колір позначає торговельні простори, де розміщуються різноманітні торгові точки та кіоски, де відвідувачі можуть придбати різноманітні товари та послуги. Помаранчевий вказує на зону харчування, де доступний різноманітний асортимент їжі та напоїв для задоволення потреб учасників та гостей фестивалю.</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Фіолетовий позначає тимчасові споруди, такі як намети або павільйони, які можуть бути використані для різних цілей, включаючи торгівлю та додаткові простори для виступів або інших активностей. Рожевий вказує на санітарні зони, включаючи туалети та місця для миття рук, щоб забезпечити гігієну та комфорт для відвідувачів.</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Сірий позначає зони паркування, де учасники та відвідувачі можуть залишити свої автомобілі під час участі у фестивалі, забезпечуючи організацію та безпеку на території заходу.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Завдяки впровадженню низки заходів покращення фестивального простору передбачаються численні позитивні результати. По-перше, вона дозволить оптимально використовувати простір фестивальної території. Завдяки чіткому плануванню та зонуванню, буде можливо ефективно розподілити площу в 4000 квадратних метрів для різноманітних заходів та активностей, створюючи комфортне та затишне середовище для учасників та відвідувачів фестивалю.</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Крім того, це сприятиме покращенню організації заходу. З чіткими позначеннями кожної зони, включаючи місце розташування сцени, зони відпочинку, торгові простори та інші, організатори фестивалю зможуть краще контролювати та керувати рухом учасників та відвідувачів, забезпечуючи зручність та безпеку на заході. Ця система забезпечить комфорт та безпеку на фестивалі. Різноманітні зони, такі як торговельні, харчові, відпочинку та інші, дозволять учасникам та відвідувачам фестивалю максимально насолоджуватися подією, забезпечуючи доступ до всіх потрібних сервісів та послуг. Крім того, наявність зон паркування та санітарних зон забезпечить комфортне перебування учасників та відвідувачів фестивалю, а також забезпечить високий рівень безпеки та гігієни на території заходу.</w:t>
      </w:r>
    </w:p>
    <w:p w:rsidR="001D0C14" w:rsidRDefault="00E16C6E">
      <w:pPr>
        <w:spacing w:after="0" w:line="360" w:lineRule="auto"/>
        <w:ind w:firstLine="709"/>
        <w:rPr>
          <w:rFonts w:ascii="Times New Roman" w:hAnsi="Times New Roman" w:cs="Times New Roman"/>
          <w:sz w:val="28"/>
          <w:szCs w:val="28"/>
          <w:lang w:val="uk-UA"/>
        </w:rPr>
      </w:pPr>
      <w:r w:rsidRPr="005B551B">
        <w:rPr>
          <w:lang w:val="uk-UA"/>
        </w:rPr>
        <w:br w:type="page"/>
      </w:r>
    </w:p>
    <w:p w:rsidR="001D0C14" w:rsidRDefault="00E16C6E">
      <w:pPr>
        <w:spacing w:after="0" w:line="360" w:lineRule="auto"/>
        <w:ind w:firstLine="709"/>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lastRenderedPageBreak/>
        <w:t>РОЗДІЛ 3. ПЛАН РЕАЛІЗАЦІЇ ЗАХОДІВ ФЕСТИВАЛЮ «ЯВОРИНА»</w:t>
      </w:r>
    </w:p>
    <w:p w:rsidR="001D0C14" w:rsidRDefault="00E16C6E">
      <w:pPr>
        <w:spacing w:after="0" w:line="360" w:lineRule="auto"/>
        <w:ind w:firstLine="709"/>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3.1. Перспективи розвитку подієвого туризму в Україні</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Туризм представляє собою складну соціально-економічну систему, яка постійно розвивається і має значний вплив на формування колективної свідомості, особливо у контексті впливу на цінності молодого покоління. Сучасна молодь активно прагне нових вражень, яскравих емоцій та участі у захопливих подіях, які становлять необхідну складову фестивального туризму. Розвиток цього виду туризму сприяє не лише збереженню локальних культурних традицій, але й підвищенню культурного потенціалу суспільства, модернізації національної культурної ідентичності, творчій самореалізації особистості та збереженню культурних цінностей.</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До розпочатку повномасштабного вторгнення Російської Федерації, фестивальний туризм активно розвивався. Проте, на сьогоднішній день туристична галузь перебуває у стані стагнації, що породжує ряд проблем, включаючи відсутність орієнтації туристичної сфери на національно-патріотичне виховання та втрату зв’язку між поколіннями. Ця ситуація ускладнює передачу накопиченого життєвого досвіду та культурно-соціальних цінностей.</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Сучасний турист визначає свої уподобання на основі багатьох факторів, таких як отримання нових вражень, доступ до цікавої інформації, естетична привабливість, можливість фотографування, задоволення від відпочинку, а також бажання поєднувати відпочинок із можливістю зайняття роботою та активну участь у різноманітних заходах. Урахування цих побажань туристів важливе для формування туристичного продукту, орієнтованого на потреби клієнтів, а також для відстеження рівня їх задоволення від використання цього продукту. Це може бути досягнуто через аналіз відгуків клієнтів та прямий контакт з ними.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 минулому столітті найпопулярнішою концепцією туризму була трьох «S» («Sun-Sea-Sand»): сонце, море, пісок. Однак на початку нового тисячоліття ця концепція була замінена на систему трьох «L» («Landscape-Lore-Leisure»): ландшафт, традиції, відпочинок. З часом ця концепція була переглянута на користь нового </w:t>
      </w:r>
      <w:r>
        <w:rPr>
          <w:rFonts w:ascii="Times New Roman" w:hAnsi="Times New Roman" w:cs="Times New Roman"/>
          <w:sz w:val="28"/>
          <w:szCs w:val="28"/>
          <w:lang w:val="uk-UA"/>
        </w:rPr>
        <w:lastRenderedPageBreak/>
        <w:t>підходу до організації відпочинку, відомого як «4-E» (education-entertainment-excitement-engagement): освіта, розваги, азарт, залучення.</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Фестивальний туризм визначається як специфічна форма культурної та рекреаційної активності, яка базується на участі в заходах з метою відпочинку, розваг та культурного вдосконалення. Цей вид туризму, як вже зазначалося, є одним із найпотужніших інструментів для залучення туристів та сприяє розвитку міжкультурного обміну та взаєморозуміння.</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Сучасний фестивальний туризм відзначається великою різноманітністю заходів, які пропонуються для відвідувачів у різних країнах. Від музичних та художніх фестивалів до кулінарних та спортивних подій, він надає можливість культурного насичення та отримання нових вражень.</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Одним із важливих аспектів фестивального туризму є його вплив на соціокультурний розвиток місцевих громад та регіонів. Через організацію різноманітних культурних заходів, фестивалі сприяють збереженню традицій, відновленню культурних пам’яток та розвитку творчої індустрії.</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 світлі зростання зацікавленості у фестивальному туризмі та його значення для розвитку туристичної галузі, наукові дослідження цього явища мають велике значення. Вони сприяють розумінню та аналізу динаміки та тенденцій у цьому сегменті туристичного ринку та допомагають у вдосконаленні стратегій розвитку туризму.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Фестивальні подорожі є істотною складовою сучасного туристичного образу життя та мають унікальні особливості, характерні для різних видів туризму. Цей вид туризму об’єднує в собі пізнавальні, розважальні та етнографічні аспекти, відображаючи різноманітність цілей та інтересів туристів.</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Фестивальні подорожі характеризуються невеликою тривалістю, що зазвичай становить від 3 до 7 днів, та мають чітко визначене місце проведення - локацію фестивалю. Такі події викликають підвищений попит серед туристів, які бажають взяти участь у святкових заходах та відчути атмосферу свята.</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Характерні риси фестивального туризму проявляються у безперервному розширенні спектру фестивальних заходів та в організації подій різної тематики – від </w:t>
      </w:r>
      <w:r>
        <w:rPr>
          <w:rFonts w:ascii="Times New Roman" w:hAnsi="Times New Roman" w:cs="Times New Roman"/>
          <w:sz w:val="28"/>
          <w:szCs w:val="28"/>
          <w:lang w:val="uk-UA"/>
        </w:rPr>
        <w:lastRenderedPageBreak/>
        <w:t>наукових фестивалів до релігійних святкувань, від екзотичних карнавалів до інноваційних геймифікованих фестивалів.</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Важливою особливістю фестивальних подорожей є їх спрямованість на соціалізацію учасників та формування нових соціальних зв’язків. Крім того, оригінальність та креативність поєднання різних аспектів та характеристик різних видів туризму роблять фестивальні подорожі унікальними та привабливими для туристів. Можливості участі у фестивалях можуть варіюватися залежно від святкувань, основної мети подорожі в контексті різних видів туризму.(табл. 3.1.).</w:t>
      </w:r>
    </w:p>
    <w:p w:rsidR="001D0C14" w:rsidRDefault="00E16C6E">
      <w:pPr>
        <w:pStyle w:val="af4"/>
        <w:spacing w:line="360" w:lineRule="auto"/>
        <w:rPr>
          <w:b/>
        </w:rPr>
      </w:pPr>
      <w:r>
        <w:rPr>
          <w:color w:val="231F20"/>
        </w:rPr>
        <w:t>Таблиця</w:t>
      </w:r>
      <w:r>
        <w:rPr>
          <w:color w:val="231F20"/>
          <w:spacing w:val="-12"/>
        </w:rPr>
        <w:t xml:space="preserve"> 3.</w:t>
      </w:r>
      <w:r>
        <w:rPr>
          <w:color w:val="231F20"/>
          <w:spacing w:val="-10"/>
        </w:rPr>
        <w:t xml:space="preserve">1 - </w:t>
      </w:r>
      <w:r>
        <w:rPr>
          <w:b/>
          <w:lang w:val="ru-RU"/>
        </w:rPr>
        <w:t xml:space="preserve">Фестивальні заходи у різних видах туризму </w:t>
      </w:r>
      <w:r>
        <w:rPr>
          <w:lang w:val="ru-RU"/>
        </w:rPr>
        <w:t>[16]</w:t>
      </w:r>
    </w:p>
    <w:tbl>
      <w:tblPr>
        <w:tblStyle w:val="aff3"/>
        <w:tblW w:w="10201" w:type="dxa"/>
        <w:tblLayout w:type="fixed"/>
        <w:tblLook w:val="04A0" w:firstRow="1" w:lastRow="0" w:firstColumn="1" w:lastColumn="0" w:noHBand="0" w:noVBand="1"/>
      </w:tblPr>
      <w:tblGrid>
        <w:gridCol w:w="2077"/>
        <w:gridCol w:w="4392"/>
        <w:gridCol w:w="3732"/>
      </w:tblGrid>
      <w:tr w:rsidR="001D0C14">
        <w:tc>
          <w:tcPr>
            <w:tcW w:w="2077"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hAnsi="Times New Roman" w:cs="Times New Roman"/>
                <w:b/>
                <w:sz w:val="24"/>
              </w:rPr>
              <w:t>Види туризму</w:t>
            </w:r>
          </w:p>
        </w:tc>
        <w:tc>
          <w:tcPr>
            <w:tcW w:w="4392"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hAnsi="Times New Roman" w:cs="Times New Roman"/>
                <w:b/>
                <w:sz w:val="24"/>
              </w:rPr>
              <w:t>Можливості проведення фестивалів</w:t>
            </w:r>
          </w:p>
        </w:tc>
        <w:tc>
          <w:tcPr>
            <w:tcW w:w="3732"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hAnsi="Times New Roman" w:cs="Times New Roman"/>
                <w:b/>
                <w:sz w:val="24"/>
              </w:rPr>
              <w:t>Приклади</w:t>
            </w:r>
          </w:p>
        </w:tc>
      </w:tr>
      <w:tr w:rsidR="001D0C14" w:rsidRPr="005B551B">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Екзотичний</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Проведення заходів, що знайомлять з місцевою культурою, традиціями та екзотичними видами розваг</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Фестиваль тайських масок «</w:t>
            </w:r>
            <w:r>
              <w:rPr>
                <w:rFonts w:ascii="Times New Roman" w:hAnsi="Times New Roman" w:cs="Times New Roman"/>
                <w:sz w:val="24"/>
              </w:rPr>
              <w:t>Phi</w:t>
            </w:r>
            <w:r>
              <w:rPr>
                <w:rFonts w:ascii="Times New Roman" w:hAnsi="Times New Roman" w:cs="Times New Roman"/>
                <w:sz w:val="24"/>
                <w:lang w:val="ru-RU"/>
              </w:rPr>
              <w:t xml:space="preserve"> </w:t>
            </w:r>
            <w:r>
              <w:rPr>
                <w:rFonts w:ascii="Times New Roman" w:hAnsi="Times New Roman" w:cs="Times New Roman"/>
                <w:sz w:val="24"/>
              </w:rPr>
              <w:t>Ta</w:t>
            </w:r>
            <w:r>
              <w:rPr>
                <w:rFonts w:ascii="Times New Roman" w:hAnsi="Times New Roman" w:cs="Times New Roman"/>
                <w:sz w:val="24"/>
                <w:lang w:val="ru-RU"/>
              </w:rPr>
              <w:t xml:space="preserve"> </w:t>
            </w:r>
            <w:r>
              <w:rPr>
                <w:rFonts w:ascii="Times New Roman" w:hAnsi="Times New Roman" w:cs="Times New Roman"/>
                <w:sz w:val="24"/>
              </w:rPr>
              <w:t>Khon</w:t>
            </w:r>
            <w:r>
              <w:rPr>
                <w:rFonts w:ascii="Times New Roman" w:hAnsi="Times New Roman" w:cs="Times New Roman"/>
                <w:sz w:val="24"/>
                <w:lang w:val="ru-RU"/>
              </w:rPr>
              <w:t>», Фестиваль культури Маорі «</w:t>
            </w:r>
            <w:r>
              <w:rPr>
                <w:rFonts w:ascii="Times New Roman" w:hAnsi="Times New Roman" w:cs="Times New Roman"/>
                <w:sz w:val="24"/>
              </w:rPr>
              <w:t>Te</w:t>
            </w:r>
            <w:r>
              <w:rPr>
                <w:rFonts w:ascii="Times New Roman" w:hAnsi="Times New Roman" w:cs="Times New Roman"/>
                <w:sz w:val="24"/>
                <w:lang w:val="ru-RU"/>
              </w:rPr>
              <w:t xml:space="preserve"> </w:t>
            </w:r>
            <w:r>
              <w:rPr>
                <w:rFonts w:ascii="Times New Roman" w:hAnsi="Times New Roman" w:cs="Times New Roman"/>
                <w:sz w:val="24"/>
              </w:rPr>
              <w:t>Matatini</w:t>
            </w:r>
            <w:r>
              <w:rPr>
                <w:rFonts w:ascii="Times New Roman" w:hAnsi="Times New Roman" w:cs="Times New Roman"/>
                <w:sz w:val="24"/>
                <w:lang w:val="ru-RU"/>
              </w:rPr>
              <w:t>»</w:t>
            </w:r>
          </w:p>
        </w:tc>
      </w:tr>
      <w:tr w:rsidR="001D0C14" w:rsidRPr="005B551B">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Екотуризм</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Організація заходів, спрямованих на підвищення екологічної свідомості, дотримання принципів сталого розвитку</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uk-UA"/>
              </w:rPr>
              <w:t>Екофест «</w:t>
            </w:r>
            <w:r>
              <w:rPr>
                <w:rFonts w:ascii="Times New Roman" w:hAnsi="Times New Roman" w:cs="Times New Roman"/>
                <w:sz w:val="24"/>
              </w:rPr>
              <w:t>GreenFest</w:t>
            </w:r>
            <w:r>
              <w:rPr>
                <w:rFonts w:ascii="Times New Roman" w:hAnsi="Times New Roman" w:cs="Times New Roman"/>
                <w:sz w:val="24"/>
                <w:lang w:val="uk-UA"/>
              </w:rPr>
              <w:t>», Фестиваль екологічного кіно «</w:t>
            </w:r>
            <w:r>
              <w:rPr>
                <w:rFonts w:ascii="Times New Roman" w:hAnsi="Times New Roman" w:cs="Times New Roman"/>
                <w:sz w:val="24"/>
              </w:rPr>
              <w:t>Green</w:t>
            </w:r>
            <w:r>
              <w:rPr>
                <w:rFonts w:ascii="Times New Roman" w:hAnsi="Times New Roman" w:cs="Times New Roman"/>
                <w:sz w:val="24"/>
                <w:lang w:val="uk-UA"/>
              </w:rPr>
              <w:t xml:space="preserve"> </w:t>
            </w:r>
            <w:r>
              <w:rPr>
                <w:rFonts w:ascii="Times New Roman" w:hAnsi="Times New Roman" w:cs="Times New Roman"/>
                <w:sz w:val="24"/>
              </w:rPr>
              <w:t>Screen</w:t>
            </w:r>
            <w:r>
              <w:rPr>
                <w:rFonts w:ascii="Times New Roman" w:hAnsi="Times New Roman" w:cs="Times New Roman"/>
                <w:sz w:val="24"/>
                <w:lang w:val="uk-UA"/>
              </w:rPr>
              <w:t>»</w:t>
            </w:r>
          </w:p>
        </w:tc>
      </w:tr>
      <w:tr w:rsidR="001D0C14" w:rsidRPr="005B551B">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Науковий</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Проведення фестивалів та конференцій з популяризації наукових досягнень, взаємодія між науковою спільнотою</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uk-UA"/>
              </w:rPr>
              <w:t>Фестиваль науки «</w:t>
            </w:r>
            <w:r>
              <w:rPr>
                <w:rFonts w:ascii="Times New Roman" w:hAnsi="Times New Roman" w:cs="Times New Roman"/>
                <w:sz w:val="24"/>
              </w:rPr>
              <w:t>Science</w:t>
            </w:r>
            <w:r>
              <w:rPr>
                <w:rFonts w:ascii="Times New Roman" w:hAnsi="Times New Roman" w:cs="Times New Roman"/>
                <w:sz w:val="24"/>
                <w:lang w:val="uk-UA"/>
              </w:rPr>
              <w:t xml:space="preserve"> </w:t>
            </w:r>
            <w:r>
              <w:rPr>
                <w:rFonts w:ascii="Times New Roman" w:hAnsi="Times New Roman" w:cs="Times New Roman"/>
                <w:sz w:val="24"/>
              </w:rPr>
              <w:t>Fest</w:t>
            </w:r>
            <w:r>
              <w:rPr>
                <w:rFonts w:ascii="Times New Roman" w:hAnsi="Times New Roman" w:cs="Times New Roman"/>
                <w:sz w:val="24"/>
                <w:lang w:val="uk-UA"/>
              </w:rPr>
              <w:t>», Конференція зі штучного інтелекту «</w:t>
            </w:r>
            <w:r>
              <w:rPr>
                <w:rFonts w:ascii="Times New Roman" w:hAnsi="Times New Roman" w:cs="Times New Roman"/>
                <w:sz w:val="24"/>
              </w:rPr>
              <w:t>AI</w:t>
            </w:r>
            <w:r>
              <w:rPr>
                <w:rFonts w:ascii="Times New Roman" w:hAnsi="Times New Roman" w:cs="Times New Roman"/>
                <w:sz w:val="24"/>
                <w:lang w:val="uk-UA"/>
              </w:rPr>
              <w:t xml:space="preserve"> </w:t>
            </w:r>
            <w:r>
              <w:rPr>
                <w:rFonts w:ascii="Times New Roman" w:hAnsi="Times New Roman" w:cs="Times New Roman"/>
                <w:sz w:val="24"/>
              </w:rPr>
              <w:t>Summit</w:t>
            </w:r>
            <w:r>
              <w:rPr>
                <w:rFonts w:ascii="Times New Roman" w:hAnsi="Times New Roman" w:cs="Times New Roman"/>
                <w:sz w:val="24"/>
                <w:lang w:val="uk-UA"/>
              </w:rPr>
              <w:t>»</w:t>
            </w:r>
          </w:p>
        </w:tc>
      </w:tr>
      <w:tr w:rsidR="001D0C14" w:rsidRPr="005B551B">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Ностальгічний</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Проведення заходів, що відтворюють атмосферу минулих епох та подій</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uk-UA"/>
              </w:rPr>
              <w:t>Фестиваль ретро автомобілів «</w:t>
            </w:r>
            <w:r>
              <w:rPr>
                <w:rFonts w:ascii="Times New Roman" w:hAnsi="Times New Roman" w:cs="Times New Roman"/>
                <w:sz w:val="24"/>
              </w:rPr>
              <w:t>Retro</w:t>
            </w:r>
            <w:r>
              <w:rPr>
                <w:rFonts w:ascii="Times New Roman" w:hAnsi="Times New Roman" w:cs="Times New Roman"/>
                <w:sz w:val="24"/>
                <w:lang w:val="uk-UA"/>
              </w:rPr>
              <w:t xml:space="preserve"> </w:t>
            </w:r>
            <w:r>
              <w:rPr>
                <w:rFonts w:ascii="Times New Roman" w:hAnsi="Times New Roman" w:cs="Times New Roman"/>
                <w:sz w:val="24"/>
              </w:rPr>
              <w:t>Car</w:t>
            </w:r>
            <w:r>
              <w:rPr>
                <w:rFonts w:ascii="Times New Roman" w:hAnsi="Times New Roman" w:cs="Times New Roman"/>
                <w:sz w:val="24"/>
                <w:lang w:val="uk-UA"/>
              </w:rPr>
              <w:t xml:space="preserve"> </w:t>
            </w:r>
            <w:r>
              <w:rPr>
                <w:rFonts w:ascii="Times New Roman" w:hAnsi="Times New Roman" w:cs="Times New Roman"/>
                <w:sz w:val="24"/>
              </w:rPr>
              <w:t>Show</w:t>
            </w:r>
            <w:r>
              <w:rPr>
                <w:rFonts w:ascii="Times New Roman" w:hAnsi="Times New Roman" w:cs="Times New Roman"/>
                <w:sz w:val="24"/>
                <w:lang w:val="uk-UA"/>
              </w:rPr>
              <w:t>», Ретро-вечірка «</w:t>
            </w:r>
            <w:r>
              <w:rPr>
                <w:rFonts w:ascii="Times New Roman" w:hAnsi="Times New Roman" w:cs="Times New Roman"/>
                <w:sz w:val="24"/>
              </w:rPr>
              <w:t>Oldies</w:t>
            </w:r>
            <w:r>
              <w:rPr>
                <w:rFonts w:ascii="Times New Roman" w:hAnsi="Times New Roman" w:cs="Times New Roman"/>
                <w:sz w:val="24"/>
                <w:lang w:val="uk-UA"/>
              </w:rPr>
              <w:t xml:space="preserve"> </w:t>
            </w:r>
            <w:r>
              <w:rPr>
                <w:rFonts w:ascii="Times New Roman" w:hAnsi="Times New Roman" w:cs="Times New Roman"/>
                <w:sz w:val="24"/>
              </w:rPr>
              <w:t>Night</w:t>
            </w:r>
            <w:r>
              <w:rPr>
                <w:rFonts w:ascii="Times New Roman" w:hAnsi="Times New Roman" w:cs="Times New Roman"/>
                <w:sz w:val="24"/>
                <w:lang w:val="uk-UA"/>
              </w:rPr>
              <w:t>»</w:t>
            </w:r>
          </w:p>
        </w:tc>
      </w:tr>
      <w:tr w:rsidR="001D0C14" w:rsidRPr="005B551B">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Паломницький</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Організація свят та заходів, пов’язаних з релігійними традиціями та паломництвом</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Свято Хануки, Християнське паломництво до Лурду</w:t>
            </w:r>
          </w:p>
        </w:tc>
      </w:tr>
      <w:tr w:rsidR="001D0C14">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Пригодницький</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Проведення квестів, ігор та заходів, що вимагають активності та взаємодії з оточуючим середовищем</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 xml:space="preserve">Гірський квест </w:t>
            </w:r>
            <w:r>
              <w:rPr>
                <w:rFonts w:ascii="Times New Roman" w:hAnsi="Times New Roman" w:cs="Times New Roman"/>
                <w:sz w:val="24"/>
                <w:lang w:val="uk-UA"/>
              </w:rPr>
              <w:t>«</w:t>
            </w:r>
            <w:r>
              <w:rPr>
                <w:rFonts w:ascii="Times New Roman" w:hAnsi="Times New Roman" w:cs="Times New Roman"/>
                <w:sz w:val="24"/>
              </w:rPr>
              <w:t>Mountain Quest</w:t>
            </w:r>
            <w:r>
              <w:rPr>
                <w:rFonts w:ascii="Times New Roman" w:hAnsi="Times New Roman" w:cs="Times New Roman"/>
                <w:sz w:val="24"/>
                <w:lang w:val="uk-UA"/>
              </w:rPr>
              <w:t>»</w:t>
            </w:r>
            <w:r>
              <w:rPr>
                <w:rFonts w:ascii="Times New Roman" w:hAnsi="Times New Roman" w:cs="Times New Roman"/>
                <w:sz w:val="24"/>
              </w:rPr>
              <w:t xml:space="preserve">, Водні змагання </w:t>
            </w:r>
            <w:r>
              <w:rPr>
                <w:rFonts w:ascii="Times New Roman" w:hAnsi="Times New Roman" w:cs="Times New Roman"/>
                <w:sz w:val="24"/>
                <w:lang w:val="uk-UA"/>
              </w:rPr>
              <w:t>«</w:t>
            </w:r>
            <w:r>
              <w:rPr>
                <w:rFonts w:ascii="Times New Roman" w:hAnsi="Times New Roman" w:cs="Times New Roman"/>
                <w:sz w:val="24"/>
              </w:rPr>
              <w:t>Water Challenge</w:t>
            </w:r>
            <w:r>
              <w:rPr>
                <w:rFonts w:ascii="Times New Roman" w:hAnsi="Times New Roman" w:cs="Times New Roman"/>
                <w:sz w:val="24"/>
                <w:lang w:val="uk-UA"/>
              </w:rPr>
              <w:t>»</w:t>
            </w:r>
          </w:p>
        </w:tc>
      </w:tr>
      <w:tr w:rsidR="001D0C14">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Професійно-діловий</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Проведення фестивалів та конгресів, спрямованих на обмін досвідом та популяризацію нових технологій</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 xml:space="preserve">Медіафест </w:t>
            </w:r>
            <w:r>
              <w:rPr>
                <w:rFonts w:ascii="Times New Roman" w:hAnsi="Times New Roman" w:cs="Times New Roman"/>
                <w:sz w:val="24"/>
                <w:lang w:val="uk-UA"/>
              </w:rPr>
              <w:t>«</w:t>
            </w:r>
            <w:r>
              <w:rPr>
                <w:rFonts w:ascii="Times New Roman" w:hAnsi="Times New Roman" w:cs="Times New Roman"/>
                <w:sz w:val="24"/>
              </w:rPr>
              <w:t>Media Conference</w:t>
            </w:r>
            <w:r>
              <w:rPr>
                <w:rFonts w:ascii="Times New Roman" w:hAnsi="Times New Roman" w:cs="Times New Roman"/>
                <w:sz w:val="24"/>
                <w:lang w:val="uk-UA"/>
              </w:rPr>
              <w:t>»</w:t>
            </w:r>
            <w:r>
              <w:rPr>
                <w:rFonts w:ascii="Times New Roman" w:hAnsi="Times New Roman" w:cs="Times New Roman"/>
                <w:sz w:val="24"/>
              </w:rPr>
              <w:t xml:space="preserve">, IT-фестиваль </w:t>
            </w:r>
            <w:r>
              <w:rPr>
                <w:rFonts w:ascii="Times New Roman" w:hAnsi="Times New Roman" w:cs="Times New Roman"/>
                <w:sz w:val="24"/>
                <w:lang w:val="uk-UA"/>
              </w:rPr>
              <w:t>«</w:t>
            </w:r>
            <w:r>
              <w:rPr>
                <w:rFonts w:ascii="Times New Roman" w:hAnsi="Times New Roman" w:cs="Times New Roman"/>
                <w:sz w:val="24"/>
              </w:rPr>
              <w:t>Tech Summit</w:t>
            </w:r>
            <w:r>
              <w:rPr>
                <w:rFonts w:ascii="Times New Roman" w:hAnsi="Times New Roman" w:cs="Times New Roman"/>
                <w:sz w:val="24"/>
                <w:lang w:val="uk-UA"/>
              </w:rPr>
              <w:t>»</w:t>
            </w:r>
          </w:p>
        </w:tc>
      </w:tr>
      <w:tr w:rsidR="001D0C14" w:rsidRPr="005B551B">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Рекреаційно-оздоровчий</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Організація заходів, спрямованих на відпочинок та оздоровлення</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uk-UA"/>
              </w:rPr>
              <w:t>Музичний фестиваль «</w:t>
            </w:r>
            <w:r>
              <w:rPr>
                <w:rFonts w:ascii="Times New Roman" w:hAnsi="Times New Roman" w:cs="Times New Roman"/>
                <w:sz w:val="24"/>
              </w:rPr>
              <w:t>Sunset</w:t>
            </w:r>
            <w:r>
              <w:rPr>
                <w:rFonts w:ascii="Times New Roman" w:hAnsi="Times New Roman" w:cs="Times New Roman"/>
                <w:sz w:val="24"/>
                <w:lang w:val="uk-UA"/>
              </w:rPr>
              <w:t xml:space="preserve"> </w:t>
            </w:r>
            <w:r>
              <w:rPr>
                <w:rFonts w:ascii="Times New Roman" w:hAnsi="Times New Roman" w:cs="Times New Roman"/>
                <w:sz w:val="24"/>
              </w:rPr>
              <w:t>Music</w:t>
            </w:r>
            <w:r>
              <w:rPr>
                <w:rFonts w:ascii="Times New Roman" w:hAnsi="Times New Roman" w:cs="Times New Roman"/>
                <w:sz w:val="24"/>
                <w:lang w:val="uk-UA"/>
              </w:rPr>
              <w:t xml:space="preserve"> </w:t>
            </w:r>
            <w:r>
              <w:rPr>
                <w:rFonts w:ascii="Times New Roman" w:hAnsi="Times New Roman" w:cs="Times New Roman"/>
                <w:sz w:val="24"/>
              </w:rPr>
              <w:t>Fest</w:t>
            </w:r>
            <w:r>
              <w:rPr>
                <w:rFonts w:ascii="Times New Roman" w:hAnsi="Times New Roman" w:cs="Times New Roman"/>
                <w:sz w:val="24"/>
                <w:lang w:val="uk-UA"/>
              </w:rPr>
              <w:t>», Фестиваль йоги та медитації «</w:t>
            </w:r>
            <w:r>
              <w:rPr>
                <w:rFonts w:ascii="Times New Roman" w:hAnsi="Times New Roman" w:cs="Times New Roman"/>
                <w:sz w:val="24"/>
              </w:rPr>
              <w:t>Zen</w:t>
            </w:r>
            <w:r>
              <w:rPr>
                <w:rFonts w:ascii="Times New Roman" w:hAnsi="Times New Roman" w:cs="Times New Roman"/>
                <w:sz w:val="24"/>
                <w:lang w:val="uk-UA"/>
              </w:rPr>
              <w:t xml:space="preserve"> </w:t>
            </w:r>
            <w:r>
              <w:rPr>
                <w:rFonts w:ascii="Times New Roman" w:hAnsi="Times New Roman" w:cs="Times New Roman"/>
                <w:sz w:val="24"/>
              </w:rPr>
              <w:t>Retreat</w:t>
            </w:r>
            <w:r>
              <w:rPr>
                <w:rFonts w:ascii="Times New Roman" w:hAnsi="Times New Roman" w:cs="Times New Roman"/>
                <w:sz w:val="24"/>
                <w:lang w:val="uk-UA"/>
              </w:rPr>
              <w:t>»</w:t>
            </w:r>
          </w:p>
        </w:tc>
      </w:tr>
      <w:tr w:rsidR="001D0C14" w:rsidRPr="005B551B">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Спортивний відпочинок</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Організація та участь у спортивних змаганнях та фестивалях, просування здорового способу життя</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uk-UA"/>
              </w:rPr>
              <w:t>Марафон «</w:t>
            </w:r>
            <w:r>
              <w:rPr>
                <w:rFonts w:ascii="Times New Roman" w:hAnsi="Times New Roman" w:cs="Times New Roman"/>
                <w:sz w:val="24"/>
              </w:rPr>
              <w:t>Lviv</w:t>
            </w:r>
            <w:r>
              <w:rPr>
                <w:rFonts w:ascii="Times New Roman" w:hAnsi="Times New Roman" w:cs="Times New Roman"/>
                <w:sz w:val="24"/>
                <w:lang w:val="uk-UA"/>
              </w:rPr>
              <w:t xml:space="preserve"> </w:t>
            </w:r>
            <w:r>
              <w:rPr>
                <w:rFonts w:ascii="Times New Roman" w:hAnsi="Times New Roman" w:cs="Times New Roman"/>
                <w:sz w:val="24"/>
              </w:rPr>
              <w:t>Half</w:t>
            </w:r>
            <w:r>
              <w:rPr>
                <w:rFonts w:ascii="Times New Roman" w:hAnsi="Times New Roman" w:cs="Times New Roman"/>
                <w:sz w:val="24"/>
                <w:lang w:val="uk-UA"/>
              </w:rPr>
              <w:t xml:space="preserve"> </w:t>
            </w:r>
            <w:r>
              <w:rPr>
                <w:rFonts w:ascii="Times New Roman" w:hAnsi="Times New Roman" w:cs="Times New Roman"/>
                <w:sz w:val="24"/>
              </w:rPr>
              <w:t>Marathon</w:t>
            </w:r>
            <w:r>
              <w:rPr>
                <w:rFonts w:ascii="Times New Roman" w:hAnsi="Times New Roman" w:cs="Times New Roman"/>
                <w:sz w:val="24"/>
                <w:lang w:val="uk-UA"/>
              </w:rPr>
              <w:t>», Футбольний турнір «</w:t>
            </w:r>
            <w:r>
              <w:rPr>
                <w:rFonts w:ascii="Times New Roman" w:hAnsi="Times New Roman" w:cs="Times New Roman"/>
                <w:sz w:val="24"/>
              </w:rPr>
              <w:t>Champions</w:t>
            </w:r>
            <w:r>
              <w:rPr>
                <w:rFonts w:ascii="Times New Roman" w:hAnsi="Times New Roman" w:cs="Times New Roman"/>
                <w:sz w:val="24"/>
                <w:lang w:val="uk-UA"/>
              </w:rPr>
              <w:t xml:space="preserve"> </w:t>
            </w:r>
            <w:r>
              <w:rPr>
                <w:rFonts w:ascii="Times New Roman" w:hAnsi="Times New Roman" w:cs="Times New Roman"/>
                <w:sz w:val="24"/>
              </w:rPr>
              <w:t>League</w:t>
            </w:r>
            <w:r>
              <w:rPr>
                <w:rFonts w:ascii="Times New Roman" w:hAnsi="Times New Roman" w:cs="Times New Roman"/>
                <w:sz w:val="24"/>
                <w:lang w:val="uk-UA"/>
              </w:rPr>
              <w:t xml:space="preserve"> </w:t>
            </w:r>
            <w:r>
              <w:rPr>
                <w:rFonts w:ascii="Times New Roman" w:hAnsi="Times New Roman" w:cs="Times New Roman"/>
                <w:sz w:val="24"/>
              </w:rPr>
              <w:t>Cup</w:t>
            </w:r>
            <w:r>
              <w:rPr>
                <w:rFonts w:ascii="Times New Roman" w:hAnsi="Times New Roman" w:cs="Times New Roman"/>
                <w:sz w:val="24"/>
                <w:lang w:val="uk-UA"/>
              </w:rPr>
              <w:t>», Велофест «</w:t>
            </w:r>
            <w:r>
              <w:rPr>
                <w:rFonts w:ascii="Times New Roman" w:hAnsi="Times New Roman" w:cs="Times New Roman"/>
                <w:sz w:val="24"/>
              </w:rPr>
              <w:t>Bike</w:t>
            </w:r>
            <w:r>
              <w:rPr>
                <w:rFonts w:ascii="Times New Roman" w:hAnsi="Times New Roman" w:cs="Times New Roman"/>
                <w:sz w:val="24"/>
                <w:lang w:val="uk-UA"/>
              </w:rPr>
              <w:t xml:space="preserve"> </w:t>
            </w:r>
            <w:r>
              <w:rPr>
                <w:rFonts w:ascii="Times New Roman" w:hAnsi="Times New Roman" w:cs="Times New Roman"/>
                <w:sz w:val="24"/>
              </w:rPr>
              <w:t>Fest</w:t>
            </w:r>
            <w:r>
              <w:rPr>
                <w:rFonts w:ascii="Times New Roman" w:hAnsi="Times New Roman" w:cs="Times New Roman"/>
                <w:sz w:val="24"/>
                <w:lang w:val="uk-UA"/>
              </w:rPr>
              <w:t>»</w:t>
            </w:r>
          </w:p>
        </w:tc>
      </w:tr>
      <w:tr w:rsidR="001D0C14" w:rsidRPr="005B551B">
        <w:tc>
          <w:tcPr>
            <w:tcW w:w="2077"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rPr>
              <w:t>Шоп-тури</w:t>
            </w:r>
          </w:p>
        </w:tc>
        <w:tc>
          <w:tcPr>
            <w:tcW w:w="439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Організація фестивалів та подій, пов’язаних зі шопінгом та модою</w:t>
            </w:r>
          </w:p>
        </w:tc>
        <w:tc>
          <w:tcPr>
            <w:tcW w:w="3732" w:type="dxa"/>
          </w:tcPr>
          <w:p w:rsidR="001D0C14" w:rsidRDefault="00E16C6E">
            <w:pPr>
              <w:widowControl w:val="0"/>
              <w:spacing w:after="0" w:line="240" w:lineRule="auto"/>
              <w:jc w:val="center"/>
              <w:rPr>
                <w:rFonts w:ascii="Times New Roman" w:eastAsia="Times New Roman" w:hAnsi="Times New Roman" w:cs="Times New Roman"/>
                <w:color w:val="000000" w:themeColor="text1"/>
                <w:sz w:val="24"/>
                <w:szCs w:val="24"/>
                <w:lang w:val="uk-UA" w:eastAsia="uk-UA"/>
              </w:rPr>
            </w:pPr>
            <w:r>
              <w:rPr>
                <w:rFonts w:ascii="Times New Roman" w:hAnsi="Times New Roman" w:cs="Times New Roman"/>
                <w:sz w:val="24"/>
                <w:lang w:val="ru-RU"/>
              </w:rPr>
              <w:t>Мода фестиваль «</w:t>
            </w:r>
            <w:r>
              <w:rPr>
                <w:rFonts w:ascii="Times New Roman" w:hAnsi="Times New Roman" w:cs="Times New Roman"/>
                <w:sz w:val="24"/>
              </w:rPr>
              <w:t>Fashion</w:t>
            </w:r>
            <w:r>
              <w:rPr>
                <w:rFonts w:ascii="Times New Roman" w:hAnsi="Times New Roman" w:cs="Times New Roman"/>
                <w:sz w:val="24"/>
                <w:lang w:val="ru-RU"/>
              </w:rPr>
              <w:t xml:space="preserve"> </w:t>
            </w:r>
            <w:r>
              <w:rPr>
                <w:rFonts w:ascii="Times New Roman" w:hAnsi="Times New Roman" w:cs="Times New Roman"/>
                <w:sz w:val="24"/>
              </w:rPr>
              <w:t>Forward</w:t>
            </w:r>
            <w:r>
              <w:rPr>
                <w:rFonts w:ascii="Times New Roman" w:hAnsi="Times New Roman" w:cs="Times New Roman"/>
                <w:sz w:val="24"/>
                <w:lang w:val="ru-RU"/>
              </w:rPr>
              <w:t>», Маркетинговий фестиваль «</w:t>
            </w:r>
            <w:r>
              <w:rPr>
                <w:rFonts w:ascii="Times New Roman" w:hAnsi="Times New Roman" w:cs="Times New Roman"/>
                <w:sz w:val="24"/>
              </w:rPr>
              <w:t>Shop</w:t>
            </w:r>
            <w:r>
              <w:rPr>
                <w:rFonts w:ascii="Times New Roman" w:hAnsi="Times New Roman" w:cs="Times New Roman"/>
                <w:sz w:val="24"/>
                <w:lang w:val="ru-RU"/>
              </w:rPr>
              <w:t xml:space="preserve"> &amp; </w:t>
            </w:r>
            <w:r>
              <w:rPr>
                <w:rFonts w:ascii="Times New Roman" w:hAnsi="Times New Roman" w:cs="Times New Roman"/>
                <w:sz w:val="24"/>
              </w:rPr>
              <w:t>Talk</w:t>
            </w:r>
            <w:r>
              <w:rPr>
                <w:rFonts w:ascii="Times New Roman" w:hAnsi="Times New Roman" w:cs="Times New Roman"/>
                <w:sz w:val="24"/>
                <w:lang w:val="ru-RU"/>
              </w:rPr>
              <w:t>»</w:t>
            </w:r>
          </w:p>
        </w:tc>
      </w:tr>
    </w:tbl>
    <w:p w:rsidR="001D0C14" w:rsidRDefault="001D0C14">
      <w:pPr>
        <w:spacing w:after="0" w:line="360" w:lineRule="auto"/>
        <w:ind w:firstLine="709"/>
        <w:rPr>
          <w:rFonts w:ascii="Times New Roman" w:hAnsi="Times New Roman" w:cs="Times New Roman"/>
          <w:sz w:val="28"/>
          <w:szCs w:val="28"/>
          <w:lang w:val="uk-UA"/>
        </w:rPr>
      </w:pP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Організація етнофестивалів виступає як новий стратегічний метод для популяризації культурної спадщини та історії народу. Ця форма фестивального туризму охоплює широкий спектр подій, включаючи демонстрації народних ремесел та промислів, концерти, фольклорні заходи, ярмарки, релігійні обряди, історичні реконструкції, майстер-класи, дегустації страв, національно-патріотичні заходи, традиційні свята та інші.</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Важливим інноваційним напрямком для розвитку етнофестивалів є використання скансенів – це архітектурно-етнографічні комплекси, розташовані на відкритій території. Вони включають міні-музеї в окремих будівлях, які слугують для збереження та показу архітектури та предметів побуту певного історично-етнографічного регіону.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Фестивалі, пов’язані зі світовими та національними релігіями, а також місцевими традиціями, на сьогодні мають великий попит серед туристів, які цікавляться аутентичними заходами, такими як святкування Івана Купала, Маланки, Масляної, Слов’янського новоліття та інші. Традиції святкування Масляної сягають ще дохристиянських часів східних слов’ян і пов’язані з вшануванням бога Сонця Ярила (або іншими версіями, бога худоби Велеса), з проведенням обрядів прощання зими та вітання весни, які відзначалися народними гуляннями, ритуалами та обрядами. Багато з цих обрядів збереглися й сьогодні. Після християнської конверсії, Масляна стала важливим етапом у підготовці вірян до Великого посту, коли вони просили прощення за гріхи та мирилися зі співвірянами. У церковній традиції тиждень перед Великим постом називається «Сирна седмиця», оскільки у цей період дозволялося споживати лише молочні продукти, яйця та рибу, заборонивши м’ясні страви до кінця посту.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 суботу, напередодні Масляного тижня, проводили поминальні обіди, а в неділю родичі, друзі та близькі збиралися разом для святкування. Кожен день Масляного тижня мав своє особливе значення та був пов’язаний з конкретними ритуалами. У понеділок (зустріч) відвідували рідних і пекли перший святковий млинець, який віддавали біднякам для поминальних обрядів. У вівторок (загравання) організовували оглядини та сватання, щоб після Великодня влаштувати весілля. </w:t>
      </w:r>
      <w:r>
        <w:rPr>
          <w:rFonts w:ascii="Times New Roman" w:hAnsi="Times New Roman" w:cs="Times New Roman"/>
          <w:sz w:val="28"/>
          <w:szCs w:val="28"/>
          <w:lang w:val="uk-UA"/>
        </w:rPr>
        <w:lastRenderedPageBreak/>
        <w:t>Середа (ласунка) була днем, коли теща пригощала зятя млинцями. У четвер проводили активні святкування, включаючи катання з гірок, стрибки через вогнища, хороводи з піснями та танцями, інсценізацію кулачних боїв. У п’ятницю (тещині вечірки) тещі запрошували зятів разом з родичами та подругами, демонструючи прихильність до родини дружини. У суботу (посиденьки зовиці) молоді невістки запрошували родичів чоловіка. Неділя (проводи) була присвячена підготовці до Великого посту: прощанню один з одним, поминальним обрядам, очищенню через обмивання тіла та предметів побуту. Масляна, або Масниця, окрім веселих святкувань, характеризується значною кількістю традиційних обрядів та вірувань.</w:t>
      </w:r>
    </w:p>
    <w:p w:rsidR="001D0C14" w:rsidRDefault="00E16C6E">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На початку Масляного тижня виготовляли опудало Масниці — велику солом’яну ляльку, яка символізувала зиму та омертвіння природи. У народі ця лялька була відома як Мара або Марена, уособлення мору та духу смерті. У неділю опудало спалювали, що символізувало воскресіння вегетативних сил та прихід весни. Полум’я, що розтоплювало кригу, і попіл, який розвіювали над полями, мали забезпечити плідний наступний рік. Цей обряд відображав символічне знищення старого та непотрібного, означаючи початок нового циклу. Навколо вогнищ збиралися люди, щоб влаштувати хороводи з піснями і танцями. Масляний тиждень також відомий як Бабський або Колодій, оскільки протягом цього часу чоловіки повинні були слухатися своїх дружин і виконувати їхні накази. Інша назва – Колодій – вказувала на те, що хлопцям, які мали намір одружитися, але не використали цей шанс до Великого посту, чіпляли колодку за поясом або на руку. Відкуп за це полягав у виготовленні дівчиною нової «колодки» з атласу, прикрашеної квітами та бісером, яку вони чіпляли на себе. Ці традиції свідчать про унікальність цього свята в Україні. З урахуванням того, що святкування Масляної мало широке поширення до 2019 року (до початку обмежень у зв’язку з пандемією), очікується, що традиційні фестивалі та національні свята України будуть відновлені після врегулювання військового конфлікту та усунення наслідків військових дій.</w:t>
      </w:r>
    </w:p>
    <w:p w:rsidR="001D0C14" w:rsidRDefault="00E16C6E">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 xml:space="preserve">Унікальність та самобутність свята Масляної визначалися не лише його обрядами та традиціями, але й гастрономічними звичаями, що з часом зазнавали значних змін. Якщо наші предки наприкінці ІХ століття обмежувалися </w:t>
      </w:r>
      <w:r>
        <w:rPr>
          <w:rFonts w:ascii="Times New Roman" w:hAnsi="Times New Roman" w:cs="Times New Roman"/>
          <w:sz w:val="28"/>
          <w:szCs w:val="28"/>
          <w:lang w:val="ru-RU"/>
        </w:rPr>
        <w:lastRenderedPageBreak/>
        <w:t>приготуванням лише вареників та галушок, то з кінця ХХ століття в процесі святкування Масляної готували різноманітні страви, такі як млинці, кисіль, налисники та інші молочні страви. Вибір страв не лише відповідав християнським традиціям, але й мав символічне значення. Наприклад, вареник, який є невеликим вареним виробом із прісного тіста, начинений сиром, ягодами, капустою та іншими інгредієнтами, символізував молодий місяць. Згідно з віруваннями наших предків, місяць сприяв багатству та процвітанню, а також асоціювався з жіночою енергією. Зазвичай на Масляну вареники готувалися з сиром та вершковим маслом. Крім вареників, наприкінці Масляного тижня також готували галушки. Галушка, що є різаним або рваним шматочком прісного тіста, звареним на воді або молоці, є лексемою, що з</w:t>
      </w:r>
      <w:r>
        <w:rPr>
          <w:rFonts w:ascii="Times New Roman" w:hAnsi="Times New Roman" w:cs="Times New Roman"/>
          <w:sz w:val="28"/>
          <w:szCs w:val="28"/>
          <w:lang w:val="uk-UA"/>
        </w:rPr>
        <w:t>’</w:t>
      </w:r>
      <w:r>
        <w:rPr>
          <w:rFonts w:ascii="Times New Roman" w:hAnsi="Times New Roman" w:cs="Times New Roman"/>
          <w:sz w:val="28"/>
          <w:szCs w:val="28"/>
          <w:lang w:val="ru-RU"/>
        </w:rPr>
        <w:t xml:space="preserve">явилася в кінці </w:t>
      </w:r>
      <w:r>
        <w:rPr>
          <w:rFonts w:ascii="Times New Roman" w:hAnsi="Times New Roman" w:cs="Times New Roman"/>
          <w:sz w:val="28"/>
          <w:szCs w:val="28"/>
        </w:rPr>
        <w:t>XVI</w:t>
      </w:r>
      <w:r>
        <w:rPr>
          <w:rFonts w:ascii="Times New Roman" w:hAnsi="Times New Roman" w:cs="Times New Roman"/>
          <w:sz w:val="28"/>
          <w:szCs w:val="28"/>
          <w:lang w:val="ru-RU"/>
        </w:rPr>
        <w:t xml:space="preserve"> століття, має праслов</w:t>
      </w:r>
      <w:r>
        <w:rPr>
          <w:rFonts w:ascii="Times New Roman" w:hAnsi="Times New Roman" w:cs="Times New Roman"/>
          <w:sz w:val="28"/>
          <w:szCs w:val="28"/>
          <w:lang w:val="uk-UA"/>
        </w:rPr>
        <w:t>’</w:t>
      </w:r>
      <w:r>
        <w:rPr>
          <w:rFonts w:ascii="Times New Roman" w:hAnsi="Times New Roman" w:cs="Times New Roman"/>
          <w:sz w:val="28"/>
          <w:szCs w:val="28"/>
          <w:lang w:val="ru-RU"/>
        </w:rPr>
        <w:t>янське походження та тісно пов</w:t>
      </w:r>
      <w:r>
        <w:rPr>
          <w:rFonts w:ascii="Times New Roman" w:hAnsi="Times New Roman" w:cs="Times New Roman"/>
          <w:sz w:val="28"/>
          <w:szCs w:val="28"/>
          <w:lang w:val="uk-UA"/>
        </w:rPr>
        <w:t>’</w:t>
      </w:r>
      <w:r>
        <w:rPr>
          <w:rFonts w:ascii="Times New Roman" w:hAnsi="Times New Roman" w:cs="Times New Roman"/>
          <w:sz w:val="28"/>
          <w:szCs w:val="28"/>
          <w:lang w:val="ru-RU"/>
        </w:rPr>
        <w:t>язана зі словом «галька» (камінь).</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Галушки вважаються традиційною українською стравою, хоча спочатку вони були найбільш поширеними на території Лівобережжя. Це пояснюється родом занять жителів цієї частини України, більшість з яких займалась хліборобством. Важка праця на полі вимагала значних фізичних зусиль, тому для поновлення енергії місцеві мешканці вживали галушки, які відзначалися високою калорійністю та довготривалим насиченням. У сучасному світі галушки переважно зустрічаються у ресторанах, спеціалізованих на національній кухні. Проте завдяки впливу творчості Івана Котляревського, який в своїх творах часто згадував галушки, описуючи Полтавську битву, ця страва залишається популярною на Полтавщині. Галушки втілюють у собі ідею добробуту, працьовитості та щедрості української родини, та саме завдяки цьому символізму вони стали улюбленим частуванням на Масляний тиждень.</w:t>
      </w:r>
    </w:p>
    <w:p w:rsidR="001D0C14" w:rsidRDefault="00E16C6E">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uk-UA"/>
        </w:rPr>
        <w:t xml:space="preserve">Одним із різновидів традиційних галушок є затірка, що має праслов’янське коріння. Відмінністю цієї страви є те, що затірка нагадує густий суп, на відміну від звичайних галушок. </w:t>
      </w:r>
      <w:r>
        <w:rPr>
          <w:rFonts w:ascii="Times New Roman" w:hAnsi="Times New Roman" w:cs="Times New Roman"/>
          <w:sz w:val="28"/>
          <w:szCs w:val="28"/>
          <w:lang w:val="ru-RU"/>
        </w:rPr>
        <w:t>Для її приготування пшеничне тісто розминають з борошном, формуючи дрібні кульки, які потім варять у молоці. Якщо затірку готували на щодень, то її подавали зі шкварками, лляною олією або смаженою цибулею, а на Масляну затірку подавали з вершковим маслом.</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Масляну кисіль готували як смачний десерт. Ця страва має слов’янське коріння та різні варіації приготування. До початку ХХ століття кисіль робили на основі конопляного або макового молока. Для цього вівсяні зерна підсмажували, мололи на борошно, яке потім запарювали та залишали відстоюватися разом зі шматком хліба. Наступного дня масу, яка вже встигла забродити, заправляли молоком, отриманим шляхом розминання макових зерен або коноплі. Кисіль мав сивуватий колір і специфічний смак, тому його щедро приправляли. Солоний кисіль подавали з хроном або підсмаженою цибулею, а як десерт його готували з ягодами, медом і сушиною. З початку ХХ століття кисіль стали готувати на основі картопляного крохмалю, додаючи до нього ягоди та фрукти.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Традиційні страви, що є частиною культурної спадщини, відображають не лише кулінарні звичаї та смаки, але й переносять важливі історичні та соціокультурні аспекти. Їхнє приготування та споживання відображають унікальний спосіб життя та світогляд народу, а також передають традиції, обряди та суспільні цінності через покоління.</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Свято Масляної також асоціюється з млинцями. Млинець є традиційною українською стравою, яка приготовляється з рідкого гречаного або пшеничного тіста та смажиться на маслі або олії на сковорідці. Гречані млинці здавна пекли на Масляницю та споживали у великій кількості. Ця страва має великий символічний заряд, оскільки вона пов’язана з проведенням Масляної, першим тижнем перед Великим постом, коли відзначається прощення зими та зустріч весни.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Млинці символізують не лише смачність та витонченість у кулінарному мистецтві, але й підтримку традицій і звичаїв. Їх печуть не лише як страву, але й як обрядовий символ відправлення зими та зустрічі весни. Вони є неодмінною складовою святкового столу під час Масляної та зберігають свою популярність серед українців дотепер.</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Традиційні українські млинці мають глибокі корені в культурі та віруваннях народу. Вони символізують сонце, тепло і радість, а за легендою, млинець, зварений на Масляний тиждень, міг надавати силу та витривалість. Історія їх виникнення сягає </w:t>
      </w:r>
      <w:r>
        <w:rPr>
          <w:rFonts w:ascii="Times New Roman" w:hAnsi="Times New Roman" w:cs="Times New Roman"/>
          <w:sz w:val="28"/>
          <w:szCs w:val="28"/>
          <w:lang w:val="uk-UA"/>
        </w:rPr>
        <w:lastRenderedPageBreak/>
        <w:t>до часів Київської Русі, але навіть до прийняття християнства східні слов’яни використовували млинці як частину обрядових вечорів пам’яті для померлих родичів.</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Існує безліч варіантів приготування млинців, але, в основному, вони робляться на основі теплого молока з додаванням дріжджів і яєць. Тісто може бути солодким або солоним залежно від власних уподобань. Млинці подавалися теплими або холодними і супроводжувалися різноманітними начинками: повидлом, фруктами, грибами, смаженою цибулею, навіть м’ясом. Один з найпопулярніших варіантів – млинці з сиром, які часто називають «налисники».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Гастрономічні традиції України мають власну ідентичність, яка відрізняється від російських. Наприклад, налисники, як популярна українська страва, мають своє унікальне значення та історію, відмінну від російських аналогів. Ця страва зберігає в собі культурні та історичні традиції українського народу.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Проте сучасному українському суспільству необхідно вирішувати проблеми, що виходять за межі гастрономічних традицій. Кліпове мислення, втрата зв’язку між поколіннями, нестача національно-патріотичного виховання – це лише деякі з проблем, які потребують уваги та вирішення. Ці проблеми також впливають на гастрономічну сферу, оскільки вони формують культурний та соціальний контекст загалом. Тому важливо зміцнювати національну свідомість та розвивати культурний капітал країни.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Фестивальний туризм може стати важливим інструментом для вирішення певних соціальних та економічних проблем, зокрема законсервованості туристичної галузі та стагнації інших сфер діяльності через воєнні дії на території України.</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По-перше, фестивальний туризм може стимулювати відновлення і розвиток туристичної інфраструктури, оскільки фестивалі часто привертають увагу як місцевих, так і іноземних відвідувачів. Це може сприяти створенню нових робочих місць, розвитку малих та середніх підприємств та підвищенню економічного рівня регіонів, які організовують фестивалі.</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По-друге, фестивалі можуть виступати як інструмент соціальної мобілізації та об’єднання громад. Вони створюють можливість для спілкування, обміну досвідом і </w:t>
      </w:r>
      <w:r>
        <w:rPr>
          <w:rFonts w:ascii="Times New Roman" w:hAnsi="Times New Roman" w:cs="Times New Roman"/>
          <w:sz w:val="28"/>
          <w:szCs w:val="28"/>
          <w:lang w:val="uk-UA"/>
        </w:rPr>
        <w:lastRenderedPageBreak/>
        <w:t>культурними цінностями між різними соціальними групами. Це сприяє покращенню міжкультурного розуміння та сприяє зміцненню соціального капіталу.</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Нарешті, фестивалі можуть привертати увагу до певних регіонів та культурних аспектів, що раніше могли залишатися непоміченими. Це може сприяти розвитку туризму в менш відомих місцевостях та підвищенню інтересу до їхньої культури та історії.</w:t>
      </w:r>
    </w:p>
    <w:p w:rsidR="001D0C14" w:rsidRDefault="00E16C6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Отже, фестивальний туризм може бути важливим інструментом для розвитку туристичної галузі та вирішення певних соціальних та економічних проблем, що виникають внаслідок воєнних дій на території України. (рис. 3.1).</w:t>
      </w:r>
    </w:p>
    <w:p w:rsidR="001D0C14" w:rsidRDefault="00E16C6E">
      <w:pPr>
        <w:pStyle w:val="af4"/>
        <w:ind w:left="569"/>
        <w:jc w:val="center"/>
        <w:rPr>
          <w:color w:val="231F20"/>
        </w:rPr>
      </w:pPr>
      <w:r>
        <w:rPr>
          <w:noProof/>
        </w:rPr>
        <w:drawing>
          <wp:inline distT="0" distB="0" distL="0" distR="0">
            <wp:extent cx="5105400" cy="3419475"/>
            <wp:effectExtent l="0" t="0" r="0" b="0"/>
            <wp:docPr id="1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3"/>
                    <pic:cNvPicPr>
                      <a:picLocks noChangeAspect="1" noChangeArrowheads="1"/>
                    </pic:cNvPicPr>
                  </pic:nvPicPr>
                  <pic:blipFill>
                    <a:blip r:embed="rId18"/>
                    <a:stretch>
                      <a:fillRect/>
                    </a:stretch>
                  </pic:blipFill>
                  <pic:spPr bwMode="auto">
                    <a:xfrm>
                      <a:off x="0" y="0"/>
                      <a:ext cx="5105400" cy="3419475"/>
                    </a:xfrm>
                    <a:prstGeom prst="rect">
                      <a:avLst/>
                    </a:prstGeom>
                  </pic:spPr>
                </pic:pic>
              </a:graphicData>
            </a:graphic>
          </wp:inline>
        </w:drawing>
      </w:r>
    </w:p>
    <w:p w:rsidR="001D0C14" w:rsidRDefault="00E16C6E">
      <w:pPr>
        <w:pStyle w:val="af4"/>
        <w:spacing w:line="360" w:lineRule="auto"/>
        <w:ind w:left="569"/>
        <w:jc w:val="center"/>
        <w:rPr>
          <w:sz w:val="20"/>
        </w:rPr>
      </w:pPr>
      <w:r>
        <w:rPr>
          <w:color w:val="231F20"/>
        </w:rPr>
        <w:t xml:space="preserve">Рисунок </w:t>
      </w:r>
      <w:r>
        <w:rPr>
          <w:color w:val="231F20"/>
          <w:spacing w:val="-3"/>
        </w:rPr>
        <w:t>3.</w:t>
      </w:r>
      <w:r>
        <w:rPr>
          <w:color w:val="231F20"/>
        </w:rPr>
        <w:t xml:space="preserve">1 </w:t>
      </w:r>
      <w:r>
        <w:t>–</w:t>
      </w:r>
      <w:r>
        <w:rPr>
          <w:color w:val="231F20"/>
          <w:spacing w:val="-3"/>
        </w:rPr>
        <w:t xml:space="preserve"> </w:t>
      </w:r>
      <w:r>
        <w:rPr>
          <w:color w:val="231F20"/>
        </w:rPr>
        <w:t>Ефекти</w:t>
      </w:r>
      <w:r>
        <w:rPr>
          <w:color w:val="231F20"/>
          <w:spacing w:val="-4"/>
        </w:rPr>
        <w:t xml:space="preserve"> </w:t>
      </w:r>
      <w:r>
        <w:rPr>
          <w:color w:val="231F20"/>
        </w:rPr>
        <w:t>фестивального</w:t>
      </w:r>
      <w:r>
        <w:rPr>
          <w:color w:val="231F20"/>
          <w:spacing w:val="-2"/>
        </w:rPr>
        <w:t xml:space="preserve"> туризму </w:t>
      </w:r>
      <w:r>
        <w:t>[16]</w:t>
      </w:r>
    </w:p>
    <w:p w:rsidR="001D0C14" w:rsidRDefault="001D0C14">
      <w:pPr>
        <w:spacing w:after="0" w:line="360" w:lineRule="auto"/>
        <w:ind w:firstLine="709"/>
        <w:rPr>
          <w:rFonts w:ascii="Times New Roman" w:hAnsi="Times New Roman" w:cs="Times New Roman"/>
          <w:sz w:val="28"/>
          <w:lang w:val="uk-UA"/>
        </w:rPr>
      </w:pPr>
    </w:p>
    <w:p w:rsidR="001D0C14" w:rsidRDefault="00E16C6E">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Поза зміцненням культурно-освітньої ролі туризму та наповненням відпочинку значущим вмістом, фестивальний туризм може стати ключовим інструментом відновлення туристичної галузі та супутніх сфер після періоду воєнних дій на території України. Діяльність у цьому напрямі сприятиме посиленню кадрового потенціалу у сфері туризму, формуванню іміджу територіальних громад та просуванню якісного національного туристичного продукту.</w:t>
      </w:r>
    </w:p>
    <w:p w:rsidR="001D0C14" w:rsidRDefault="00E16C6E">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Для узагальнення результатів та подальшого дослідження перспектив важливо розуміти, що подорож або поїздка – це не лише відпочинок, але й можливість втікнути </w:t>
      </w:r>
      <w:r>
        <w:rPr>
          <w:rFonts w:ascii="Times New Roman" w:hAnsi="Times New Roman" w:cs="Times New Roman"/>
          <w:sz w:val="28"/>
          <w:lang w:val="uk-UA"/>
        </w:rPr>
        <w:lastRenderedPageBreak/>
        <w:t>від рутини, випробувати себе та пізнати внутрішній світ. Фестивальний туризм дозволяє зробити відпочинок захопливим та насиченим для учасників туристичної активності.</w:t>
      </w:r>
    </w:p>
    <w:p w:rsidR="001D0C14" w:rsidRDefault="00E16C6E">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Для досягнення цієї мети необхідно активно розробляти різноманітні маршрути фестивального туризму та стимулювати організацію святкових заходів і фестивалів як на місцевому, так і на національному рівні. Проведення якісних та масштабних культурних заходів та фестивалів стане основою для збереження й просування місцевих традицій українського народу, відновлення культурного розмаїття та розвитку людського капіталу.</w:t>
      </w:r>
    </w:p>
    <w:p w:rsidR="001D0C14" w:rsidRDefault="001D0C14">
      <w:pPr>
        <w:spacing w:after="0" w:line="360" w:lineRule="auto"/>
        <w:ind w:firstLine="709"/>
        <w:rPr>
          <w:rFonts w:ascii="Times New Roman" w:hAnsi="Times New Roman" w:cs="Times New Roman"/>
          <w:sz w:val="28"/>
          <w:lang w:val="uk-UA"/>
        </w:rPr>
      </w:pPr>
    </w:p>
    <w:p w:rsidR="001D0C14" w:rsidRDefault="00E16C6E">
      <w:pPr>
        <w:spacing w:after="0" w:line="360" w:lineRule="auto"/>
        <w:ind w:firstLine="709"/>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3.2. Перспективи розвитку туризму у Витвицькій ОТГ</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Розвиток туристичної сфери у Витвицькій ОТГ має великий потенціал для подальшого зростання та удосконалення відповідно до сучасних вимог та потреб ринку. Зосереджуючись переважно на природних ресурсах та культурно-історичних об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єктах, регіон має можливість привернути увагу туристів як з внутрішніх, так і з зовнішніх ринків. Висока розвиненість інфраструктури, включаючи сучасні готелі, ресторани та розважальні заклади, сприяє створенню комфортних умов для відвідувачів.</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Однак, для досягнення свого потенціалу туристичний сектор стикається з рядом викликів. Серед них особливу увагу слід звернути на необхідність розробки ефективної рекламної стратегії, яка максимально привертала б увагу до унікальних можливостей та атракцій регіону. Крім того, розвиток та покращення інфраструктури, зокрема, стану дорожньої мережі та доступності туристичних об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єктів, є критичними аспектами. До цього долучається необхідність забезпечення ефективної співпраці між різними суб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єктами туристичного бізнесу та громадськими організаціями для забезпечення успішного розвитку туризму в даному регіоні.</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врахуванні вищезазначених факторів, перспективи розвитку туризму у Витвицькій ОТГ залишаються високими, проте вимагають системного та комплексного підходу до вирішення існуючих проблем та вдосконалення існуючих можливостей.</w:t>
      </w:r>
    </w:p>
    <w:p w:rsidR="001D0C14" w:rsidRDefault="00E16C6E">
      <w:pPr>
        <w:spacing w:after="0" w:line="360" w:lineRule="auto"/>
        <w:ind w:firstLine="709"/>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lastRenderedPageBreak/>
        <w:t xml:space="preserve">У контексті аналізу розвитку туристичної галузі у Витвицькій ОТГ, наведено таблицю </w:t>
      </w:r>
      <w:r>
        <w:rPr>
          <w:rFonts w:ascii="Times New Roman" w:hAnsi="Times New Roman" w:cs="Times New Roman"/>
          <w:color w:val="000000" w:themeColor="text1"/>
          <w:sz w:val="28"/>
          <w:szCs w:val="28"/>
        </w:rPr>
        <w:t>SWOT</w:t>
      </w:r>
      <w:r>
        <w:rPr>
          <w:rFonts w:ascii="Times New Roman" w:hAnsi="Times New Roman" w:cs="Times New Roman"/>
          <w:color w:val="000000" w:themeColor="text1"/>
          <w:sz w:val="28"/>
          <w:szCs w:val="28"/>
          <w:lang w:val="ru-RU"/>
        </w:rPr>
        <w:t xml:space="preserve">-аналізу, що відображає основні переваги, недоліки, можливості та загрози, які впливають на подальший розвиток цього напрямку. Сильні сторони включають багатоманітність туристичних ресурсів та розвинену інфраструктуру, що створює комфортні умови для відпочинку. На відміну від цього, слабкі сторони вказують на проблеми, такі як неадекватна реклама та недостатня розвиненість інфраструктури. Можливості для подальшого розвитку полягають у створенні нових туристичних продуктів та співпраці з іншими регіонами, водночас, загрози включають конкуренцію, екологічні проблеми та політичну нестабільність. Цей аналіз є важливим інструментом для розробки стратегій та прийняття рішень, спрямованих на покращення управління туристичною галуззю у регіоні (табл.3.2.). </w:t>
      </w:r>
    </w:p>
    <w:p w:rsidR="001D0C14" w:rsidRDefault="00E16C6E">
      <w:pPr>
        <w:spacing w:after="0"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Таблиця 3.2. </w:t>
      </w:r>
      <w:r>
        <w:rPr>
          <w:rFonts w:ascii="Times New Roman" w:hAnsi="Times New Roman" w:cs="Times New Roman"/>
          <w:b/>
          <w:color w:val="000000" w:themeColor="text1"/>
          <w:sz w:val="28"/>
          <w:szCs w:val="28"/>
        </w:rPr>
        <w:t>SWOT</w:t>
      </w:r>
      <w:r>
        <w:rPr>
          <w:rFonts w:ascii="Times New Roman" w:hAnsi="Times New Roman" w:cs="Times New Roman"/>
          <w:b/>
          <w:color w:val="000000" w:themeColor="text1"/>
          <w:sz w:val="28"/>
          <w:szCs w:val="28"/>
          <w:lang w:val="uk-UA"/>
        </w:rPr>
        <w:t>-аналіз розвитку туризму у Витвицькій ОТГ</w:t>
      </w:r>
    </w:p>
    <w:tbl>
      <w:tblPr>
        <w:tblStyle w:val="aff3"/>
        <w:tblW w:w="10343" w:type="dxa"/>
        <w:tblLayout w:type="fixed"/>
        <w:tblLook w:val="04A0" w:firstRow="1" w:lastRow="0" w:firstColumn="1" w:lastColumn="0" w:noHBand="0" w:noVBand="1"/>
      </w:tblPr>
      <w:tblGrid>
        <w:gridCol w:w="5218"/>
        <w:gridCol w:w="5125"/>
      </w:tblGrid>
      <w:tr w:rsidR="001D0C14">
        <w:tc>
          <w:tcPr>
            <w:tcW w:w="5217"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1"/>
                <w:lang w:val="uk-UA" w:eastAsia="uk-UA"/>
              </w:rPr>
            </w:pPr>
            <w:r>
              <w:rPr>
                <w:rFonts w:ascii="Times New Roman" w:eastAsia="Times New Roman" w:hAnsi="Times New Roman" w:cs="Times New Roman"/>
                <w:b/>
                <w:bCs/>
                <w:color w:val="000000" w:themeColor="text1"/>
                <w:sz w:val="24"/>
                <w:szCs w:val="21"/>
                <w:bdr w:val="single" w:sz="2" w:space="0" w:color="E3E3E3"/>
                <w:lang w:val="uk-UA" w:eastAsia="uk-UA"/>
              </w:rPr>
              <w:t>Сильні сторони (Strengths)</w:t>
            </w:r>
          </w:p>
        </w:tc>
        <w:tc>
          <w:tcPr>
            <w:tcW w:w="5125"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1"/>
                <w:lang w:val="uk-UA" w:eastAsia="uk-UA"/>
              </w:rPr>
            </w:pPr>
            <w:r>
              <w:rPr>
                <w:rFonts w:ascii="Times New Roman" w:eastAsia="Times New Roman" w:hAnsi="Times New Roman" w:cs="Times New Roman"/>
                <w:b/>
                <w:bCs/>
                <w:color w:val="000000" w:themeColor="text1"/>
                <w:sz w:val="24"/>
                <w:szCs w:val="21"/>
                <w:bdr w:val="single" w:sz="2" w:space="0" w:color="E3E3E3"/>
                <w:lang w:val="uk-UA" w:eastAsia="uk-UA"/>
              </w:rPr>
              <w:t>Слабкі сторони (Weaknesses)</w:t>
            </w:r>
          </w:p>
        </w:tc>
      </w:tr>
      <w:tr w:rsidR="001D0C14" w:rsidRPr="005B551B">
        <w:trPr>
          <w:trHeight w:val="3056"/>
        </w:trPr>
        <w:tc>
          <w:tcPr>
            <w:tcW w:w="5217"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Багатоманітність туристичних ресурсів: Наявність природних, культурно-історичних та подієвих об</w:t>
            </w:r>
            <w:r>
              <w:rPr>
                <w:rFonts w:ascii="Times New Roman" w:hAnsi="Times New Roman" w:cs="Times New Roman"/>
                <w:sz w:val="24"/>
                <w:szCs w:val="28"/>
                <w:lang w:val="uk-UA"/>
              </w:rPr>
              <w:t>’</w:t>
            </w:r>
            <w:r>
              <w:rPr>
                <w:rFonts w:ascii="Times New Roman" w:eastAsia="Times New Roman" w:hAnsi="Times New Roman" w:cs="Times New Roman"/>
                <w:color w:val="000000" w:themeColor="text1"/>
                <w:sz w:val="24"/>
                <w:szCs w:val="21"/>
                <w:lang w:val="uk-UA" w:eastAsia="uk-UA"/>
              </w:rPr>
              <w:t>єктів сприяє різноманітності туристичних пропозицій.</w:t>
            </w:r>
          </w:p>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Розвинена інфраструктура: Наявність санаторіїв та інших закладів створює комфортні умови для відпочинку та медичного туризму.</w:t>
            </w:r>
          </w:p>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Потенціал розвитку: Значний потенціал для подальшого розвитку туризму, особливо з урахуванням різноманітних природних та культурних ресурсів.</w:t>
            </w:r>
          </w:p>
        </w:tc>
        <w:tc>
          <w:tcPr>
            <w:tcW w:w="512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Неадекватна реклама: Відсутність ефективної рекламної кампанії може обмежувати відомість туристичних можливостей об</w:t>
            </w:r>
            <w:r>
              <w:rPr>
                <w:rFonts w:ascii="Times New Roman" w:hAnsi="Times New Roman" w:cs="Times New Roman"/>
                <w:sz w:val="24"/>
                <w:szCs w:val="28"/>
                <w:lang w:val="uk-UA"/>
              </w:rPr>
              <w:t>’</w:t>
            </w:r>
            <w:r>
              <w:rPr>
                <w:rFonts w:ascii="Times New Roman" w:eastAsia="Times New Roman" w:hAnsi="Times New Roman" w:cs="Times New Roman"/>
                <w:color w:val="000000" w:themeColor="text1"/>
                <w:sz w:val="24"/>
                <w:szCs w:val="21"/>
                <w:lang w:val="uk-UA" w:eastAsia="uk-UA"/>
              </w:rPr>
              <w:t>єднаної територіальної громади.</w:t>
            </w:r>
          </w:p>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Недостатня розвиненість інфраструктури: Деякі туристичні об</w:t>
            </w:r>
            <w:r>
              <w:rPr>
                <w:rFonts w:ascii="Times New Roman" w:hAnsi="Times New Roman" w:cs="Times New Roman"/>
                <w:sz w:val="24"/>
                <w:szCs w:val="28"/>
                <w:lang w:val="uk-UA"/>
              </w:rPr>
              <w:t>’</w:t>
            </w:r>
            <w:r>
              <w:rPr>
                <w:rFonts w:ascii="Times New Roman" w:eastAsia="Times New Roman" w:hAnsi="Times New Roman" w:cs="Times New Roman"/>
                <w:color w:val="000000" w:themeColor="text1"/>
                <w:sz w:val="24"/>
                <w:szCs w:val="21"/>
                <w:lang w:val="uk-UA" w:eastAsia="uk-UA"/>
              </w:rPr>
              <w:t>єкти можуть потребувати поліпшення інфраструктури, наприклад, доріг або об</w:t>
            </w:r>
            <w:r>
              <w:rPr>
                <w:rFonts w:ascii="Times New Roman" w:hAnsi="Times New Roman" w:cs="Times New Roman"/>
                <w:sz w:val="24"/>
                <w:szCs w:val="28"/>
                <w:lang w:val="uk-UA"/>
              </w:rPr>
              <w:t>’</w:t>
            </w:r>
            <w:r>
              <w:rPr>
                <w:rFonts w:ascii="Times New Roman" w:eastAsia="Times New Roman" w:hAnsi="Times New Roman" w:cs="Times New Roman"/>
                <w:color w:val="000000" w:themeColor="text1"/>
                <w:sz w:val="24"/>
                <w:szCs w:val="21"/>
                <w:lang w:val="uk-UA" w:eastAsia="uk-UA"/>
              </w:rPr>
              <w:t>єктів розваг.</w:t>
            </w:r>
          </w:p>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Брак координації: Недостатня координація між суб</w:t>
            </w:r>
            <w:r>
              <w:rPr>
                <w:rFonts w:ascii="Times New Roman" w:hAnsi="Times New Roman" w:cs="Times New Roman"/>
                <w:sz w:val="24"/>
                <w:szCs w:val="28"/>
                <w:lang w:val="uk-UA"/>
              </w:rPr>
              <w:t>’</w:t>
            </w:r>
            <w:r>
              <w:rPr>
                <w:rFonts w:ascii="Times New Roman" w:eastAsia="Times New Roman" w:hAnsi="Times New Roman" w:cs="Times New Roman"/>
                <w:color w:val="000000" w:themeColor="text1"/>
                <w:sz w:val="24"/>
                <w:szCs w:val="21"/>
                <w:lang w:val="uk-UA" w:eastAsia="uk-UA"/>
              </w:rPr>
              <w:t>єктами туристичної індустрії може обмежувати розвиток туризму.</w:t>
            </w:r>
          </w:p>
        </w:tc>
      </w:tr>
      <w:tr w:rsidR="001D0C14">
        <w:tc>
          <w:tcPr>
            <w:tcW w:w="5217"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bdr w:val="single" w:sz="2" w:space="0" w:color="E3E3E3"/>
                <w:lang w:val="uk-UA" w:eastAsia="uk-UA"/>
              </w:rPr>
              <w:t>Можливості (Opportunities)</w:t>
            </w:r>
          </w:p>
        </w:tc>
        <w:tc>
          <w:tcPr>
            <w:tcW w:w="5125"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bdr w:val="single" w:sz="2" w:space="0" w:color="E3E3E3"/>
                <w:lang w:val="uk-UA" w:eastAsia="uk-UA"/>
              </w:rPr>
              <w:t>Загрози (Threats)</w:t>
            </w:r>
          </w:p>
        </w:tc>
      </w:tr>
      <w:tr w:rsidR="001D0C14" w:rsidRPr="005B551B">
        <w:trPr>
          <w:trHeight w:val="2780"/>
        </w:trPr>
        <w:tc>
          <w:tcPr>
            <w:tcW w:w="5217"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Розвиток нових продуктів: Використання потенціалу природи та культурно-історичних об</w:t>
            </w:r>
            <w:r>
              <w:rPr>
                <w:rFonts w:ascii="Times New Roman" w:hAnsi="Times New Roman" w:cs="Times New Roman"/>
                <w:sz w:val="24"/>
                <w:szCs w:val="28"/>
                <w:lang w:val="uk-UA"/>
              </w:rPr>
              <w:t>’</w:t>
            </w:r>
            <w:r>
              <w:rPr>
                <w:rFonts w:ascii="Times New Roman" w:eastAsia="Times New Roman" w:hAnsi="Times New Roman" w:cs="Times New Roman"/>
                <w:color w:val="000000" w:themeColor="text1"/>
                <w:sz w:val="24"/>
                <w:szCs w:val="24"/>
                <w:lang w:val="uk-UA" w:eastAsia="uk-UA"/>
              </w:rPr>
              <w:t>єктів для створення нових туристичних продуктів.</w:t>
            </w:r>
          </w:p>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Рекреаційні та спортивні можливості: Розвиток рекреаційних та спортивних об</w:t>
            </w:r>
            <w:r>
              <w:rPr>
                <w:rFonts w:ascii="Times New Roman" w:hAnsi="Times New Roman" w:cs="Times New Roman"/>
                <w:sz w:val="24"/>
                <w:szCs w:val="28"/>
                <w:lang w:val="uk-UA"/>
              </w:rPr>
              <w:t>’</w:t>
            </w:r>
            <w:r>
              <w:rPr>
                <w:rFonts w:ascii="Times New Roman" w:eastAsia="Times New Roman" w:hAnsi="Times New Roman" w:cs="Times New Roman"/>
                <w:color w:val="000000" w:themeColor="text1"/>
                <w:sz w:val="24"/>
                <w:szCs w:val="24"/>
                <w:lang w:val="uk-UA" w:eastAsia="uk-UA"/>
              </w:rPr>
              <w:t>єктів може привернути нових туристів.</w:t>
            </w:r>
          </w:p>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Регіональна співпраця: Можливість співпраці з іншими туристичними регіонами для спільного просування та розвитку.</w:t>
            </w:r>
          </w:p>
        </w:tc>
        <w:tc>
          <w:tcPr>
            <w:tcW w:w="512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Конкуренція: Конкуренція з іншими туристичними регіонами може обмежувати приток туристів.</w:t>
            </w:r>
          </w:p>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Екологічні проблеми: Зростання туризму може призвести до екологічних проблем, таких як забруднення навколишнього середовища та знищення природних ресурсів.</w:t>
            </w:r>
          </w:p>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Політична нестабільність: Політична нестабільність у регіоні може вплинути на безпеку та імідж туристичного напрямку.</w:t>
            </w:r>
          </w:p>
        </w:tc>
      </w:tr>
    </w:tbl>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C</w:t>
      </w:r>
      <w:r>
        <w:rPr>
          <w:rFonts w:ascii="Times New Roman" w:hAnsi="Times New Roman" w:cs="Times New Roman"/>
          <w:color w:val="000000" w:themeColor="text1"/>
          <w:sz w:val="28"/>
          <w:szCs w:val="28"/>
          <w:lang w:val="uk-UA"/>
        </w:rPr>
        <w:t>кладено автором</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Аналізуючи переваги та недоліки розвитку туризму в Витвицькій ОТГ, протягом останніх років, можна визначити кілька ключових аспектів, що впливають на його поточний стан та майбутні перспективи.</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У рамках переваг, слід зазначити різноманітність туристичних ресурсів у регіоні. Наявність природних ландшафтів, культурно-історичних пам</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яток та проведення різноманітних заходів створює широкий спектр туристичних пропозицій. Також варто відзначити розвинену інфраструктуру, яка забезпечує комфортне перебування туристів, включаючи санаторії та інші заклади.</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Однак існують і слабкі сторони. Наприклад, відсутність ефективної рекламної кампанії обмежує відомість туристичних можливостей регіону. Також інфраструктура часто потребує поліпшення, особливо стосовно доріг та розважальних об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єктів. Брак координації між суб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єктами туристичної індустрії також ускладнює розвиток туризму в регіоні.</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Проте, можливості для подальшого розвитку не відсутні. Використання потенціалу природи та культурно-історичних об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єктів може призвести до створення нових туристичних продуктів. Розвиток рекреаційних та спортивних об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єктів приверне нових туристів. Крім того, співпраця з іншими туристичними регіонами може стати важливим стимулом для розвитку.</w:t>
      </w:r>
    </w:p>
    <w:p w:rsidR="001D0C14" w:rsidRDefault="00E16C6E">
      <w:pPr>
        <w:spacing w:after="0" w:line="360" w:lineRule="auto"/>
        <w:ind w:firstLine="709"/>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У стратегічному розвитку туристичної галузі у Витвицькій об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xml:space="preserve">єднаній територіальній громаді важливим аспектом є аналіз різноманітних факторів, які впливають на подієвий туризм. Таблиця 3.3. створена з метою систематизації та оцінки сильних сторін, слабких сторін, можливостей та загроз, які впливають на організацію та розвиток подій у регіоні. </w:t>
      </w:r>
      <w:r>
        <w:rPr>
          <w:rFonts w:ascii="Times New Roman" w:hAnsi="Times New Roman" w:cs="Times New Roman"/>
          <w:color w:val="000000" w:themeColor="text1"/>
          <w:sz w:val="28"/>
          <w:szCs w:val="28"/>
          <w:lang w:val="ru-RU"/>
        </w:rPr>
        <w:t>Аналіз цих факторів допоможе визначити переваги, недоліки, потенційні можливості та можливі загрози, що виникають у контексті розвитку подієвого туризму. Надана таблиця є інструментом для вивчення стратегічних аспектів розвитку туристичної галузі та формування ефективних стратегій управління для досягнення поставлених цілей.</w:t>
      </w:r>
    </w:p>
    <w:p w:rsidR="001D0C14" w:rsidRDefault="001D0C14">
      <w:pPr>
        <w:spacing w:after="0" w:line="360" w:lineRule="auto"/>
        <w:rPr>
          <w:rFonts w:ascii="Times New Roman" w:hAnsi="Times New Roman" w:cs="Times New Roman"/>
          <w:color w:val="000000" w:themeColor="text1"/>
          <w:sz w:val="28"/>
          <w:szCs w:val="28"/>
          <w:lang w:val="ru-RU"/>
        </w:rPr>
      </w:pPr>
    </w:p>
    <w:p w:rsidR="001D0C14" w:rsidRDefault="00E16C6E">
      <w:pPr>
        <w:spacing w:after="0" w:line="360" w:lineRule="auto"/>
        <w:ind w:firstLine="709"/>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Таблиця 3.3 - </w:t>
      </w:r>
      <w:r>
        <w:rPr>
          <w:rFonts w:ascii="Times New Roman" w:hAnsi="Times New Roman" w:cs="Times New Roman"/>
          <w:b/>
          <w:color w:val="000000" w:themeColor="text1"/>
          <w:sz w:val="28"/>
          <w:szCs w:val="28"/>
          <w:lang w:val="uk-UA"/>
        </w:rPr>
        <w:t>Перспективи розвитку туризму у Витвицькій ОТГ</w:t>
      </w:r>
    </w:p>
    <w:tbl>
      <w:tblPr>
        <w:tblStyle w:val="aff3"/>
        <w:tblW w:w="10201" w:type="dxa"/>
        <w:tblLayout w:type="fixed"/>
        <w:tblLook w:val="04A0" w:firstRow="1" w:lastRow="0" w:firstColumn="1" w:lastColumn="0" w:noHBand="0" w:noVBand="1"/>
      </w:tblPr>
      <w:tblGrid>
        <w:gridCol w:w="1875"/>
        <w:gridCol w:w="2089"/>
        <w:gridCol w:w="1985"/>
        <w:gridCol w:w="2266"/>
        <w:gridCol w:w="1986"/>
      </w:tblGrid>
      <w:tr w:rsidR="001D0C14">
        <w:tc>
          <w:tcPr>
            <w:tcW w:w="1875"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1"/>
                <w:lang w:val="uk-UA" w:eastAsia="uk-UA"/>
              </w:rPr>
            </w:pPr>
            <w:r>
              <w:rPr>
                <w:rFonts w:ascii="Times New Roman" w:eastAsia="Times New Roman" w:hAnsi="Times New Roman" w:cs="Times New Roman"/>
                <w:b/>
                <w:bCs/>
                <w:color w:val="000000" w:themeColor="text1"/>
                <w:sz w:val="24"/>
                <w:szCs w:val="21"/>
                <w:lang w:val="uk-UA" w:eastAsia="uk-UA"/>
              </w:rPr>
              <w:t>Аспекти розвитку подієвого туризму</w:t>
            </w:r>
          </w:p>
        </w:tc>
        <w:tc>
          <w:tcPr>
            <w:tcW w:w="2089"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1"/>
                <w:lang w:val="uk-UA" w:eastAsia="uk-UA"/>
              </w:rPr>
            </w:pPr>
            <w:r>
              <w:rPr>
                <w:rFonts w:ascii="Times New Roman" w:eastAsia="Times New Roman" w:hAnsi="Times New Roman" w:cs="Times New Roman"/>
                <w:b/>
                <w:bCs/>
                <w:color w:val="000000" w:themeColor="text1"/>
                <w:sz w:val="24"/>
                <w:szCs w:val="21"/>
                <w:lang w:val="uk-UA" w:eastAsia="uk-UA"/>
              </w:rPr>
              <w:t>Сильні сторони (Strengths)</w:t>
            </w:r>
          </w:p>
        </w:tc>
        <w:tc>
          <w:tcPr>
            <w:tcW w:w="1985"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1"/>
                <w:lang w:val="uk-UA" w:eastAsia="uk-UA"/>
              </w:rPr>
            </w:pPr>
            <w:r>
              <w:rPr>
                <w:rFonts w:ascii="Times New Roman" w:eastAsia="Times New Roman" w:hAnsi="Times New Roman" w:cs="Times New Roman"/>
                <w:b/>
                <w:bCs/>
                <w:color w:val="000000" w:themeColor="text1"/>
                <w:sz w:val="24"/>
                <w:szCs w:val="21"/>
                <w:lang w:val="uk-UA" w:eastAsia="uk-UA"/>
              </w:rPr>
              <w:t>Слабкі сторони (Weaknesses)</w:t>
            </w:r>
          </w:p>
        </w:tc>
        <w:tc>
          <w:tcPr>
            <w:tcW w:w="2266"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1"/>
                <w:lang w:val="uk-UA" w:eastAsia="uk-UA"/>
              </w:rPr>
            </w:pPr>
            <w:r>
              <w:rPr>
                <w:rFonts w:ascii="Times New Roman" w:eastAsia="Times New Roman" w:hAnsi="Times New Roman" w:cs="Times New Roman"/>
                <w:b/>
                <w:bCs/>
                <w:color w:val="000000" w:themeColor="text1"/>
                <w:sz w:val="24"/>
                <w:szCs w:val="21"/>
                <w:lang w:val="uk-UA" w:eastAsia="uk-UA"/>
              </w:rPr>
              <w:t>Можливості (Opportunities)</w:t>
            </w:r>
          </w:p>
        </w:tc>
        <w:tc>
          <w:tcPr>
            <w:tcW w:w="1986"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1"/>
                <w:lang w:val="uk-UA" w:eastAsia="uk-UA"/>
              </w:rPr>
            </w:pPr>
            <w:r>
              <w:rPr>
                <w:rFonts w:ascii="Times New Roman" w:eastAsia="Times New Roman" w:hAnsi="Times New Roman" w:cs="Times New Roman"/>
                <w:b/>
                <w:bCs/>
                <w:color w:val="000000" w:themeColor="text1"/>
                <w:sz w:val="24"/>
                <w:szCs w:val="21"/>
                <w:lang w:val="uk-UA" w:eastAsia="uk-UA"/>
              </w:rPr>
              <w:t>Загрози (Threats)</w:t>
            </w:r>
          </w:p>
        </w:tc>
      </w:tr>
      <w:tr w:rsidR="001D0C14" w:rsidRPr="005B551B">
        <w:tc>
          <w:tcPr>
            <w:tcW w:w="187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Багатовидність подій</w:t>
            </w:r>
          </w:p>
        </w:tc>
        <w:tc>
          <w:tcPr>
            <w:tcW w:w="2089"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 xml:space="preserve">Широкий спектр культурних та рекреаційних </w:t>
            </w:r>
            <w:r>
              <w:rPr>
                <w:rFonts w:ascii="Times New Roman" w:eastAsia="Times New Roman" w:hAnsi="Times New Roman" w:cs="Times New Roman"/>
                <w:color w:val="000000" w:themeColor="text1"/>
                <w:sz w:val="24"/>
                <w:szCs w:val="21"/>
                <w:lang w:val="uk-UA" w:eastAsia="uk-UA"/>
              </w:rPr>
              <w:lastRenderedPageBreak/>
              <w:t>подій привертає увагу туристів</w:t>
            </w:r>
          </w:p>
        </w:tc>
        <w:tc>
          <w:tcPr>
            <w:tcW w:w="1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lastRenderedPageBreak/>
              <w:t xml:space="preserve">Недостатня реклама та відсутність </w:t>
            </w:r>
            <w:r>
              <w:rPr>
                <w:rFonts w:ascii="Times New Roman" w:eastAsia="Times New Roman" w:hAnsi="Times New Roman" w:cs="Times New Roman"/>
                <w:color w:val="000000" w:themeColor="text1"/>
                <w:sz w:val="24"/>
                <w:szCs w:val="21"/>
                <w:lang w:val="uk-UA" w:eastAsia="uk-UA"/>
              </w:rPr>
              <w:lastRenderedPageBreak/>
              <w:t>ефективної маркетингової стратегії</w:t>
            </w:r>
          </w:p>
        </w:tc>
        <w:tc>
          <w:tcPr>
            <w:tcW w:w="226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lastRenderedPageBreak/>
              <w:t xml:space="preserve">Розвиток нових форматів подій, таких як фестивалі, </w:t>
            </w:r>
            <w:r>
              <w:rPr>
                <w:rFonts w:ascii="Times New Roman" w:eastAsia="Times New Roman" w:hAnsi="Times New Roman" w:cs="Times New Roman"/>
                <w:color w:val="000000" w:themeColor="text1"/>
                <w:sz w:val="24"/>
                <w:szCs w:val="21"/>
                <w:lang w:val="uk-UA" w:eastAsia="uk-UA"/>
              </w:rPr>
              <w:lastRenderedPageBreak/>
              <w:t>концерти, спортивні змагання</w:t>
            </w:r>
          </w:p>
        </w:tc>
        <w:tc>
          <w:tcPr>
            <w:tcW w:w="198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lastRenderedPageBreak/>
              <w:t xml:space="preserve">Конкуренція з іншими подієвими </w:t>
            </w:r>
            <w:r>
              <w:rPr>
                <w:rFonts w:ascii="Times New Roman" w:eastAsia="Times New Roman" w:hAnsi="Times New Roman" w:cs="Times New Roman"/>
                <w:color w:val="000000" w:themeColor="text1"/>
                <w:sz w:val="24"/>
                <w:szCs w:val="21"/>
                <w:lang w:val="uk-UA" w:eastAsia="uk-UA"/>
              </w:rPr>
              <w:lastRenderedPageBreak/>
              <w:t>напрямками або регіонами</w:t>
            </w:r>
          </w:p>
        </w:tc>
      </w:tr>
      <w:tr w:rsidR="001D0C14" w:rsidRPr="005B551B">
        <w:tc>
          <w:tcPr>
            <w:tcW w:w="187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lastRenderedPageBreak/>
              <w:t>Природні ресурси</w:t>
            </w:r>
          </w:p>
        </w:tc>
        <w:tc>
          <w:tcPr>
            <w:tcW w:w="2089"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Наявність привабливих природних місць для проведення подій</w:t>
            </w:r>
          </w:p>
        </w:tc>
        <w:tc>
          <w:tcPr>
            <w:tcW w:w="1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Недостатня інфраструктура (паркування, санітарні умови)</w:t>
            </w:r>
          </w:p>
        </w:tc>
        <w:tc>
          <w:tcPr>
            <w:tcW w:w="226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Розвиток екологічно орієнтованих подій, таких як еко-туризм або природничі експедиції</w:t>
            </w:r>
          </w:p>
        </w:tc>
        <w:tc>
          <w:tcPr>
            <w:tcW w:w="198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Можливість забруднення довкілля та природних ресурсів внаслідок подій</w:t>
            </w:r>
          </w:p>
        </w:tc>
      </w:tr>
      <w:tr w:rsidR="001D0C14" w:rsidRPr="005B551B">
        <w:tc>
          <w:tcPr>
            <w:tcW w:w="187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Культурно-історична спадщина</w:t>
            </w:r>
          </w:p>
        </w:tc>
        <w:tc>
          <w:tcPr>
            <w:tcW w:w="2089"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Багатство культурно-історичних об</w:t>
            </w:r>
            <w:r>
              <w:rPr>
                <w:rFonts w:ascii="Times New Roman" w:hAnsi="Times New Roman" w:cs="Times New Roman"/>
                <w:sz w:val="24"/>
                <w:szCs w:val="28"/>
                <w:lang w:val="uk-UA"/>
              </w:rPr>
              <w:t>’</w:t>
            </w:r>
            <w:r>
              <w:rPr>
                <w:rFonts w:ascii="Times New Roman" w:eastAsia="Times New Roman" w:hAnsi="Times New Roman" w:cs="Times New Roman"/>
                <w:color w:val="000000" w:themeColor="text1"/>
                <w:sz w:val="24"/>
                <w:szCs w:val="21"/>
                <w:lang w:val="uk-UA" w:eastAsia="uk-UA"/>
              </w:rPr>
              <w:t>єктів та традицій привертає культурних туристів</w:t>
            </w:r>
          </w:p>
        </w:tc>
        <w:tc>
          <w:tcPr>
            <w:tcW w:w="1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Недостатня фінансова підтримка для організації культурних заходів</w:t>
            </w:r>
          </w:p>
        </w:tc>
        <w:tc>
          <w:tcPr>
            <w:tcW w:w="226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Розвиток інтерактивних подій, що пропонують учасникам зануритися у місцеву культуру та традиції</w:t>
            </w:r>
          </w:p>
        </w:tc>
        <w:tc>
          <w:tcPr>
            <w:tcW w:w="198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Ризик втрати аутентичності та комерціалізації культурних подій</w:t>
            </w:r>
          </w:p>
        </w:tc>
      </w:tr>
      <w:tr w:rsidR="001D0C14" w:rsidRPr="005B551B">
        <w:tc>
          <w:tcPr>
            <w:tcW w:w="187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Співпраця з місцевими підприємствами</w:t>
            </w:r>
          </w:p>
        </w:tc>
        <w:tc>
          <w:tcPr>
            <w:tcW w:w="2089"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Партнерство з місцевими підприємствами може забезпечити додаткові ресурси та підтримку для подій</w:t>
            </w:r>
          </w:p>
        </w:tc>
        <w:tc>
          <w:tcPr>
            <w:tcW w:w="1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Відсутність досвіду або ресурсів для залучення місцевих підприємств</w:t>
            </w:r>
          </w:p>
        </w:tc>
        <w:tc>
          <w:tcPr>
            <w:tcW w:w="226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Розширення співпраці з готелями, ресторанами та іншими місцевими підприємствами для створення комплексних туристичних пакетів</w:t>
            </w:r>
          </w:p>
        </w:tc>
        <w:tc>
          <w:tcPr>
            <w:tcW w:w="198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Ризик залежності від декількох ключових партнерів або підприємств</w:t>
            </w:r>
          </w:p>
        </w:tc>
      </w:tr>
      <w:tr w:rsidR="001D0C14" w:rsidRPr="005B551B">
        <w:tc>
          <w:tcPr>
            <w:tcW w:w="187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Інноваційні технології</w:t>
            </w:r>
          </w:p>
        </w:tc>
        <w:tc>
          <w:tcPr>
            <w:tcW w:w="2089"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Використання інноваційних технологій для покращення досвіду учасників подій</w:t>
            </w:r>
          </w:p>
        </w:tc>
        <w:tc>
          <w:tcPr>
            <w:tcW w:w="198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Високі витрати на впровадження та підтримку нових технологій</w:t>
            </w:r>
          </w:p>
        </w:tc>
        <w:tc>
          <w:tcPr>
            <w:tcW w:w="226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Розвиток віртуальних або гібридних форматів подій, які пропонують доступ онлайн</w:t>
            </w:r>
          </w:p>
        </w:tc>
        <w:tc>
          <w:tcPr>
            <w:tcW w:w="1986"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1"/>
                <w:lang w:val="uk-UA" w:eastAsia="uk-UA"/>
              </w:rPr>
            </w:pPr>
            <w:r>
              <w:rPr>
                <w:rFonts w:ascii="Times New Roman" w:eastAsia="Times New Roman" w:hAnsi="Times New Roman" w:cs="Times New Roman"/>
                <w:color w:val="000000" w:themeColor="text1"/>
                <w:sz w:val="24"/>
                <w:szCs w:val="21"/>
                <w:lang w:val="uk-UA" w:eastAsia="uk-UA"/>
              </w:rPr>
              <w:t>Ризик виникнення технічних проблем або недоліків під час проведення подій</w:t>
            </w:r>
          </w:p>
        </w:tc>
      </w:tr>
    </w:tbl>
    <w:p w:rsidR="001D0C14" w:rsidRDefault="001D0C14">
      <w:pPr>
        <w:spacing w:after="0" w:line="360" w:lineRule="auto"/>
        <w:ind w:firstLine="709"/>
        <w:rPr>
          <w:rFonts w:ascii="Times New Roman" w:hAnsi="Times New Roman" w:cs="Times New Roman"/>
          <w:color w:val="000000" w:themeColor="text1"/>
          <w:sz w:val="28"/>
          <w:szCs w:val="28"/>
          <w:lang w:val="ru-RU"/>
        </w:rPr>
      </w:pP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Аспекти розвитку подієвого туризму в Витвицькій ОТГ включають у себе різноманітні чинники, які можуть впливати на успішність та привабливість даного напрямку. В рамках SWOT-аналізу розглянуті наступні аспекти:</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початку, слід зазначити сильні сторони, серед яких значиться багатовидність подій. Широкий спектр культурних та рекреаційних подій привертає увагу туристів. До цього додається наявність привабливих природних місць для проведення подій, а також багатство культурно-історичних об</w:t>
      </w:r>
      <w:r>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xml:space="preserve">єктів та традицій, що привертає культурних туристів. Партнерство з місцевими підприємствами також може забезпечити додаткові ресурси та підтримку для подій. Крім того, використання </w:t>
      </w:r>
      <w:r>
        <w:rPr>
          <w:rFonts w:ascii="Times New Roman" w:hAnsi="Times New Roman" w:cs="Times New Roman"/>
          <w:color w:val="000000" w:themeColor="text1"/>
          <w:sz w:val="28"/>
          <w:szCs w:val="28"/>
          <w:lang w:val="uk-UA"/>
        </w:rPr>
        <w:lastRenderedPageBreak/>
        <w:t>інноваційних технологій для покращення досвіду учасників подій є ще однією з переваг даного напрямку.</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Проте, слід врахувати й слабкі сторони. Недостатня реклама та відсутність ефективної маркетингової стратегії можуть стати перешкодою у розвитку подієвого туризму. Недостатня інфраструктура, включаючи проблеми з паркуванням та санітарними умовами, також може ускладнити проведення подій. Крім того, недостатня фінансова підтримка та відсутність досвіду або ресурсів для залучення місцевих підприємств можуть стати обмеженнями у розвитку.</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Проте, в контексті розвитку туристичної галузі у Витвицькій ОТГ, є й можливості. Розвиток нових форматів подій, таких як фестивалі, концерти, спортивні змагання, може привернути більше туристів. Розширення співпраці з готелями, ресторанами та іншими місцевими підприємствами для створення комплексних туристичних пакетів також може збільшити привабливість регіону для туристів. Крім того, розвиток віртуальних або гібридних форматів подій, які пропонують доступ онлайн, може розширити аудиторію та зробити події більш доступними.</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Насправді, наявні і загрози, які слід врахувати. Конкуренція з іншими подієвими напрямками або регіонами може обмежувати приток туристів. Зростання туризму також може викликати екологічні проблеми. Крім того, політична нестабільність може негативно позначитися на безпеці та іміджі туристичного напрямку.</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Витвицька об’єднана територіальна громада (ОТГ) має значні перспективи для розвитку туризму завдяки багатоманітним природним, культурно-історичним та подієвим об’єктам. Розвинена інфраструктура, наявність санаторіїв та інших закладів для відпочинку створюють комфортні умови для туристів. Подальше покращення інфраструктури, розробка нових туристичних продуктів, розвиток рекреаційних та спортивних об’єктів, а також активне просування регіону через соціальні мережі та рекламні кампанії можуть значно підвищити привабливість Витвицької ОТГ. Співпраця з іншими туристичними регіонами для спільного просування також є важливим аспектом розвитку </w:t>
      </w:r>
    </w:p>
    <w:p w:rsidR="001D0C14" w:rsidRDefault="00E16C6E">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Управління загрозами, такими як конкуренція, екологічні проблеми та політична нестабільність, є ключовим для успішного розвитку туризму. Мінімізація цих загроз потребує стратегічного планування, зосередження на унікальності туристичних пропозицій, розробки сталих екологічних стратегій та забезпечення безпеки туристів. Реалізація цих перспектив сприятиме підвищенню привабливості регіону, розвитку місцевої інфраструктури та бізнесу, створюючи довготривалий позитивний ефект для місцевої економіки та соціальної сфери.</w:t>
      </w:r>
    </w:p>
    <w:p w:rsidR="001D0C14" w:rsidRDefault="001D0C14">
      <w:pPr>
        <w:spacing w:after="160" w:line="259" w:lineRule="auto"/>
        <w:jc w:val="left"/>
        <w:rPr>
          <w:rFonts w:ascii="Times New Roman" w:hAnsi="Times New Roman" w:cs="Times New Roman"/>
          <w:b/>
          <w:bCs/>
          <w:color w:val="000000" w:themeColor="text1"/>
          <w:sz w:val="28"/>
          <w:szCs w:val="28"/>
          <w:lang w:val="uk-UA"/>
        </w:rPr>
      </w:pPr>
    </w:p>
    <w:p w:rsidR="001D0C14" w:rsidRDefault="00E16C6E">
      <w:pPr>
        <w:spacing w:after="0" w:line="360" w:lineRule="auto"/>
        <w:ind w:firstLine="709"/>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 xml:space="preserve">3.3. Розробка плану реалізації заходів для фестивалю «Яворина» </w:t>
      </w:r>
    </w:p>
    <w:p w:rsidR="001D0C14" w:rsidRDefault="00E16C6E">
      <w:pPr>
        <w:spacing w:after="0" w:line="360" w:lineRule="auto"/>
        <w:ind w:firstLine="709"/>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Фестиваль «Яворина», який щорічно проводиться у Витвицькій об’єднаній територіальній громаді (ОТГ), є важливою культурною подією, яка має багаторічні традиції і значний вплив на розвиток регіону. Цей фестиваль не лише сприяє збереженню та популяризації народних традицій, але й відіграє ключову роль у розвитку місцевого туризму та підвищенні іміджу Витвицької ОТГ на національному та міжнародному рівнях. Завдяки фестивалю регіон стає більш привабливим для туристів, що, в свою чергу, стимулює розвиток інфраструктури, місцевого бізнесу та створення нових робочих місць.</w:t>
      </w:r>
    </w:p>
    <w:p w:rsidR="001D0C14" w:rsidRDefault="00E16C6E">
      <w:pPr>
        <w:spacing w:after="0" w:line="360" w:lineRule="auto"/>
        <w:ind w:firstLine="709"/>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Організація такого масштабного заходу вимагає ретельного планування та координації всіх дій. Це включає в себе залучення різноманітних ресурсів, як фінансових, так і людських, а також активну участь місцевої громади. Кожен аспект підготовки, від логістики та забезпечення безпеки до розробки культурної програми та рекламної кампанії, потребує детального опрацювання і злагодженої роботи всіх учасників процесу.</w:t>
      </w:r>
    </w:p>
    <w:p w:rsidR="001D0C14" w:rsidRDefault="00E16C6E">
      <w:pPr>
        <w:spacing w:after="0" w:line="360" w:lineRule="auto"/>
        <w:ind w:firstLine="709"/>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Для успішного проведення фестивалю необхідно розробити чіткий план реалізації заходів. Цей план має охоплювати всі етапи підготовки та проведення свята, включаючи визначення мети і завдань фестивалю, формування організаційного комітету, вибір місця і дати проведення, створення програми заходів, проведення ефективної інформаційної кампанії та забезпечення технічного оснащення. Важливо також врахувати можливі ризики і підготувати план їх мінімізації, щоб уникнути непередбачених ситуацій під час фестивалю.</w:t>
      </w:r>
    </w:p>
    <w:p w:rsidR="001D0C14" w:rsidRDefault="00E16C6E">
      <w:pPr>
        <w:spacing w:after="0" w:line="360" w:lineRule="auto"/>
        <w:ind w:firstLine="709"/>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lastRenderedPageBreak/>
        <w:t>Залучення місцевої громади до організації та проведення фестивалю є важливим елементом успіху. Це сприяє не лише більшій згуртованості та активності мешканців, але й забезпечує автентичність та унікальність заходу. Місцеві жителі можуть взяти участь у підготовці і проведенні майстер-класів, виставок, конкурсів, а також надати необхідну допомогу в облаштуванні території і підтримці порядку під час фестивалю.</w:t>
      </w:r>
    </w:p>
    <w:p w:rsidR="001D0C14" w:rsidRDefault="00E16C6E">
      <w:pPr>
        <w:spacing w:after="0" w:line="360" w:lineRule="auto"/>
        <w:ind w:firstLine="709"/>
        <w:rPr>
          <w:rFonts w:ascii="Times New Roman" w:hAnsi="Times New Roman" w:cs="Times New Roman"/>
          <w:bCs/>
          <w:color w:val="000000" w:themeColor="text1"/>
          <w:sz w:val="28"/>
          <w:szCs w:val="28"/>
          <w:lang w:val="ru-RU"/>
        </w:rPr>
      </w:pPr>
      <w:r>
        <w:rPr>
          <w:rFonts w:ascii="Times New Roman" w:hAnsi="Times New Roman" w:cs="Times New Roman"/>
          <w:bCs/>
          <w:color w:val="000000" w:themeColor="text1"/>
          <w:sz w:val="28"/>
          <w:szCs w:val="28"/>
          <w:lang w:val="uk-UA"/>
        </w:rPr>
        <w:t xml:space="preserve">Організація фестивалю «Яворина» у Витвицькій об’єднаній територіальній громаді потребує детального фінансового планування та розподілу ресурсів. </w:t>
      </w:r>
      <w:r>
        <w:rPr>
          <w:rFonts w:ascii="Times New Roman" w:hAnsi="Times New Roman" w:cs="Times New Roman"/>
          <w:bCs/>
          <w:color w:val="000000" w:themeColor="text1"/>
          <w:sz w:val="28"/>
          <w:szCs w:val="28"/>
          <w:lang w:val="ru-RU"/>
        </w:rPr>
        <w:t>Бюджет проєкту включає наступні витрати, розподілені за основними заходами та джерелами фінансування (табл. 3.4.):</w:t>
      </w:r>
    </w:p>
    <w:p w:rsidR="001D0C14" w:rsidRDefault="001D0C14">
      <w:pPr>
        <w:spacing w:after="0" w:line="360" w:lineRule="auto"/>
        <w:ind w:firstLine="709"/>
        <w:rPr>
          <w:rFonts w:ascii="Times New Roman" w:hAnsi="Times New Roman" w:cs="Times New Roman"/>
          <w:bCs/>
          <w:color w:val="000000" w:themeColor="text1"/>
          <w:sz w:val="28"/>
          <w:szCs w:val="28"/>
          <w:lang w:val="ru-RU"/>
        </w:rPr>
      </w:pPr>
    </w:p>
    <w:p w:rsidR="001D0C14" w:rsidRDefault="00E16C6E">
      <w:pPr>
        <w:spacing w:after="0" w:line="360" w:lineRule="auto"/>
        <w:ind w:firstLine="709"/>
        <w:rPr>
          <w:rFonts w:ascii="Times New Roman" w:eastAsiaTheme="minorHAnsi"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ru-RU"/>
        </w:rPr>
        <w:t xml:space="preserve">Таблиця 3.4 </w:t>
      </w:r>
      <w:r>
        <w:rPr>
          <w:rFonts w:ascii="Times New Roman" w:hAnsi="Times New Roman" w:cs="Times New Roman"/>
          <w:sz w:val="28"/>
          <w:szCs w:val="28"/>
          <w:lang w:val="ru-RU"/>
        </w:rPr>
        <w:t>–</w:t>
      </w:r>
      <w:r>
        <w:rPr>
          <w:rFonts w:ascii="Times New Roman" w:hAnsi="Times New Roman" w:cs="Times New Roman"/>
          <w:bCs/>
          <w:color w:val="000000" w:themeColor="text1"/>
          <w:sz w:val="28"/>
          <w:szCs w:val="28"/>
          <w:lang w:val="ru-RU"/>
        </w:rPr>
        <w:t xml:space="preserve"> </w:t>
      </w:r>
      <w:r>
        <w:rPr>
          <w:rFonts w:ascii="Times New Roman" w:eastAsiaTheme="minorHAnsi" w:hAnsi="Times New Roman" w:cs="Times New Roman"/>
          <w:b/>
          <w:bCs/>
          <w:color w:val="000000" w:themeColor="text1"/>
          <w:sz w:val="28"/>
          <w:szCs w:val="28"/>
          <w:lang w:val="uk-UA"/>
        </w:rPr>
        <w:t>Бюджет проєкту (</w:t>
      </w:r>
      <w:r>
        <w:rPr>
          <w:rFonts w:ascii="Times New Roman" w:eastAsiaTheme="minorHAnsi" w:hAnsi="Times New Roman" w:cs="Times New Roman"/>
          <w:bCs/>
          <w:color w:val="000000" w:themeColor="text1"/>
          <w:sz w:val="28"/>
          <w:szCs w:val="28"/>
          <w:lang w:val="uk-UA"/>
        </w:rPr>
        <w:t>складено автором)</w:t>
      </w:r>
    </w:p>
    <w:tbl>
      <w:tblPr>
        <w:tblStyle w:val="aff3"/>
        <w:tblW w:w="10064" w:type="dxa"/>
        <w:tblInd w:w="137" w:type="dxa"/>
        <w:tblLayout w:type="fixed"/>
        <w:tblLook w:val="04A0" w:firstRow="1" w:lastRow="0" w:firstColumn="1" w:lastColumn="0" w:noHBand="0" w:noVBand="1"/>
      </w:tblPr>
      <w:tblGrid>
        <w:gridCol w:w="565"/>
        <w:gridCol w:w="5532"/>
        <w:gridCol w:w="993"/>
        <w:gridCol w:w="2974"/>
      </w:tblGrid>
      <w:tr w:rsidR="001D0C14">
        <w:tc>
          <w:tcPr>
            <w:tcW w:w="565"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 з/п</w:t>
            </w:r>
          </w:p>
        </w:tc>
        <w:tc>
          <w:tcPr>
            <w:tcW w:w="5531"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Найменування заходу проєкту/стартапу</w:t>
            </w:r>
          </w:p>
        </w:tc>
        <w:tc>
          <w:tcPr>
            <w:tcW w:w="993"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Сума, тис. грн.</w:t>
            </w:r>
          </w:p>
        </w:tc>
        <w:tc>
          <w:tcPr>
            <w:tcW w:w="2974" w:type="dxa"/>
          </w:tcPr>
          <w:p w:rsidR="001D0C14" w:rsidRDefault="00E16C6E">
            <w:pPr>
              <w:widowControl w:val="0"/>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Джерело фінансування</w:t>
            </w:r>
          </w:p>
        </w:tc>
      </w:tr>
      <w:tr w:rsidR="001D0C14">
        <w:tc>
          <w:tcPr>
            <w:tcW w:w="56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1</w:t>
            </w:r>
          </w:p>
        </w:tc>
        <w:tc>
          <w:tcPr>
            <w:tcW w:w="5531"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Розроблення проекту планувальної організації проведення фестивалю «Яворина»</w:t>
            </w:r>
          </w:p>
        </w:tc>
        <w:tc>
          <w:tcPr>
            <w:tcW w:w="9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10</w:t>
            </w:r>
          </w:p>
        </w:tc>
        <w:tc>
          <w:tcPr>
            <w:tcW w:w="297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Переможці конкурсу</w:t>
            </w:r>
          </w:p>
        </w:tc>
      </w:tr>
      <w:tr w:rsidR="001D0C14">
        <w:tc>
          <w:tcPr>
            <w:tcW w:w="56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2</w:t>
            </w:r>
          </w:p>
        </w:tc>
        <w:tc>
          <w:tcPr>
            <w:tcW w:w="5531"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Облаштування фестивального простору на основі розробленого проекту</w:t>
            </w:r>
          </w:p>
        </w:tc>
        <w:tc>
          <w:tcPr>
            <w:tcW w:w="9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15</w:t>
            </w:r>
          </w:p>
        </w:tc>
        <w:tc>
          <w:tcPr>
            <w:tcW w:w="297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Територіальна громада, Переможець  конкурсу</w:t>
            </w:r>
          </w:p>
        </w:tc>
      </w:tr>
      <w:tr w:rsidR="001D0C14">
        <w:tc>
          <w:tcPr>
            <w:tcW w:w="56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3</w:t>
            </w:r>
          </w:p>
        </w:tc>
        <w:tc>
          <w:tcPr>
            <w:tcW w:w="5531"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Придбання матеріально-технічних засобів: намети туристичні</w:t>
            </w:r>
          </w:p>
        </w:tc>
        <w:tc>
          <w:tcPr>
            <w:tcW w:w="9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74</w:t>
            </w:r>
          </w:p>
        </w:tc>
        <w:tc>
          <w:tcPr>
            <w:tcW w:w="297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Переможець конкурсу</w:t>
            </w:r>
          </w:p>
        </w:tc>
      </w:tr>
      <w:tr w:rsidR="001D0C14">
        <w:tc>
          <w:tcPr>
            <w:tcW w:w="565"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4</w:t>
            </w:r>
          </w:p>
        </w:tc>
        <w:tc>
          <w:tcPr>
            <w:tcW w:w="5531"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Звітування перед громадою села та грантодавачами про реалізацію проєкту</w:t>
            </w:r>
          </w:p>
        </w:tc>
        <w:tc>
          <w:tcPr>
            <w:tcW w:w="9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1</w:t>
            </w:r>
          </w:p>
        </w:tc>
        <w:tc>
          <w:tcPr>
            <w:tcW w:w="2974"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color w:val="000000" w:themeColor="text1"/>
                <w:sz w:val="24"/>
                <w:szCs w:val="24"/>
                <w:lang w:val="uk-UA" w:eastAsia="uk-UA"/>
              </w:rPr>
              <w:t>Територіальна громада</w:t>
            </w:r>
          </w:p>
        </w:tc>
      </w:tr>
      <w:tr w:rsidR="001D0C14">
        <w:tc>
          <w:tcPr>
            <w:tcW w:w="6096" w:type="dxa"/>
            <w:gridSpan w:val="2"/>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b/>
                <w:bCs/>
                <w:color w:val="000000" w:themeColor="text1"/>
                <w:sz w:val="24"/>
                <w:szCs w:val="24"/>
                <w:bdr w:val="single" w:sz="2" w:space="0" w:color="E3E3E3"/>
                <w:lang w:val="uk-UA" w:eastAsia="uk-UA"/>
              </w:rPr>
              <w:t>Всього</w:t>
            </w:r>
          </w:p>
        </w:tc>
        <w:tc>
          <w:tcPr>
            <w:tcW w:w="993" w:type="dxa"/>
          </w:tcPr>
          <w:p w:rsidR="001D0C14" w:rsidRDefault="00E16C6E">
            <w:pPr>
              <w:widowControl w:val="0"/>
              <w:spacing w:after="0" w:line="240" w:lineRule="auto"/>
              <w:jc w:val="left"/>
              <w:rPr>
                <w:rFonts w:ascii="Times New Roman" w:eastAsia="Times New Roman" w:hAnsi="Times New Roman" w:cs="Times New Roman"/>
                <w:color w:val="000000" w:themeColor="text1"/>
                <w:sz w:val="24"/>
                <w:szCs w:val="24"/>
                <w:lang w:val="uk-UA" w:eastAsia="uk-UA"/>
              </w:rPr>
            </w:pPr>
            <w:r>
              <w:rPr>
                <w:rFonts w:ascii="Times New Roman" w:eastAsia="Times New Roman" w:hAnsi="Times New Roman" w:cs="Times New Roman"/>
                <w:b/>
                <w:bCs/>
                <w:color w:val="000000" w:themeColor="text1"/>
                <w:sz w:val="24"/>
                <w:szCs w:val="24"/>
                <w:bdr w:val="single" w:sz="2" w:space="0" w:color="E3E3E3"/>
                <w:lang w:val="uk-UA" w:eastAsia="uk-UA"/>
              </w:rPr>
              <w:t>100</w:t>
            </w:r>
          </w:p>
        </w:tc>
        <w:tc>
          <w:tcPr>
            <w:tcW w:w="2974" w:type="dxa"/>
          </w:tcPr>
          <w:p w:rsidR="001D0C14" w:rsidRDefault="001D0C14">
            <w:pPr>
              <w:widowControl w:val="0"/>
              <w:spacing w:after="0" w:line="240" w:lineRule="auto"/>
              <w:jc w:val="left"/>
              <w:rPr>
                <w:rFonts w:ascii="Times New Roman" w:eastAsia="Times New Roman" w:hAnsi="Times New Roman" w:cs="Times New Roman"/>
                <w:color w:val="000000" w:themeColor="text1"/>
                <w:sz w:val="24"/>
                <w:szCs w:val="24"/>
                <w:lang w:val="uk-UA" w:eastAsia="uk-UA"/>
              </w:rPr>
            </w:pPr>
          </w:p>
        </w:tc>
      </w:tr>
    </w:tbl>
    <w:p w:rsidR="001D0C14" w:rsidRDefault="001D0C14">
      <w:pPr>
        <w:spacing w:after="0" w:line="360" w:lineRule="auto"/>
        <w:ind w:firstLine="709"/>
        <w:rPr>
          <w:rFonts w:ascii="Times New Roman" w:eastAsiaTheme="minorHAnsi" w:hAnsi="Times New Roman" w:cs="Times New Roman"/>
          <w:color w:val="000000" w:themeColor="text1"/>
          <w:sz w:val="28"/>
          <w:szCs w:val="28"/>
          <w:lang w:val="uk-UA"/>
        </w:rPr>
      </w:pP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На першому етапі передбачено розробку детального плану організації та проведення фестивалю. Цей етап є надзвичайно важливим, оскільки від нього залежить успіх усіх подальших дій. В першу чергу, необхідно провести детальний аналіз місцевості, де відбуватиметься фестиваль. Це включає в себе оцінку доступності території для відвідувачів, можливості розташування необхідних інфраструктурних об’єктів, а також врахування природних умов, що можуть впливати на проведення заходу.</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 xml:space="preserve">Після аналізу місцевості розробляються логістичні схеми, які визначають оптимальні маршрути для руху транспорту, розташування паркувальних зон, місць для екстрених служб тощо. Особлива увага приділяється плануванню розташування </w:t>
      </w:r>
      <w:r>
        <w:rPr>
          <w:rFonts w:ascii="Times New Roman" w:eastAsiaTheme="minorHAnsi" w:hAnsi="Times New Roman" w:cs="Times New Roman"/>
          <w:color w:val="000000" w:themeColor="text1"/>
          <w:sz w:val="28"/>
          <w:szCs w:val="28"/>
          <w:lang w:val="uk-UA"/>
        </w:rPr>
        <w:lastRenderedPageBreak/>
        <w:t>сцен для виступів, торгівельних зон для продажу сувенірів і харчових продуктів, а також зон відпочинку, де гості фестивалю можуть комфортно провести час.</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Окрім цього, враховуються потреби у забезпеченні електропостачання, водопостачання та санітарних умов. Сума витрат на цей етап становить 10 тисяч гривень, фінансування забезпечується організатором конкурсу.</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Наступний етап передбачає безпосереднє облаштування території для проведення фестивалю згідно з розробленим проектом. Це включає встановлення сцен, на яких відбуватимуться виступи артистів та колективів, а також встановлення палаток, де будуть розміщені торгівельні точки, майстер-класи та інші активності.</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Особлива увага приділяється облаштуванню санітарних зон, забезпеченню доступу до питної води та створенню комфортних умов для відвідувачів фестивалю. Також необхідно встановити відповідне освітлення, яке забезпечить безпеку та комфорт під час вечірніх заходів. Загальна сума витрат на цей етап складає 15 тисяч гривень, а фінансування забезпечується за рахунок територіальної громади та організатора конкурсу.</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Для забезпечення комфортних умов для учасників та гостей фестивалю необхідно придбати туристичні намети та інше матеріально-технічне обладнання. Це включає не лише намети, але й інші необхідні предмети, такі як стільці, столи, обладнання для проведення майстер-класів тощо.</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Придбання цих засобів є важливим для створення належної інфраструктури, яка дозволить учасникам і відвідувачам насолоджуватися фестивалем у комфортних умовах. Витрати на цей етап складають 74 тисячі гривень, і фінансування повністю покривається організатором конкурсу.</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Після завершення фестивалю необхідно підготувати і представити звіт про реалізацію проекту. Це включає підготовку фінансової звітності, аналіз успішності заходу, виявлення сильних і слабких сторін організації та підготовку рекомендацій на майбутнє.</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 xml:space="preserve">Звітування є важливим етапом, який дозволяє оцінити ефективність використання коштів, отримати зворотний зв’язок від учасників і відвідувачів, а також врахувати досвід для покращення організації майбутніх заходів. Витрати на </w:t>
      </w:r>
      <w:r>
        <w:rPr>
          <w:rFonts w:ascii="Times New Roman" w:eastAsiaTheme="minorHAnsi" w:hAnsi="Times New Roman" w:cs="Times New Roman"/>
          <w:color w:val="000000" w:themeColor="text1"/>
          <w:sz w:val="28"/>
          <w:szCs w:val="28"/>
          <w:lang w:val="uk-UA"/>
        </w:rPr>
        <w:lastRenderedPageBreak/>
        <w:t>цей етап складають 1 тисячу гривень, і фінансування здійснюється територіальною громадою.</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Загальна сума витрат на організацію фестивалю «Яворина» становить 100 тисяч гривень. Розподіл фінансування між організатором конкурсу та територіальною громадою забезпечує ефективне використання ресурсів та залучення необхідних коштів для успішного проведення фестивалю. Завдяки ретельному плануванню і злагодженій роботі всіх залучених сторін, фестиваль обіцяє стати яскравою і незабутньою подією для мешканців і гостей Витвицької ОТГ.</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ru-RU"/>
        </w:rPr>
      </w:pPr>
      <w:r>
        <w:rPr>
          <w:rFonts w:ascii="Times New Roman" w:eastAsiaTheme="minorHAnsi" w:hAnsi="Times New Roman" w:cs="Times New Roman"/>
          <w:color w:val="000000" w:themeColor="text1"/>
          <w:sz w:val="28"/>
          <w:szCs w:val="28"/>
          <w:lang w:val="ru-RU"/>
        </w:rPr>
        <w:t>Внаслідок реалізації проекту очікується істотне покращення матеріального забезпечення фестивалю «Яворина» на суму 74 тисяч гривень, що виявить позитивний вплив на якість та рівень проведення події. Покращення просторового планування фестивалю сприятиме створенню більш комфортних умов для учасників та гостей, а також місцевого населення. Завдяки реалізації проекту планувальної організації простору фестивалю, заходи стануть більш доступними для широкого кола учасників та відвідувачів, що сприятиме зростанню туристичного потоку у Витвицьку ОТГ.</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Зокрема, завдяки детальному аналізу та оптимізації витрат, підвищиться ефективність використання фінансових ресурсів, що відкриє нові можливості для розвитку та розширення фестивалю у майбутньому. Очікується, що ці покращення сприятимуть не лише підвищенню рівня організації та проведення фестивалю «Яворина», але й позитивно позначаться на його репутації серед учасників та відвідувачів.</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Крім того, удосконалення просторового планування фестивалю сприятиме більшій доступності та зручності для гостей та учасників заходу. Це також може стати основою для впровадження нових інноваційних підходів у проведенні фестивалю, таких як використання сучасних технологій для покращення комунікації та взаємодії з відвідувачами.</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Загалом, реалізація цього проекту має великий потенціал для стимулювання розвитку туризму в регіоні, залучення нових інвестицій та підвищення соціально-економічного розвитку місцевої громади.</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lastRenderedPageBreak/>
        <w:t>Розроблений проект планувальної організації фестивального простору є ключовим кроком у напрямку сталого розвитку та удосконалення організації масових заходів. Він стане надійною основою для організації та планування майбутніх випусків фестивалю, враховуючи зростання популярності заходу та збільшення кількості відвідувачів.</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Цей проект передбачає впровадження сучасних стандартів безпеки та комфорту, що дозволить забезпечити найвищий рівень зручності для учасників та відвідувачів протягом низки наступних років. Планування і організація фестивалю будуть оптимізовані з урахуванням набутого досвіду та врахуванням потреб та побажань гостей та учасників.</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Даний проект також сприятиме покращенню іміджу фестивалю та привертанню нових зацікавлених учасників та спонсорів. Його впровадження відкриє нові можливості для розвитку культурного життя регіону та сприятиме зміцненню позицій фестивалю «Яворина» як одного з найважливіших культурних подій року.</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При реалізації проекту будуть встановлені фестивальні вказівники, які стануть незамінними елементами ідентифікації та навігації на території фестивалю. Ці вказівники будуть встановлені таким чином, щоб бути практичними та зручними для відвідувачів, а також залишити позитивне враження про організацію заходу. З цією метою їх дизайн та розміщення будуть ретельно пророблені, враховуючи потреби та зручність користування.</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Крім того, закуплені намети, які будуть використовуватися під час проведення фестивалю, матимуть широкий спектр застосувань. Вони не лише послужать для організації майбутніх випусків фестивалю, але й можуть бути використані для інших культурних та спортивних заходів у громаді. Також вони можуть бути доступні для оренди туристам, що відвідують Витвицьку громаду, що створить додатковий джерело доходу та сприятиме розвитку туристичної інфраструктури регіону. Такий підхід до використання ресурсів дозволить максимально використовувати їх потенціал та забезпечити максимальну користь для громади.</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 xml:space="preserve">Загалом, реалізація цих ініціатив у сфері організації фестивального простору відкриває широкі перспективи для подальшого розвитку та покращення якості </w:t>
      </w:r>
      <w:r>
        <w:rPr>
          <w:rFonts w:ascii="Times New Roman" w:eastAsiaTheme="minorHAnsi" w:hAnsi="Times New Roman" w:cs="Times New Roman"/>
          <w:color w:val="000000" w:themeColor="text1"/>
          <w:sz w:val="28"/>
          <w:szCs w:val="28"/>
          <w:lang w:val="uk-UA"/>
        </w:rPr>
        <w:lastRenderedPageBreak/>
        <w:t>фестивалів у Витвицькій громаді. Впровадження фестивальних вказівників та максимальне використання ресурсів, таких як закуплені намети, не лише підвищить комфорт та безпеку для відвідувачів та учасників подій, але й сприятиме створенню додаткових можливостей для розвитку та підтримки туризму в регіоні.</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uk-UA"/>
        </w:rPr>
      </w:pPr>
      <w:r>
        <w:rPr>
          <w:rFonts w:ascii="Times New Roman" w:eastAsiaTheme="minorHAnsi" w:hAnsi="Times New Roman" w:cs="Times New Roman"/>
          <w:color w:val="000000" w:themeColor="text1"/>
          <w:sz w:val="28"/>
          <w:szCs w:val="28"/>
          <w:lang w:val="uk-UA"/>
        </w:rPr>
        <w:t>Ці заходи також мають великий потенціал для зміцнення позицій фестивалю «Яворина» як важливої культурної події року, залучення нових учасників та спонсорів, а також стимулювання соціально-економічного розвитку місцевої громади. Результатом цих зусиль буде створення ще більш привабливого та динамічного середовища для життя та відпочинку в рамках Витвицької громади.</w:t>
      </w:r>
    </w:p>
    <w:p w:rsidR="001D0C14" w:rsidRDefault="00E16C6E">
      <w:pPr>
        <w:spacing w:after="0" w:line="360" w:lineRule="auto"/>
        <w:ind w:firstLine="709"/>
        <w:rPr>
          <w:rFonts w:ascii="Times New Roman" w:eastAsiaTheme="minorHAnsi" w:hAnsi="Times New Roman" w:cs="Times New Roman"/>
          <w:color w:val="000000" w:themeColor="text1"/>
          <w:sz w:val="28"/>
          <w:szCs w:val="28"/>
          <w:lang w:val="ru-RU"/>
        </w:rPr>
      </w:pPr>
      <w:r>
        <w:rPr>
          <w:rFonts w:ascii="Times New Roman" w:eastAsiaTheme="minorHAnsi" w:hAnsi="Times New Roman" w:cs="Times New Roman"/>
          <w:color w:val="000000" w:themeColor="text1"/>
          <w:sz w:val="28"/>
          <w:szCs w:val="28"/>
          <w:lang w:val="ru-RU"/>
        </w:rPr>
        <w:t>У підсумку, ці інноваційні заходи в організації фестивального простору не лише сприятимуть покращенню умов проведення фестивалів та інших подій у Витвицькій громаді, але й відкриють нові можливості для розвитку туризму та культурного життя регіону. За допомогою таких ініціатив можна буде не лише забезпечити комфорт та безпеку відвідувачів, але й залучити більше туристів, що позитивно вплине на економіку та соціальний розвиток громади. Таким чином, ці кроки стануть важливим внеском у створення життєвого та привабливого середовища для всіх, хто мешкає або відвідує Витвицьку громаду.</w:t>
      </w:r>
      <w:bookmarkStart w:id="6" w:name="_Hlk165903620"/>
      <w:bookmarkEnd w:id="6"/>
    </w:p>
    <w:p w:rsidR="001D0C14" w:rsidRDefault="00E16C6E">
      <w:pPr>
        <w:spacing w:after="160" w:line="259" w:lineRule="auto"/>
        <w:jc w:val="left"/>
        <w:rPr>
          <w:rFonts w:ascii="Times New Roman" w:eastAsia="Times New Roman" w:hAnsi="Times New Roman" w:cs="Times New Roman"/>
          <w:color w:val="000000" w:themeColor="text1"/>
          <w:sz w:val="28"/>
          <w:szCs w:val="28"/>
          <w:lang w:val="uk-UA"/>
        </w:rPr>
      </w:pPr>
      <w:r w:rsidRPr="005B551B">
        <w:rPr>
          <w:lang w:val="ru-RU"/>
        </w:rPr>
        <w:br w:type="page"/>
      </w:r>
    </w:p>
    <w:p w:rsidR="001D0C14" w:rsidRDefault="00E16C6E">
      <w:pPr>
        <w:pStyle w:val="af4"/>
        <w:spacing w:line="360" w:lineRule="auto"/>
        <w:ind w:left="0" w:firstLine="709"/>
        <w:jc w:val="center"/>
        <w:rPr>
          <w:b/>
          <w:bCs/>
          <w:color w:val="000000" w:themeColor="text1"/>
        </w:rPr>
      </w:pPr>
      <w:r>
        <w:rPr>
          <w:b/>
          <w:bCs/>
          <w:color w:val="000000" w:themeColor="text1"/>
        </w:rPr>
        <w:lastRenderedPageBreak/>
        <w:t>ВИСНОВКИ</w:t>
      </w:r>
    </w:p>
    <w:p w:rsidR="001D0C14" w:rsidRDefault="001D0C14">
      <w:pPr>
        <w:pStyle w:val="af4"/>
        <w:spacing w:line="360" w:lineRule="auto"/>
        <w:ind w:left="0" w:firstLine="709"/>
        <w:jc w:val="center"/>
        <w:rPr>
          <w:b/>
          <w:bCs/>
          <w:color w:val="000000" w:themeColor="text1"/>
        </w:rPr>
      </w:pPr>
    </w:p>
    <w:p w:rsidR="001D0C14" w:rsidRDefault="00E16C6E">
      <w:pPr>
        <w:pStyle w:val="af4"/>
        <w:spacing w:line="360" w:lineRule="auto"/>
        <w:ind w:left="0" w:firstLine="709"/>
        <w:rPr>
          <w:color w:val="000000" w:themeColor="text1"/>
        </w:rPr>
      </w:pPr>
      <w:r>
        <w:rPr>
          <w:color w:val="000000" w:themeColor="text1"/>
        </w:rPr>
        <w:t>У першому розділі про подієвий туризм було розглянуто сутність цієї форми туризму, особливості, які відрізняють її від інших видів подорожей, а також зроблено висновки щодо зарубіжного досвіду організації подій, який показав важливість професіоналізму та ефективного управління для залучення туристів та підтримки місцевої економіки. Також було проаналізовано вплив фестивалів на розвиток туризму в Україні, виокремлено їх як потужний інструмент для привертання уваги до культурної спадщини та стимулювання інфраструктурного розвитку.</w:t>
      </w:r>
    </w:p>
    <w:p w:rsidR="001D0C14" w:rsidRDefault="00E16C6E">
      <w:pPr>
        <w:pStyle w:val="af4"/>
        <w:spacing w:line="360" w:lineRule="auto"/>
        <w:ind w:left="0" w:firstLine="709"/>
        <w:rPr>
          <w:color w:val="000000" w:themeColor="text1"/>
        </w:rPr>
      </w:pPr>
      <w:r>
        <w:rPr>
          <w:color w:val="000000" w:themeColor="text1"/>
        </w:rPr>
        <w:t>Подієвий туризм являє собою специфічний вид туризму, який включає переміщення людей з їх постійного місця проживання з метою участі у подіях, не пов’язаних з оплачуваною діяльністю. Цей тип туризму спрямований на досягнення синергетичного соціально-економічного довготривалого ефекту. Він реалізується за допомогою розроблених програм, які організовують та періодично проводять широкомасштабні просвітницькі, спортивні та культурно-розважальні заходи на певній території. Основними характеристиками таких заходів є їх масштабність та значний вплив на місцеву економіку та соціальне життя. Ефективність подієвого туризму значною мірою залежить від поінформованості суспільства, а також від статусу та престижу подій.</w:t>
      </w:r>
    </w:p>
    <w:p w:rsidR="001D0C14" w:rsidRDefault="00E16C6E">
      <w:pPr>
        <w:pStyle w:val="af4"/>
        <w:spacing w:line="360" w:lineRule="auto"/>
        <w:ind w:left="0" w:firstLine="709"/>
        <w:rPr>
          <w:color w:val="000000" w:themeColor="text1"/>
        </w:rPr>
      </w:pPr>
      <w:r>
        <w:rPr>
          <w:color w:val="000000" w:themeColor="text1"/>
        </w:rPr>
        <w:t>Характерні ознаки подієвого туризму включають декілька ключових аспектів. Насамперед, подієвий туризм передбачає чітку регламентованість та періодичність проведення заходів. Заходи проводяться відповідно до заздалегідь визначеного графіка, що забезпечує стабільність і передбачуваність для відвідувачів та організаторів. Це дозволяє планувати участь заздалегідь і забезпечує належний рівень підготовки з боку організаторів.</w:t>
      </w:r>
    </w:p>
    <w:p w:rsidR="001D0C14" w:rsidRDefault="00E16C6E">
      <w:pPr>
        <w:pStyle w:val="af4"/>
        <w:spacing w:line="360" w:lineRule="auto"/>
        <w:ind w:left="0" w:firstLine="709"/>
        <w:rPr>
          <w:color w:val="000000" w:themeColor="text1"/>
        </w:rPr>
      </w:pPr>
      <w:r>
        <w:rPr>
          <w:color w:val="000000" w:themeColor="text1"/>
        </w:rPr>
        <w:t>Стаціонарність місця проведення заходів є ще однією важливою ознакою подієвого туризму. Події зазвичай відбуваються на певній території, що дозволяє місцевій інфраструктурі готуватися до прийому туристів та забезпечувати їх необхідними умовами для комфортного перебування. Це також сприяє розвитку інфраструктури в регіоні, підвищуючи його туристичну привабливість.</w:t>
      </w:r>
    </w:p>
    <w:p w:rsidR="001D0C14" w:rsidRDefault="00E16C6E">
      <w:pPr>
        <w:pStyle w:val="af4"/>
        <w:spacing w:line="360" w:lineRule="auto"/>
        <w:ind w:left="0" w:firstLine="709"/>
        <w:rPr>
          <w:color w:val="000000" w:themeColor="text1"/>
        </w:rPr>
      </w:pPr>
      <w:r>
        <w:rPr>
          <w:color w:val="000000" w:themeColor="text1"/>
        </w:rPr>
        <w:lastRenderedPageBreak/>
        <w:t>Для організації подієвого туризму використовуються сучасні методи проектного управління, що включає планування, контроль та оцінку ефективності заходів. Використання підходів проектного управління дозволяє забезпечити ефективну реалізацію заходів та досягнення поставлених цілей.</w:t>
      </w:r>
    </w:p>
    <w:p w:rsidR="001D0C14" w:rsidRDefault="00E16C6E">
      <w:pPr>
        <w:pStyle w:val="af4"/>
        <w:spacing w:line="360" w:lineRule="auto"/>
        <w:ind w:left="0" w:firstLine="709"/>
        <w:rPr>
          <w:color w:val="000000" w:themeColor="text1"/>
        </w:rPr>
      </w:pPr>
      <w:r>
        <w:rPr>
          <w:color w:val="000000" w:themeColor="text1"/>
        </w:rPr>
        <w:t>Фінансування подієвого туризму здійснюється за рахунок різних джерел, включаючи державні, приватні та громадські організації. Це забезпечує стійкість фінансової бази та можливість реалізації масштабних заходів. Диверсифікація джерел фінансування також сприяє зменшенню фінансових ризиків і забезпечує гнучкість у плануванні та реалізації заходів.</w:t>
      </w:r>
    </w:p>
    <w:p w:rsidR="001D0C14" w:rsidRDefault="00E16C6E">
      <w:pPr>
        <w:pStyle w:val="af4"/>
        <w:spacing w:line="360" w:lineRule="auto"/>
        <w:ind w:left="0" w:firstLine="709"/>
        <w:rPr>
          <w:color w:val="000000" w:themeColor="text1"/>
        </w:rPr>
      </w:pPr>
      <w:r>
        <w:rPr>
          <w:color w:val="000000" w:themeColor="text1"/>
        </w:rPr>
        <w:t>Успіх заходів подієвого туризму значною мірою визначається їх сприйняттям у суспільстві, а також статусом і престижем подій. Це підвищує рівень зацікавленості та залученості відвідувачів, сприяє зростанню кількості туристів і, відповідно, збільшує економічний ефект від проведення заходів.</w:t>
      </w:r>
    </w:p>
    <w:p w:rsidR="001D0C14" w:rsidRDefault="00E16C6E">
      <w:pPr>
        <w:pStyle w:val="af4"/>
        <w:spacing w:line="360" w:lineRule="auto"/>
        <w:ind w:left="0" w:firstLine="709"/>
        <w:rPr>
          <w:color w:val="000000" w:themeColor="text1"/>
        </w:rPr>
      </w:pPr>
      <w:r>
        <w:rPr>
          <w:color w:val="000000" w:themeColor="text1"/>
        </w:rPr>
        <w:t>Масовість відвідувачів є ще однією важливою характеристикою подієвого туризму. Залучення великої кількості відвідувачів створює значний економічний ефект для регіону проведення заходів. Це сприяє розвитку місцевого бізнесу, створенню нових робочих місць і підвищенню рівня добробуту місцевого населення.</w:t>
      </w:r>
    </w:p>
    <w:p w:rsidR="001D0C14" w:rsidRDefault="00E16C6E">
      <w:pPr>
        <w:pStyle w:val="af4"/>
        <w:spacing w:line="360" w:lineRule="auto"/>
        <w:ind w:left="0" w:firstLine="709"/>
        <w:rPr>
          <w:color w:val="000000" w:themeColor="text1"/>
        </w:rPr>
      </w:pPr>
      <w:r>
        <w:rPr>
          <w:color w:val="000000" w:themeColor="text1"/>
        </w:rPr>
        <w:t>Інформаційна кампанія та реклама відіграють ключову роль у залученні туристів до подій. Поінформованість населення про події забезпечує високу відвідуваність та успіх заходів. Довготривалий інформаційний ефект подієвого туризму сприяє підвищенню обізнаності про регіон та його привабливість як туристичної дестинації. Це, у свою чергу, стимулює розвиток готельного бізнесу, ресторанної справи, транспорту, роздрібної торгівлі та інших суміжних галузей, створюючи комплексний економічний ефект.</w:t>
      </w:r>
    </w:p>
    <w:p w:rsidR="001D0C14" w:rsidRDefault="00E16C6E">
      <w:pPr>
        <w:pStyle w:val="af4"/>
        <w:spacing w:line="360" w:lineRule="auto"/>
        <w:ind w:left="0" w:firstLine="709"/>
        <w:rPr>
          <w:color w:val="000000" w:themeColor="text1"/>
        </w:rPr>
      </w:pPr>
      <w:r>
        <w:rPr>
          <w:color w:val="000000" w:themeColor="text1"/>
        </w:rPr>
        <w:t>Другий розділ присвячений розвитку туризму в Витвицькій ОТГ. Тут проведено загальну характеристику туристичного потенціалу регіону, описано концепцію історичного фестивалю «Яворина» та розроблено плани з планування території для забезпечення комфорту учасників та збереження природних ресурсів.</w:t>
      </w:r>
    </w:p>
    <w:p w:rsidR="001D0C14" w:rsidRDefault="00E16C6E">
      <w:pPr>
        <w:pStyle w:val="af4"/>
        <w:spacing w:line="360" w:lineRule="auto"/>
        <w:ind w:left="0" w:firstLine="709"/>
        <w:rPr>
          <w:color w:val="000000" w:themeColor="text1"/>
        </w:rPr>
      </w:pPr>
      <w:r>
        <w:rPr>
          <w:color w:val="000000" w:themeColor="text1"/>
        </w:rPr>
        <w:t xml:space="preserve">Перспективи розвитку туризму у Витвицькій об’єднаній територіальній громаді (ОТГ) виглядають доволі обнадійливими, особливо з урахуванням розробленого </w:t>
      </w:r>
      <w:r>
        <w:rPr>
          <w:color w:val="000000" w:themeColor="text1"/>
        </w:rPr>
        <w:lastRenderedPageBreak/>
        <w:t>проєкту, який виявив сильні та слабкі сторони, можливості та загрози, пов’язані з туристичним потенціалом цього регіону.</w:t>
      </w:r>
    </w:p>
    <w:p w:rsidR="001D0C14" w:rsidRDefault="00E16C6E">
      <w:pPr>
        <w:pStyle w:val="af4"/>
        <w:spacing w:line="360" w:lineRule="auto"/>
        <w:ind w:left="0" w:firstLine="709"/>
        <w:rPr>
          <w:color w:val="000000" w:themeColor="text1"/>
        </w:rPr>
      </w:pPr>
      <w:r>
        <w:rPr>
          <w:color w:val="000000" w:themeColor="text1"/>
        </w:rPr>
        <w:t>Перш за все, Витвицька ОТГ володіє багатоманітними туристичними ресурсами, які включають природні, культурно-історичні та подієві об’єкти. Це створює основу для розвитку різних видів туризму, таких як екологічний, культурний, оздоровчий та подієвий туризм. Розмаїття туристичних пропозицій дозволить залучити широку аудиторію туристів, що сприятиме стабільному потоку відвідувачів протягом усього року.</w:t>
      </w:r>
    </w:p>
    <w:p w:rsidR="001D0C14" w:rsidRDefault="00E16C6E">
      <w:pPr>
        <w:pStyle w:val="af4"/>
        <w:spacing w:line="360" w:lineRule="auto"/>
        <w:ind w:left="0" w:firstLine="709"/>
        <w:rPr>
          <w:color w:val="000000" w:themeColor="text1"/>
        </w:rPr>
      </w:pPr>
      <w:r>
        <w:rPr>
          <w:color w:val="000000" w:themeColor="text1"/>
        </w:rPr>
        <w:t>Інфраструктура регіону вже має певний рівень розвитку завдяки наявності санаторіїв та інших закладів для відпочинку та медичного туризму, що забезпечує комфортні умови для туристів. Проте, подальше покращення інфраструктури, зокрема ремонт доріг, розвиток об’єктів розваг та підвищення якості послуг, значно підвищить туристичну привабливість Витвицької ОТГ.</w:t>
      </w:r>
    </w:p>
    <w:p w:rsidR="001D0C14" w:rsidRDefault="00E16C6E">
      <w:pPr>
        <w:pStyle w:val="af4"/>
        <w:spacing w:line="360" w:lineRule="auto"/>
        <w:ind w:left="0" w:firstLine="709"/>
        <w:rPr>
          <w:color w:val="000000" w:themeColor="text1"/>
        </w:rPr>
      </w:pPr>
      <w:r>
        <w:rPr>
          <w:color w:val="000000" w:themeColor="text1"/>
        </w:rPr>
        <w:t>Використання потенціалу природи та культурно-історичних об’єктів для створення нових туристичних продуктів є ще одним перспективним напрямком розвитку. Це може включати розробку екскурсійних маршрутів, тематичних турів та активних видів відпочинку. Організація фестивалів, спортивних заходів та інших подій додатково сприятиме залученню туристів, створюючи унікальні можливості для незабутніх вражень.</w:t>
      </w:r>
    </w:p>
    <w:p w:rsidR="001D0C14" w:rsidRDefault="00E16C6E">
      <w:pPr>
        <w:pStyle w:val="af4"/>
        <w:spacing w:line="360" w:lineRule="auto"/>
        <w:ind w:left="0" w:firstLine="709"/>
        <w:rPr>
          <w:color w:val="000000" w:themeColor="text1"/>
        </w:rPr>
      </w:pPr>
      <w:r>
        <w:rPr>
          <w:color w:val="000000" w:themeColor="text1"/>
        </w:rPr>
        <w:t>Розвиток рекреаційних та спортивних об’єктів, таких як парки, спортивні майданчики, веломаршрути та пішохідні стежки, також може значно підвищити привабливість регіону для любителів активного відпочинку. Це сприятиме збільшенню кількості туристів, які шукають можливості для активного відпочинку та спортивних заходів.</w:t>
      </w:r>
    </w:p>
    <w:p w:rsidR="001D0C14" w:rsidRDefault="00E16C6E">
      <w:pPr>
        <w:pStyle w:val="af4"/>
        <w:spacing w:line="360" w:lineRule="auto"/>
        <w:ind w:left="0" w:firstLine="709"/>
        <w:rPr>
          <w:color w:val="000000" w:themeColor="text1"/>
        </w:rPr>
      </w:pPr>
      <w:r>
        <w:rPr>
          <w:color w:val="000000" w:themeColor="text1"/>
        </w:rPr>
        <w:t xml:space="preserve">У третьому розділі розглянуто перспективи подієвого туризму в Україні загалом, включаючи стратегії для залучення міжнародних туристів і покращення якості обслуговування. Також проаналізовано перспективи розвитку подієвого туризму в конкретній громаді Витвицької ОТГ, зокрема через розвиток унікальних туристичних продуктів та партнерство з місцевими ініціативами. Додатково розроблено план реалізації заходів для фестивалю «Яворина», включаючи </w:t>
      </w:r>
      <w:r>
        <w:rPr>
          <w:color w:val="000000" w:themeColor="text1"/>
        </w:rPr>
        <w:lastRenderedPageBreak/>
        <w:t>організаційні аспекти та стратегічний маркетинг.</w:t>
      </w:r>
    </w:p>
    <w:p w:rsidR="001D0C14" w:rsidRDefault="00E16C6E">
      <w:pPr>
        <w:pStyle w:val="af4"/>
        <w:spacing w:line="360" w:lineRule="auto"/>
        <w:ind w:left="0" w:firstLine="709"/>
        <w:rPr>
          <w:color w:val="000000" w:themeColor="text1"/>
        </w:rPr>
      </w:pPr>
      <w:r>
        <w:rPr>
          <w:color w:val="000000" w:themeColor="text1"/>
        </w:rPr>
        <w:t>Регіональна співпраця є важливим чинником для успішного розвитку туризму. Співпраця з іншими туристичними регіонами для спільного просування та розвитку туристичних продуктів може створити синергійний ефект і підвищити конкурентоспроможність Витвицької ОТГ на туристичному ринку. Спільні маркетингові кампанії, обмін досвідом та кращими практиками, а також розробка спільних туристичних маршрутів можуть значно збільшити потік туристів до регіону.</w:t>
      </w:r>
    </w:p>
    <w:p w:rsidR="001D0C14" w:rsidRDefault="00E16C6E">
      <w:pPr>
        <w:pStyle w:val="af4"/>
        <w:spacing w:line="360" w:lineRule="auto"/>
        <w:ind w:left="0" w:firstLine="709"/>
        <w:rPr>
          <w:color w:val="000000" w:themeColor="text1"/>
        </w:rPr>
      </w:pPr>
      <w:r>
        <w:rPr>
          <w:color w:val="000000" w:themeColor="text1"/>
        </w:rPr>
        <w:t>Подолання слабких сторін, таких як неадекватна реклама та недостатня координація між суб’єктами туристичної індустрії, є ще одним важливим завданням. Активне використання соціальних мереж, участь у виставках та ярмарках, а також співпраця з туристичними агентствами допоможуть підвищити обізнаність про туристичні можливості Витвицької ОТГ та збільшити потік туристів.</w:t>
      </w:r>
    </w:p>
    <w:p w:rsidR="001D0C14" w:rsidRDefault="00E16C6E">
      <w:pPr>
        <w:pStyle w:val="af4"/>
        <w:spacing w:line="360" w:lineRule="auto"/>
        <w:ind w:left="0" w:firstLine="709"/>
        <w:rPr>
          <w:color w:val="000000" w:themeColor="text1"/>
        </w:rPr>
      </w:pPr>
      <w:r>
        <w:rPr>
          <w:color w:val="000000" w:themeColor="text1"/>
        </w:rPr>
        <w:t>Управління загрозами, такими як конкуренція з іншими туристичними регіонами, екологічні проблеми та політична нестабільність, також є ключовим аспектом для успішного розвитку туризму. Для мінімізації негативного впливу конкуренції важливо зосередитися на унікальності туристичних пропозицій та створенні незабутніх вражень для туристів. Запобігання екологічним проблемам вимагає розробки стратегій сталого розвитку туризму, що включатимуть охорону навколишнього середовища та раціональне використання природних ресурсів. Політична стабільність та забезпечення безпеки туристів також є критично важливими для збереження позитивного іміджу регіону.</w:t>
      </w:r>
    </w:p>
    <w:p w:rsidR="001D0C14" w:rsidRDefault="00E16C6E">
      <w:pPr>
        <w:pStyle w:val="af4"/>
        <w:spacing w:line="360" w:lineRule="auto"/>
        <w:ind w:left="0" w:firstLine="709"/>
        <w:rPr>
          <w:color w:val="000000" w:themeColor="text1"/>
        </w:rPr>
      </w:pPr>
      <w:r>
        <w:rPr>
          <w:color w:val="000000" w:themeColor="text1"/>
        </w:rPr>
        <w:t>Таким чином, Витвицька ОТГ має значні перспективи для розвитку туризму, які можуть бути реалізовані завдяки стратегічному плануванню, активному використанню ресурсів та ефективному управлінню туристичною індустрією. Реалізація цих перспектив сприятиме підвищенню привабливості регіону для туристів, розвитку місцевої інфраструктури та бізнесу, створюючи довготривалий позитивний ефект для місцевої економіки та соціальної сфери.</w:t>
      </w:r>
      <w:r>
        <w:br w:type="page"/>
      </w:r>
    </w:p>
    <w:p w:rsidR="001D0C14" w:rsidRDefault="00E16C6E">
      <w:pPr>
        <w:spacing w:after="0" w:line="360" w:lineRule="auto"/>
        <w:ind w:firstLine="720"/>
        <w:jc w:val="center"/>
        <w:rPr>
          <w:rFonts w:ascii="Times New Roman" w:hAnsi="Times New Roman" w:cs="Times New Roman"/>
          <w:b/>
          <w:color w:val="000000" w:themeColor="text1"/>
          <w:sz w:val="28"/>
          <w:lang w:val="uk-UA"/>
        </w:rPr>
      </w:pPr>
      <w:r>
        <w:rPr>
          <w:rFonts w:ascii="Times New Roman" w:hAnsi="Times New Roman" w:cs="Times New Roman"/>
          <w:b/>
          <w:color w:val="000000" w:themeColor="text1"/>
          <w:sz w:val="28"/>
          <w:lang w:val="uk-UA"/>
        </w:rPr>
        <w:lastRenderedPageBreak/>
        <w:t>СПИСОК ВИКОРИСТАНИХ ДЖЕРЕЛ</w:t>
      </w:r>
      <w:bookmarkStart w:id="7" w:name="_Hlk148289106"/>
      <w:bookmarkEnd w:id="7"/>
    </w:p>
    <w:p w:rsidR="001D0C14" w:rsidRDefault="00E16C6E">
      <w:pPr>
        <w:pStyle w:val="af4"/>
        <w:numPr>
          <w:ilvl w:val="0"/>
          <w:numId w:val="4"/>
        </w:numPr>
        <w:spacing w:line="360" w:lineRule="auto"/>
        <w:ind w:left="0" w:firstLine="709"/>
        <w:rPr>
          <w:color w:val="000000" w:themeColor="text1"/>
        </w:rPr>
      </w:pPr>
      <w:r>
        <w:rPr>
          <w:color w:val="000000" w:themeColor="text1"/>
        </w:rPr>
        <w:t xml:space="preserve">Бейдик О. О. Рекреаційно-туристські ресурси України: Методологія та методика аналізу, термінологія, районування. </w:t>
      </w:r>
      <w:r>
        <w:rPr>
          <w:rFonts w:ascii="Symbol" w:eastAsia="Symbol" w:hAnsi="Symbol" w:cs="Symbol"/>
          <w:color w:val="000000" w:themeColor="text1"/>
        </w:rPr>
        <w:t></w:t>
      </w:r>
      <w:r>
        <w:rPr>
          <w:color w:val="000000" w:themeColor="text1"/>
        </w:rPr>
        <w:t xml:space="preserve"> К.: Київ. ун-т, 2001. – 424 с.</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Бейдик О.О. Рекреаційно-туристські ресурси України: методологія та методика аналізу, термінологія, районування / О.О. Бейдик. </w:t>
      </w:r>
      <w:r>
        <w:rPr>
          <w:rFonts w:ascii="Symbol" w:eastAsia="Symbol" w:hAnsi="Symbol" w:cs="Symbol"/>
          <w:color w:val="000000" w:themeColor="text1"/>
        </w:rPr>
        <w:t></w:t>
      </w:r>
      <w:r>
        <w:rPr>
          <w:color w:val="000000" w:themeColor="text1"/>
        </w:rPr>
        <w:t xml:space="preserve"> К.: ВПЦ «Київський Університет», 2014. – 395 с.</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Вишневська Г.Г. Івент-туризм у контексті розвитку світового туризму / Г.Г. Вишневська // Українська культура: минуле, сучасне, шляхи розвитку: зб. наук. праць: наукові записки Рівненського державного гуманітарного університету. – 2011. – Випуск 17. </w:t>
      </w:r>
    </w:p>
    <w:p w:rsidR="001D0C14" w:rsidRDefault="00E16C6E">
      <w:pPr>
        <w:pStyle w:val="af4"/>
        <w:numPr>
          <w:ilvl w:val="0"/>
          <w:numId w:val="4"/>
        </w:numPr>
        <w:spacing w:line="360" w:lineRule="auto"/>
        <w:ind w:left="0" w:firstLine="709"/>
        <w:rPr>
          <w:color w:val="000000" w:themeColor="text1"/>
        </w:rPr>
      </w:pPr>
      <w:r>
        <w:rPr>
          <w:color w:val="000000" w:themeColor="text1"/>
        </w:rPr>
        <w:t>Влодарчик Т. В. Подієвий (event) туризм в Україні / Т. В. Влодарчик  //  Здобутки, проблеми та перспективи розвитку готельно-ресторанного та туристичного бізнесу : Всеукраїнська науково-практична конференція, 29-30 жовтня 2012 р. : тези доповідей – К. : НУХТ, 2012 р. – С. 409.</w:t>
      </w:r>
    </w:p>
    <w:p w:rsidR="001D0C14" w:rsidRDefault="00E16C6E">
      <w:pPr>
        <w:pStyle w:val="af4"/>
        <w:numPr>
          <w:ilvl w:val="0"/>
          <w:numId w:val="4"/>
        </w:numPr>
        <w:spacing w:line="360" w:lineRule="auto"/>
        <w:ind w:left="0" w:firstLine="709"/>
        <w:rPr>
          <w:color w:val="000000" w:themeColor="text1"/>
        </w:rPr>
      </w:pPr>
      <w:r>
        <w:rPr>
          <w:color w:val="000000" w:themeColor="text1"/>
        </w:rPr>
        <w:t>Вовк К.М. Розвиток подієвого туризму В Україні Матеріали Міжнар. наук.-практ. конф. «Туристичний бізнес: світові тенденції та національні пріоритети» (м. Харків, 27 жовтня 2017 р.) Харків: ХНУ ім. В.Н. Каразіна, 2017. С.307-308</w:t>
      </w:r>
    </w:p>
    <w:p w:rsidR="001D0C14" w:rsidRDefault="00E16C6E">
      <w:pPr>
        <w:pStyle w:val="af4"/>
        <w:numPr>
          <w:ilvl w:val="0"/>
          <w:numId w:val="4"/>
        </w:numPr>
        <w:spacing w:line="360" w:lineRule="auto"/>
        <w:ind w:left="0" w:firstLine="709"/>
        <w:rPr>
          <w:color w:val="000000" w:themeColor="text1"/>
        </w:rPr>
      </w:pPr>
      <w:r>
        <w:rPr>
          <w:color w:val="000000" w:themeColor="text1"/>
        </w:rPr>
        <w:t>Головчан А. І. Методика оцінки ефективності функціонування туристичних дестинацій в Україні / А. І. Головчан // Вісник Чернівецького торговельно-економічного інституту КНТЕУ (серія «Економічні науки»): зб. наук. пр. – Чернівці: ЧТЕІ КНТЕУ, 2010. – Вип. IV (40). – С. 131-137.</w:t>
      </w:r>
    </w:p>
    <w:p w:rsidR="001D0C14" w:rsidRDefault="00E16C6E">
      <w:pPr>
        <w:pStyle w:val="af4"/>
        <w:numPr>
          <w:ilvl w:val="0"/>
          <w:numId w:val="4"/>
        </w:numPr>
        <w:spacing w:line="360" w:lineRule="auto"/>
        <w:ind w:left="0" w:firstLine="709"/>
        <w:rPr>
          <w:color w:val="000000" w:themeColor="text1"/>
        </w:rPr>
      </w:pPr>
      <w:r>
        <w:rPr>
          <w:color w:val="000000" w:themeColor="text1"/>
        </w:rPr>
        <w:t>Головчан А. І. Теоретико-методичні підходи до оптимізації розвитку туризму в дестинаціях / А. І. Головчан // Вісник ДІТБ. – 2011. – № 15. – С. 139-145.</w:t>
      </w:r>
    </w:p>
    <w:p w:rsidR="001D0C14" w:rsidRDefault="00E16C6E">
      <w:pPr>
        <w:pStyle w:val="af4"/>
        <w:numPr>
          <w:ilvl w:val="0"/>
          <w:numId w:val="4"/>
        </w:numPr>
        <w:spacing w:line="360" w:lineRule="auto"/>
        <w:ind w:left="0" w:firstLine="709"/>
        <w:rPr>
          <w:color w:val="000000" w:themeColor="text1"/>
        </w:rPr>
      </w:pPr>
      <w:r>
        <w:rPr>
          <w:color w:val="000000" w:themeColor="text1"/>
        </w:rPr>
        <w:t>Грицку-Андрієш Ю.П, Бучко Ж.І. Фестивальний туризм у системі рекреаційно-туристської діяльності. 2013.</w:t>
      </w:r>
    </w:p>
    <w:p w:rsidR="001D0C14" w:rsidRDefault="00E16C6E">
      <w:pPr>
        <w:pStyle w:val="af4"/>
        <w:numPr>
          <w:ilvl w:val="0"/>
          <w:numId w:val="4"/>
        </w:numPr>
        <w:spacing w:line="360" w:lineRule="auto"/>
        <w:ind w:left="0" w:firstLine="709"/>
        <w:rPr>
          <w:color w:val="000000" w:themeColor="text1"/>
        </w:rPr>
      </w:pPr>
      <w:r>
        <w:rPr>
          <w:color w:val="000000" w:themeColor="text1"/>
        </w:rPr>
        <w:t>Закон України «Про внесення змін до Закону України «Про туризм» №1282-IV від 18 листопада 2003 року / Державна служба туризму та курортів України. – Режим доступу: http://tourism.gov.ua/doc.aspx?id=209.</w:t>
      </w:r>
    </w:p>
    <w:p w:rsidR="001D0C14" w:rsidRDefault="00E16C6E">
      <w:pPr>
        <w:pStyle w:val="af4"/>
        <w:numPr>
          <w:ilvl w:val="0"/>
          <w:numId w:val="4"/>
        </w:numPr>
        <w:spacing w:line="360" w:lineRule="auto"/>
        <w:ind w:left="0" w:firstLine="709"/>
        <w:rPr>
          <w:color w:val="000000" w:themeColor="text1"/>
        </w:rPr>
      </w:pPr>
      <w:r>
        <w:rPr>
          <w:color w:val="000000" w:themeColor="text1"/>
        </w:rPr>
        <w:t>Зеленська Л., Романова А. Івент-менеджмент: словник-довідник організатора заходів. К.: НАКККІМ, 2015. 84 с.</w:t>
      </w:r>
    </w:p>
    <w:p w:rsidR="001D0C14" w:rsidRDefault="00E16C6E">
      <w:pPr>
        <w:pStyle w:val="af4"/>
        <w:numPr>
          <w:ilvl w:val="0"/>
          <w:numId w:val="4"/>
        </w:numPr>
        <w:spacing w:line="360" w:lineRule="auto"/>
        <w:ind w:left="0" w:firstLine="709"/>
        <w:rPr>
          <w:color w:val="000000" w:themeColor="text1"/>
        </w:rPr>
      </w:pPr>
      <w:r>
        <w:rPr>
          <w:color w:val="000000" w:themeColor="text1"/>
        </w:rPr>
        <w:lastRenderedPageBreak/>
        <w:t>Карпюк О.А., Сингаєвська A.О. Event-менеджмент в туристичній галузі: світовий досвід та перспективи для України. Актуальні проблеми, сучасний стан та перспективи розвитку індустрії туризму в Україні та Польщі: матеріали дев’ятої міжнародної науково-практичної конференції; за ред. І.В. Саух. Житомир: ЖФ КІБІТ, 2016. С. 39-42.</w:t>
      </w:r>
    </w:p>
    <w:p w:rsidR="001D0C14" w:rsidRDefault="00E16C6E">
      <w:pPr>
        <w:pStyle w:val="af4"/>
        <w:numPr>
          <w:ilvl w:val="0"/>
          <w:numId w:val="4"/>
        </w:numPr>
        <w:spacing w:line="360" w:lineRule="auto"/>
        <w:ind w:left="0" w:firstLine="709"/>
        <w:rPr>
          <w:color w:val="000000" w:themeColor="text1"/>
        </w:rPr>
      </w:pPr>
      <w:r>
        <w:rPr>
          <w:color w:val="000000" w:themeColor="text1"/>
        </w:rPr>
        <w:t>Кілінська К. Й. Теоретичні та прикладні аспекти рекреаційного природокористування в Україні: монографія / К. Й. Кілінська, Н. П. Аніпко, Н.С. Андрусяк. – Чернівці: Чернівецький національний університет імені Юрія Федьковича, 2010. – С. 239–249.</w:t>
      </w:r>
    </w:p>
    <w:p w:rsidR="001D0C14" w:rsidRDefault="00E16C6E">
      <w:pPr>
        <w:pStyle w:val="af4"/>
        <w:numPr>
          <w:ilvl w:val="0"/>
          <w:numId w:val="4"/>
        </w:numPr>
        <w:spacing w:line="360" w:lineRule="auto"/>
        <w:ind w:left="0" w:firstLine="709"/>
        <w:rPr>
          <w:color w:val="000000" w:themeColor="text1"/>
        </w:rPr>
      </w:pPr>
      <w:r>
        <w:rPr>
          <w:color w:val="000000" w:themeColor="text1"/>
        </w:rPr>
        <w:t>Кіптенко В. К. Менеджмент туризму: Підручник. – К.: Знання, 2010. – 502 с.</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Країна мрій. </w:t>
      </w:r>
      <w:r>
        <w:rPr>
          <w:color w:val="000000" w:themeColor="text1"/>
          <w:lang w:val="en-US"/>
        </w:rPr>
        <w:t>URL</w:t>
      </w:r>
      <w:r>
        <w:rPr>
          <w:color w:val="000000" w:themeColor="text1"/>
        </w:rPr>
        <w:t>: http://www. krainamriy.com/. (дата звернення: 15.05.2024)</w:t>
      </w:r>
    </w:p>
    <w:p w:rsidR="001D0C14" w:rsidRDefault="00E16C6E">
      <w:pPr>
        <w:pStyle w:val="af4"/>
        <w:numPr>
          <w:ilvl w:val="0"/>
          <w:numId w:val="4"/>
        </w:numPr>
        <w:spacing w:line="360" w:lineRule="auto"/>
        <w:ind w:left="0" w:firstLine="709"/>
        <w:rPr>
          <w:color w:val="000000" w:themeColor="text1"/>
        </w:rPr>
      </w:pPr>
      <w:r>
        <w:rPr>
          <w:color w:val="000000" w:themeColor="text1"/>
        </w:rPr>
        <w:t>Леонтьєва Ю. Ю. Оцінка ресурсів категорії «атракція» регіональних дестинацій України // Економіка і регіон. – 2009. – №3 (22). – С. 20-25.</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Львів – столиця фестивалів. </w:t>
      </w:r>
      <w:r>
        <w:rPr>
          <w:color w:val="000000" w:themeColor="text1"/>
          <w:lang w:val="en-US"/>
        </w:rPr>
        <w:t>URL</w:t>
      </w:r>
      <w:r>
        <w:rPr>
          <w:color w:val="000000" w:themeColor="text1"/>
        </w:rPr>
        <w:t>: http: // lviv.travel/ua/what_to_do/stolucya-festiyvaliv (дата звернення: 25.04.2024)</w:t>
      </w:r>
    </w:p>
    <w:p w:rsidR="001D0C14" w:rsidRDefault="00E16C6E">
      <w:pPr>
        <w:pStyle w:val="af4"/>
        <w:numPr>
          <w:ilvl w:val="0"/>
          <w:numId w:val="4"/>
        </w:numPr>
        <w:spacing w:line="360" w:lineRule="auto"/>
        <w:ind w:left="0" w:firstLine="709"/>
        <w:rPr>
          <w:color w:val="000000" w:themeColor="text1"/>
        </w:rPr>
      </w:pPr>
      <w:r>
        <w:rPr>
          <w:color w:val="000000" w:themeColor="text1"/>
        </w:rPr>
        <w:t>Любіцева О. О., Третьяков О. В. Типізація дестинацій // Географія та туризм: зб. наук. пр. – К., 2012. – Вип. 17. – С. 3-9.</w:t>
      </w:r>
    </w:p>
    <w:p w:rsidR="001D0C14" w:rsidRDefault="00E16C6E">
      <w:pPr>
        <w:pStyle w:val="af4"/>
        <w:numPr>
          <w:ilvl w:val="0"/>
          <w:numId w:val="4"/>
        </w:numPr>
        <w:spacing w:line="360" w:lineRule="auto"/>
        <w:ind w:left="0" w:firstLine="709"/>
        <w:rPr>
          <w:color w:val="000000" w:themeColor="text1"/>
        </w:rPr>
      </w:pPr>
      <w:r>
        <w:rPr>
          <w:color w:val="000000" w:themeColor="text1"/>
        </w:rPr>
        <w:t>Любіцева О.О, Панкова Є.В., Стафійчук В.І. Туристичні ресурси України. Навчальний посібник / О.О. Любімцева, Є.В. Панкова, В.І. Стафійчук.-К.: Альтерпрес, 2014.- 369 с.</w:t>
      </w:r>
    </w:p>
    <w:p w:rsidR="001D0C14" w:rsidRDefault="00E16C6E">
      <w:pPr>
        <w:pStyle w:val="af4"/>
        <w:numPr>
          <w:ilvl w:val="0"/>
          <w:numId w:val="4"/>
        </w:numPr>
        <w:spacing w:line="360" w:lineRule="auto"/>
        <w:ind w:left="0" w:firstLine="709"/>
        <w:rPr>
          <w:color w:val="000000" w:themeColor="text1"/>
        </w:rPr>
      </w:pPr>
      <w:r>
        <w:rPr>
          <w:color w:val="000000" w:themeColor="text1"/>
        </w:rPr>
        <w:t>Мельниченко С.В. Івентивний менеджмент суб’єктів туристичної діяльності / С. В. Мельниченко // Економічні науки : зб. наук. праць Луцького НТУ. Серія «Економіка та менеджмент». – 2010. – Випуск 7(26). – Ч. 2.– С. 224-232.</w:t>
      </w:r>
    </w:p>
    <w:p w:rsidR="001D0C14" w:rsidRDefault="00E16C6E">
      <w:pPr>
        <w:pStyle w:val="af4"/>
        <w:numPr>
          <w:ilvl w:val="0"/>
          <w:numId w:val="4"/>
        </w:numPr>
        <w:spacing w:line="360" w:lineRule="auto"/>
        <w:ind w:left="0" w:firstLine="709"/>
        <w:rPr>
          <w:color w:val="000000" w:themeColor="text1"/>
        </w:rPr>
      </w:pPr>
      <w:r>
        <w:rPr>
          <w:color w:val="000000" w:themeColor="text1"/>
        </w:rPr>
        <w:t>Панасенко Т. В. Фестивальна діяльність як чинник туристичної привабливості регіону / Т. В. Панкова // Туризм як фактор розвитку регіону. Матеріали Всеукраїнської науково-практичної конференції. – Вінниця, 2011. – С. 90–93.</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Паньків Н. Є. Сучасний стан та перспективи розвитку подієвого туризму </w:t>
      </w:r>
      <w:r>
        <w:rPr>
          <w:color w:val="000000" w:themeColor="text1"/>
        </w:rPr>
        <w:lastRenderedPageBreak/>
        <w:t>в Україні на прикладі розробленого івент-туру «Відкрий для себе Покуття» / Н. Є. Паньків, В. Р. Мороз // Науковий вісник НЛТУ України. - 2018. - Т. 28, № 5. – С. 78-82.</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Перспективи розвитку подієвого туризму. </w:t>
      </w:r>
      <w:r>
        <w:rPr>
          <w:color w:val="000000" w:themeColor="text1"/>
          <w:lang w:val="en-US"/>
        </w:rPr>
        <w:t>URL</w:t>
      </w:r>
      <w:r>
        <w:rPr>
          <w:color w:val="000000" w:themeColor="text1"/>
        </w:rPr>
        <w:t>: http://diplomna5.com/item-41037. (дата звернення: 11.05.2024)</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Соціально-економічний аналіз розвитку сільських громад Витвицька ОТГ </w:t>
      </w:r>
      <w:r>
        <w:rPr>
          <w:color w:val="000000" w:themeColor="text1"/>
          <w:lang w:val="en-US"/>
        </w:rPr>
        <w:t>URL</w:t>
      </w:r>
      <w:r>
        <w:rPr>
          <w:color w:val="000000" w:themeColor="text1"/>
        </w:rPr>
        <w:t>: https://ecoaction.org.ua/wp-content/uploads/2020/12/Vytvytska_OTG.pdf. (дата звернення: 16.04.2024)</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Тищенко П. В. Теоретичні аспекти та розвиток подієвого туризму регіону </w:t>
      </w:r>
      <w:r>
        <w:rPr>
          <w:color w:val="000000" w:themeColor="text1"/>
          <w:lang w:val="en-US"/>
        </w:rPr>
        <w:t>URL</w:t>
      </w:r>
      <w:r>
        <w:rPr>
          <w:color w:val="000000" w:themeColor="text1"/>
        </w:rPr>
        <w:t>: http://tourlib.net/statti_ukr/tyschenko.htm (дата звернення: 16.05.2024)</w:t>
      </w:r>
    </w:p>
    <w:p w:rsidR="001D0C14" w:rsidRDefault="00E16C6E">
      <w:pPr>
        <w:pStyle w:val="af4"/>
        <w:numPr>
          <w:ilvl w:val="0"/>
          <w:numId w:val="4"/>
        </w:numPr>
        <w:spacing w:line="360" w:lineRule="auto"/>
        <w:ind w:left="0" w:firstLine="709"/>
        <w:rPr>
          <w:color w:val="000000" w:themeColor="text1"/>
        </w:rPr>
      </w:pPr>
      <w:r>
        <w:rPr>
          <w:color w:val="000000" w:themeColor="text1"/>
        </w:rPr>
        <w:t>Ткаченко Т. І. Територіально сфокусований розвиток суб’єктів туристичного бізнесу / Т. І. Ткаченко // Культура народів Причорномор’я. – 2006. – № 81. – С. 56-64</w:t>
      </w:r>
    </w:p>
    <w:p w:rsidR="001D0C14" w:rsidRDefault="00E16C6E">
      <w:pPr>
        <w:pStyle w:val="af4"/>
        <w:numPr>
          <w:ilvl w:val="0"/>
          <w:numId w:val="4"/>
        </w:numPr>
        <w:spacing w:line="360" w:lineRule="auto"/>
        <w:ind w:left="0" w:firstLine="709"/>
        <w:rPr>
          <w:color w:val="000000" w:themeColor="text1"/>
        </w:rPr>
      </w:pPr>
      <w:r>
        <w:rPr>
          <w:color w:val="000000" w:themeColor="text1"/>
        </w:rPr>
        <w:t>Туризм: реалії та перспективи сталого розвитку: матеріали доп. Міжнар. наук.-практ. конф. (Київ, 23–24 жовт. 2014 р.) / голова редкол. С.В. Мельниченко. – К. : Київ. нац. торг.-екон. ун-т, 2014. – 418 с.</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Україна фестивальна. </w:t>
      </w:r>
      <w:r>
        <w:rPr>
          <w:color w:val="000000" w:themeColor="text1"/>
          <w:lang w:val="en-US"/>
        </w:rPr>
        <w:t>URL</w:t>
      </w:r>
      <w:r>
        <w:rPr>
          <w:color w:val="000000" w:themeColor="text1"/>
        </w:rPr>
        <w:t>: http:// art.rk-ukraina.com/index.php?id=179&amp;lang=ua. (дата звернення: 16.04.2024)</w:t>
      </w:r>
    </w:p>
    <w:p w:rsidR="001D0C14" w:rsidRDefault="00E16C6E">
      <w:pPr>
        <w:pStyle w:val="af4"/>
        <w:numPr>
          <w:ilvl w:val="0"/>
          <w:numId w:val="4"/>
        </w:numPr>
        <w:spacing w:line="360" w:lineRule="auto"/>
        <w:ind w:left="0" w:firstLine="709"/>
        <w:rPr>
          <w:color w:val="000000" w:themeColor="text1"/>
        </w:rPr>
      </w:pPr>
      <w:r>
        <w:rPr>
          <w:color w:val="000000" w:themeColor="text1"/>
        </w:rPr>
        <w:t>Устименко Л. М. Історія туризму : навч. посіб. / Ю. Л. Афанасьєв, Л. М. Устименко. – К. : Альтерпрес, 2008. – 354 с.</w:t>
      </w:r>
    </w:p>
    <w:p w:rsidR="001D0C14" w:rsidRDefault="00E16C6E">
      <w:pPr>
        <w:pStyle w:val="af4"/>
        <w:numPr>
          <w:ilvl w:val="0"/>
          <w:numId w:val="4"/>
        </w:numPr>
        <w:spacing w:line="360" w:lineRule="auto"/>
        <w:ind w:left="0" w:firstLine="709"/>
        <w:rPr>
          <w:color w:val="000000" w:themeColor="text1"/>
        </w:rPr>
      </w:pPr>
      <w:r>
        <w:rPr>
          <w:color w:val="000000" w:themeColor="text1"/>
        </w:rPr>
        <w:t>Фестиваль патріотичної пісні «ЯВОРИНА-2023»</w:t>
      </w:r>
      <w:r>
        <w:rPr>
          <w:color w:val="000000" w:themeColor="text1"/>
          <w:lang w:val="ru-RU"/>
        </w:rPr>
        <w:t xml:space="preserve"> </w:t>
      </w:r>
      <w:r>
        <w:rPr>
          <w:color w:val="000000" w:themeColor="text1"/>
          <w:lang w:val="en-US"/>
        </w:rPr>
        <w:t>URL</w:t>
      </w:r>
      <w:r>
        <w:rPr>
          <w:color w:val="000000" w:themeColor="text1"/>
        </w:rPr>
        <w:t>: https://bolekhiv-rada.gov.ua/news/news_of-_independent_departments/culture-news/11815-festival-patriotichnoyi-pisni-javorina-2023.html (дата звернення: 16.04.2024)</w:t>
      </w:r>
    </w:p>
    <w:p w:rsidR="001D0C14" w:rsidRDefault="00E16C6E">
      <w:pPr>
        <w:pStyle w:val="af4"/>
        <w:numPr>
          <w:ilvl w:val="0"/>
          <w:numId w:val="4"/>
        </w:numPr>
        <w:spacing w:line="360" w:lineRule="auto"/>
        <w:ind w:left="0" w:firstLine="709"/>
        <w:rPr>
          <w:color w:val="000000" w:themeColor="text1"/>
        </w:rPr>
      </w:pPr>
      <w:r>
        <w:rPr>
          <w:color w:val="000000" w:themeColor="text1"/>
        </w:rPr>
        <w:t>Чубей І. Ю. Фестивальний туризм та його місце в сфері туризму України (проблеми та перспективи в руслі ідей глобального етичного кодексу туризму // Матеріали XIІ аспірантських читань «Сучасні тенденції розвитку та вдосконалення туристської діяльності в Україні в контексті концептуальних положень глобального етичного кодексу туризму» / Тези доп. і зібр. 30 жовтня 2012 р. – К.: Київський університет туризму, економіки і права, 2013. – С. 307–310</w:t>
      </w:r>
    </w:p>
    <w:p w:rsidR="001D0C14" w:rsidRDefault="00E16C6E">
      <w:pPr>
        <w:pStyle w:val="af4"/>
        <w:numPr>
          <w:ilvl w:val="0"/>
          <w:numId w:val="4"/>
        </w:numPr>
        <w:spacing w:line="360" w:lineRule="auto"/>
        <w:ind w:left="0" w:firstLine="709"/>
        <w:rPr>
          <w:color w:val="000000" w:themeColor="text1"/>
        </w:rPr>
      </w:pPr>
      <w:r>
        <w:rPr>
          <w:color w:val="000000" w:themeColor="text1"/>
        </w:rPr>
        <w:t xml:space="preserve">Шикіна О. В. Аналіз структури туристичних потоків Одеської області / О. </w:t>
      </w:r>
      <w:r>
        <w:rPr>
          <w:color w:val="000000" w:themeColor="text1"/>
        </w:rPr>
        <w:lastRenderedPageBreak/>
        <w:t>В. Шикіна, І. Л. Ліптуга // Глобальні та національні проблеми економіки – 2015. – № 7. – С. 114–127.</w:t>
      </w:r>
    </w:p>
    <w:p w:rsidR="001D0C14" w:rsidRDefault="00E16C6E">
      <w:pPr>
        <w:pStyle w:val="af4"/>
        <w:numPr>
          <w:ilvl w:val="0"/>
          <w:numId w:val="4"/>
        </w:numPr>
        <w:spacing w:line="360" w:lineRule="auto"/>
        <w:ind w:left="0" w:firstLine="709"/>
        <w:rPr>
          <w:color w:val="000000" w:themeColor="text1"/>
        </w:rPr>
      </w:pPr>
      <w:r>
        <w:rPr>
          <w:color w:val="000000" w:themeColor="text1"/>
        </w:rPr>
        <w:t>Шикіна О. В. Сучасний стан та перспективи розвитку подієвого туризму на території України // О. В. Шикіна, В. В. Олійник // Вісник Миколаївського національного університету імені В. О. Сухомлинського – 2016. – № 12. – С. 460–463.</w:t>
      </w:r>
    </w:p>
    <w:p w:rsidR="001D0C14" w:rsidRDefault="00E16C6E">
      <w:pPr>
        <w:pStyle w:val="af4"/>
        <w:numPr>
          <w:ilvl w:val="0"/>
          <w:numId w:val="4"/>
        </w:numPr>
        <w:spacing w:line="360" w:lineRule="auto"/>
        <w:ind w:left="0" w:firstLine="709"/>
        <w:rPr>
          <w:color w:val="000000" w:themeColor="text1"/>
        </w:rPr>
      </w:pPr>
      <w:r>
        <w:rPr>
          <w:color w:val="000000" w:themeColor="text1"/>
        </w:rPr>
        <w:t>Шульгіна Л. М. Маркетинг підприємств туристичної галузі: автореф. дис. на здобуття наук. ступеня д-ра. філософ. наук: спец. 08.06.01 «Економіка, організація і управління підприємствами» / Шульгіна Людмила Михайлівна; Київський національний торговельно-економічний університет. – К., 2006. – 38 с</w:t>
      </w:r>
    </w:p>
    <w:p w:rsidR="001D0C14" w:rsidRDefault="00E16C6E">
      <w:pPr>
        <w:pStyle w:val="af4"/>
        <w:numPr>
          <w:ilvl w:val="0"/>
          <w:numId w:val="4"/>
        </w:numPr>
        <w:spacing w:line="360" w:lineRule="auto"/>
        <w:ind w:left="0" w:firstLine="709"/>
        <w:rPr>
          <w:color w:val="000000" w:themeColor="text1"/>
        </w:rPr>
      </w:pPr>
      <w:r>
        <w:rPr>
          <w:color w:val="000000" w:themeColor="text1"/>
        </w:rPr>
        <w:t>Яроменко О. Геопросторовий аналіз фестивальної діяльності як туристичного продукту Рівненської області / О. Яроменко, О. Токар // Географія, економіка і туризм: національний та міжнародний досвід. Матеріали ювілейної X Міжнародної наукової конференції. – Львів, 2016. – С. 447-451.</w:t>
      </w:r>
    </w:p>
    <w:p w:rsidR="001D0C14" w:rsidRDefault="00E16C6E">
      <w:pPr>
        <w:pStyle w:val="af4"/>
        <w:numPr>
          <w:ilvl w:val="0"/>
          <w:numId w:val="4"/>
        </w:numPr>
        <w:spacing w:line="360" w:lineRule="auto"/>
        <w:ind w:left="0" w:firstLine="709"/>
        <w:rPr>
          <w:color w:val="000000" w:themeColor="text1"/>
        </w:rPr>
      </w:pPr>
      <w:r>
        <w:rPr>
          <w:color w:val="000000" w:themeColor="text1"/>
        </w:rPr>
        <w:t>Getz D. Event tourism: Definition, evolution, andresearch [Text] / DonaldGetz // TourismManagement. – 2008. – №29.</w:t>
      </w:r>
    </w:p>
    <w:p w:rsidR="001D0C14" w:rsidRDefault="00E16C6E">
      <w:pPr>
        <w:pStyle w:val="af4"/>
        <w:numPr>
          <w:ilvl w:val="0"/>
          <w:numId w:val="4"/>
        </w:numPr>
        <w:spacing w:line="360" w:lineRule="auto"/>
        <w:ind w:left="0" w:firstLine="709"/>
        <w:rPr>
          <w:color w:val="000000" w:themeColor="text1"/>
        </w:rPr>
      </w:pPr>
      <w:r>
        <w:rPr>
          <w:color w:val="000000" w:themeColor="text1"/>
        </w:rPr>
        <w:t>Management of Event Operations / J. Tum, P. Norton, J. NevanWright. Elsevier Butterworth-Heinemann, 2006. 279 p.</w:t>
      </w:r>
    </w:p>
    <w:p w:rsidR="001D0C14" w:rsidRDefault="00E16C6E">
      <w:pPr>
        <w:spacing w:after="160" w:line="259" w:lineRule="auto"/>
        <w:jc w:val="left"/>
        <w:rPr>
          <w:rFonts w:ascii="Times New Roman" w:eastAsia="Times New Roman" w:hAnsi="Times New Roman" w:cs="Times New Roman"/>
          <w:color w:val="000000" w:themeColor="text1"/>
          <w:sz w:val="28"/>
          <w:szCs w:val="28"/>
          <w:lang w:val="uk-UA"/>
        </w:rPr>
      </w:pPr>
      <w:r>
        <w:br w:type="page"/>
      </w:r>
    </w:p>
    <w:p w:rsidR="001D0C14" w:rsidRDefault="00E16C6E">
      <w:pPr>
        <w:pStyle w:val="af4"/>
        <w:spacing w:line="360" w:lineRule="auto"/>
        <w:ind w:left="0" w:firstLine="709"/>
        <w:jc w:val="center"/>
        <w:rPr>
          <w:b/>
          <w:color w:val="000000" w:themeColor="text1"/>
        </w:rPr>
      </w:pPr>
      <w:r>
        <w:rPr>
          <w:b/>
          <w:color w:val="000000" w:themeColor="text1"/>
        </w:rPr>
        <w:lastRenderedPageBreak/>
        <w:t>ДОДАТКИ</w:t>
      </w:r>
    </w:p>
    <w:p w:rsidR="001D0C14" w:rsidRDefault="00E16C6E">
      <w:pPr>
        <w:pStyle w:val="af4"/>
        <w:spacing w:line="360" w:lineRule="auto"/>
        <w:ind w:left="0" w:firstLine="709"/>
        <w:jc w:val="right"/>
        <w:rPr>
          <w:b/>
          <w:color w:val="000000" w:themeColor="text1"/>
        </w:rPr>
      </w:pPr>
      <w:r>
        <w:rPr>
          <w:b/>
          <w:color w:val="000000" w:themeColor="text1"/>
        </w:rPr>
        <w:t>Додаток А</w:t>
      </w:r>
    </w:p>
    <w:p w:rsidR="001D0C14" w:rsidRDefault="00E16C6E">
      <w:pPr>
        <w:pStyle w:val="af4"/>
        <w:spacing w:line="360" w:lineRule="auto"/>
        <w:ind w:left="0" w:firstLine="709"/>
        <w:jc w:val="center"/>
        <w:rPr>
          <w:color w:val="000000" w:themeColor="text1"/>
        </w:rPr>
      </w:pPr>
      <w:r>
        <w:rPr>
          <w:color w:val="000000" w:themeColor="text1"/>
        </w:rPr>
        <w:t>Світлини з фестивалю «Яворина»</w:t>
      </w:r>
    </w:p>
    <w:p w:rsidR="001D0C14" w:rsidRDefault="00E16C6E">
      <w:pPr>
        <w:pStyle w:val="af4"/>
        <w:spacing w:line="360" w:lineRule="auto"/>
        <w:ind w:left="0" w:firstLine="709"/>
        <w:jc w:val="center"/>
        <w:rPr>
          <w:color w:val="000000" w:themeColor="text1"/>
        </w:rPr>
      </w:pPr>
      <w:r>
        <w:rPr>
          <w:noProof/>
          <w:color w:val="000000" w:themeColor="text1"/>
        </w:rPr>
        <w:drawing>
          <wp:anchor distT="0" distB="0" distL="0" distR="0" simplePos="0" relativeHeight="19" behindDoc="0" locked="0" layoutInCell="0" allowOverlap="1">
            <wp:simplePos x="0" y="0"/>
            <wp:positionH relativeFrom="column">
              <wp:posOffset>114300</wp:posOffset>
            </wp:positionH>
            <wp:positionV relativeFrom="paragraph">
              <wp:posOffset>24765</wp:posOffset>
            </wp:positionV>
            <wp:extent cx="6474460" cy="3669030"/>
            <wp:effectExtent l="0" t="0" r="0" b="0"/>
            <wp:wrapTopAndBottom/>
            <wp:docPr id="18" name="Зображе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Зображення2"/>
                    <pic:cNvPicPr>
                      <a:picLocks noChangeAspect="1" noChangeArrowheads="1"/>
                    </pic:cNvPicPr>
                  </pic:nvPicPr>
                  <pic:blipFill>
                    <a:blip r:embed="rId19"/>
                    <a:stretch>
                      <a:fillRect/>
                    </a:stretch>
                  </pic:blipFill>
                  <pic:spPr bwMode="auto">
                    <a:xfrm>
                      <a:off x="0" y="0"/>
                      <a:ext cx="6474460" cy="3669030"/>
                    </a:xfrm>
                    <a:prstGeom prst="rect">
                      <a:avLst/>
                    </a:prstGeom>
                  </pic:spPr>
                </pic:pic>
              </a:graphicData>
            </a:graphic>
          </wp:anchor>
        </w:drawing>
      </w:r>
      <w:r>
        <w:rPr>
          <w:noProof/>
          <w:color w:val="000000" w:themeColor="text1"/>
        </w:rPr>
        <w:drawing>
          <wp:anchor distT="0" distB="0" distL="114300" distR="0" simplePos="0" relativeHeight="23" behindDoc="0" locked="0" layoutInCell="0" allowOverlap="1">
            <wp:simplePos x="0" y="0"/>
            <wp:positionH relativeFrom="margin">
              <wp:align>right</wp:align>
            </wp:positionH>
            <wp:positionV relativeFrom="paragraph">
              <wp:posOffset>4145280</wp:posOffset>
            </wp:positionV>
            <wp:extent cx="6473825" cy="3812540"/>
            <wp:effectExtent l="0" t="0" r="0" b="0"/>
            <wp:wrapTopAndBottom/>
            <wp:docPr id="19" name="Рисунок 17" descr="C:\Users\Олег\AppData\Local\Microsoft\Windows\INetCache\Content.Word\photo17186450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7" descr="C:\Users\Олег\AppData\Local\Microsoft\Windows\INetCache\Content.Word\photo1718645009.jpeg"/>
                    <pic:cNvPicPr>
                      <a:picLocks noChangeAspect="1" noChangeArrowheads="1"/>
                    </pic:cNvPicPr>
                  </pic:nvPicPr>
                  <pic:blipFill>
                    <a:blip r:embed="rId20"/>
                    <a:stretch>
                      <a:fillRect/>
                    </a:stretch>
                  </pic:blipFill>
                  <pic:spPr bwMode="auto">
                    <a:xfrm>
                      <a:off x="0" y="0"/>
                      <a:ext cx="6473825" cy="3812540"/>
                    </a:xfrm>
                    <a:prstGeom prst="rect">
                      <a:avLst/>
                    </a:prstGeom>
                  </pic:spPr>
                </pic:pic>
              </a:graphicData>
            </a:graphic>
          </wp:anchor>
        </w:drawing>
      </w: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E16C6E">
      <w:pPr>
        <w:pStyle w:val="af4"/>
        <w:spacing w:line="360" w:lineRule="auto"/>
        <w:ind w:left="0" w:firstLine="709"/>
        <w:jc w:val="center"/>
        <w:rPr>
          <w:color w:val="000000" w:themeColor="text1"/>
        </w:rPr>
      </w:pPr>
      <w:r>
        <w:rPr>
          <w:noProof/>
          <w:color w:val="000000" w:themeColor="text1"/>
        </w:rPr>
        <w:drawing>
          <wp:anchor distT="0" distB="0" distL="0" distR="0" simplePos="0" relativeHeight="20" behindDoc="0" locked="0" layoutInCell="0" allowOverlap="1">
            <wp:simplePos x="0" y="0"/>
            <wp:positionH relativeFrom="column">
              <wp:posOffset>-173355</wp:posOffset>
            </wp:positionH>
            <wp:positionV relativeFrom="paragraph">
              <wp:posOffset>1177925</wp:posOffset>
            </wp:positionV>
            <wp:extent cx="6474460" cy="4855845"/>
            <wp:effectExtent l="0" t="0" r="0" b="0"/>
            <wp:wrapTopAndBottom/>
            <wp:docPr id="20" name="Зображення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Зображення3"/>
                    <pic:cNvPicPr>
                      <a:picLocks noChangeAspect="1" noChangeArrowheads="1"/>
                    </pic:cNvPicPr>
                  </pic:nvPicPr>
                  <pic:blipFill>
                    <a:blip r:embed="rId21"/>
                    <a:stretch>
                      <a:fillRect/>
                    </a:stretch>
                  </pic:blipFill>
                  <pic:spPr bwMode="auto">
                    <a:xfrm>
                      <a:off x="0" y="0"/>
                      <a:ext cx="6474460" cy="4855845"/>
                    </a:xfrm>
                    <a:prstGeom prst="rect">
                      <a:avLst/>
                    </a:prstGeom>
                  </pic:spPr>
                </pic:pic>
              </a:graphicData>
            </a:graphic>
          </wp:anchor>
        </w:drawing>
      </w: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1D0C14">
      <w:pPr>
        <w:pStyle w:val="af4"/>
        <w:spacing w:line="360" w:lineRule="auto"/>
        <w:ind w:left="0" w:firstLine="709"/>
        <w:jc w:val="center"/>
        <w:rPr>
          <w:color w:val="000000" w:themeColor="text1"/>
        </w:rPr>
      </w:pPr>
    </w:p>
    <w:p w:rsidR="001D0C14" w:rsidRDefault="00E16C6E">
      <w:pPr>
        <w:pStyle w:val="af4"/>
        <w:spacing w:line="360" w:lineRule="auto"/>
        <w:ind w:left="0" w:firstLine="709"/>
        <w:jc w:val="center"/>
        <w:rPr>
          <w:color w:val="000000" w:themeColor="text1"/>
        </w:rPr>
      </w:pPr>
      <w:r>
        <w:rPr>
          <w:noProof/>
          <w:color w:val="000000" w:themeColor="text1"/>
        </w:rPr>
        <w:lastRenderedPageBreak/>
        <w:drawing>
          <wp:anchor distT="0" distB="0" distL="0" distR="0" simplePos="0" relativeHeight="21" behindDoc="0" locked="0" layoutInCell="0" allowOverlap="1">
            <wp:simplePos x="0" y="0"/>
            <wp:positionH relativeFrom="column">
              <wp:posOffset>635</wp:posOffset>
            </wp:positionH>
            <wp:positionV relativeFrom="paragraph">
              <wp:posOffset>635</wp:posOffset>
            </wp:positionV>
            <wp:extent cx="6474460" cy="8362950"/>
            <wp:effectExtent l="0" t="0" r="0" b="0"/>
            <wp:wrapTopAndBottom/>
            <wp:docPr id="21" name="Зображення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Зображення4"/>
                    <pic:cNvPicPr>
                      <a:picLocks noChangeAspect="1" noChangeArrowheads="1"/>
                    </pic:cNvPicPr>
                  </pic:nvPicPr>
                  <pic:blipFill>
                    <a:blip r:embed="rId22"/>
                    <a:stretch>
                      <a:fillRect/>
                    </a:stretch>
                  </pic:blipFill>
                  <pic:spPr bwMode="auto">
                    <a:xfrm>
                      <a:off x="0" y="0"/>
                      <a:ext cx="6474460" cy="8362950"/>
                    </a:xfrm>
                    <a:prstGeom prst="rect">
                      <a:avLst/>
                    </a:prstGeom>
                  </pic:spPr>
                </pic:pic>
              </a:graphicData>
            </a:graphic>
          </wp:anchor>
        </w:drawing>
      </w:r>
    </w:p>
    <w:p w:rsidR="001D0C14" w:rsidRDefault="001D0C14">
      <w:pPr>
        <w:pStyle w:val="af4"/>
        <w:spacing w:line="360" w:lineRule="auto"/>
        <w:ind w:left="0" w:firstLine="709"/>
        <w:jc w:val="center"/>
        <w:rPr>
          <w:color w:val="000000" w:themeColor="text1"/>
        </w:rPr>
      </w:pPr>
    </w:p>
    <w:p w:rsidR="001D0C14" w:rsidRDefault="00E16C6E">
      <w:pPr>
        <w:pStyle w:val="af4"/>
        <w:spacing w:line="360" w:lineRule="auto"/>
        <w:ind w:left="0" w:firstLine="709"/>
        <w:jc w:val="center"/>
        <w:rPr>
          <w:color w:val="000000" w:themeColor="text1"/>
        </w:rPr>
      </w:pPr>
      <w:r>
        <w:rPr>
          <w:noProof/>
        </w:rPr>
        <w:lastRenderedPageBreak/>
        <w:drawing>
          <wp:anchor distT="0" distB="0" distL="0" distR="0" simplePos="0" relativeHeight="22" behindDoc="0" locked="0" layoutInCell="0" allowOverlap="1">
            <wp:simplePos x="0" y="0"/>
            <wp:positionH relativeFrom="column">
              <wp:posOffset>635</wp:posOffset>
            </wp:positionH>
            <wp:positionV relativeFrom="paragraph">
              <wp:posOffset>635</wp:posOffset>
            </wp:positionV>
            <wp:extent cx="6165850" cy="9248775"/>
            <wp:effectExtent l="0" t="0" r="0" b="0"/>
            <wp:wrapTopAndBottom/>
            <wp:docPr id="22" name="Зображення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Зображення5"/>
                    <pic:cNvPicPr>
                      <a:picLocks noChangeAspect="1" noChangeArrowheads="1"/>
                    </pic:cNvPicPr>
                  </pic:nvPicPr>
                  <pic:blipFill>
                    <a:blip r:embed="rId23"/>
                    <a:stretch>
                      <a:fillRect/>
                    </a:stretch>
                  </pic:blipFill>
                  <pic:spPr bwMode="auto">
                    <a:xfrm>
                      <a:off x="0" y="0"/>
                      <a:ext cx="6165850" cy="9248775"/>
                    </a:xfrm>
                    <a:prstGeom prst="rect">
                      <a:avLst/>
                    </a:prstGeom>
                  </pic:spPr>
                </pic:pic>
              </a:graphicData>
            </a:graphic>
          </wp:anchor>
        </w:drawing>
      </w:r>
    </w:p>
    <w:sectPr w:rsidR="001D0C14">
      <w:headerReference w:type="default" r:id="rId24"/>
      <w:pgSz w:w="11906" w:h="16838"/>
      <w:pgMar w:top="1134" w:right="567" w:bottom="1134" w:left="1134" w:header="709" w:footer="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961AA" w:rsidRDefault="009961AA">
      <w:pPr>
        <w:spacing w:after="0" w:line="240" w:lineRule="auto"/>
      </w:pPr>
      <w:r>
        <w:separator/>
      </w:r>
    </w:p>
  </w:endnote>
  <w:endnote w:type="continuationSeparator" w:id="0">
    <w:p w:rsidR="009961AA" w:rsidRDefault="009961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961AA" w:rsidRDefault="009961AA">
      <w:pPr>
        <w:spacing w:after="0" w:line="240" w:lineRule="auto"/>
      </w:pPr>
      <w:r>
        <w:separator/>
      </w:r>
    </w:p>
  </w:footnote>
  <w:footnote w:type="continuationSeparator" w:id="0">
    <w:p w:rsidR="009961AA" w:rsidRDefault="009961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577485"/>
      <w:docPartObj>
        <w:docPartGallery w:val="Page Numbers (Top of Page)"/>
        <w:docPartUnique/>
      </w:docPartObj>
    </w:sdtPr>
    <w:sdtEndPr/>
    <w:sdtContent>
      <w:p w:rsidR="001D0C14" w:rsidRDefault="00E16C6E">
        <w:pPr>
          <w:pStyle w:val="afa"/>
          <w:jc w:val="right"/>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7738963"/>
      <w:docPartObj>
        <w:docPartGallery w:val="Page Numbers (Top of Page)"/>
        <w:docPartUnique/>
      </w:docPartObj>
    </w:sdtPr>
    <w:sdtEndPr/>
    <w:sdtContent>
      <w:p w:rsidR="001D0C14" w:rsidRDefault="00E16C6E">
        <w:pPr>
          <w:pStyle w:val="afa"/>
          <w:jc w:val="right"/>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w:instrText>
        </w:r>
        <w:r>
          <w:rPr>
            <w:rFonts w:ascii="Times New Roman" w:hAnsi="Times New Roman" w:cs="Times New Roman"/>
            <w:sz w:val="24"/>
            <w:szCs w:val="24"/>
          </w:rPr>
          <w:fldChar w:fldCharType="separate"/>
        </w:r>
        <w:r>
          <w:rPr>
            <w:rFonts w:ascii="Times New Roman" w:hAnsi="Times New Roman" w:cs="Times New Roman"/>
            <w:sz w:val="24"/>
            <w:szCs w:val="24"/>
          </w:rPr>
          <w:t>82</w:t>
        </w:r>
        <w:r>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766AD"/>
    <w:multiLevelType w:val="multilevel"/>
    <w:tmpl w:val="9D7E8DA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26041D0E"/>
    <w:multiLevelType w:val="multilevel"/>
    <w:tmpl w:val="8EE2FB70"/>
    <w:lvl w:ilvl="0">
      <w:start w:val="1"/>
      <w:numFmt w:val="bullet"/>
      <w:lvlText w:val=""/>
      <w:lvlJc w:val="left"/>
      <w:pPr>
        <w:tabs>
          <w:tab w:val="num" w:pos="720"/>
        </w:tabs>
        <w:ind w:left="720" w:hanging="360"/>
      </w:pPr>
      <w:rPr>
        <w:rFonts w:ascii="Symbol" w:hAnsi="Symbol" w:cs="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63216DE"/>
    <w:multiLevelType w:val="multilevel"/>
    <w:tmpl w:val="FF3640EC"/>
    <w:lvl w:ilvl="0">
      <w:start w:val="1"/>
      <w:numFmt w:val="bullet"/>
      <w:lvlText w:val=""/>
      <w:lvlJc w:val="left"/>
      <w:pPr>
        <w:tabs>
          <w:tab w:val="num" w:pos="720"/>
        </w:tabs>
        <w:ind w:left="720" w:hanging="360"/>
      </w:pPr>
      <w:rPr>
        <w:rFonts w:ascii="Symbol" w:hAnsi="Symbol" w:cs="Symbol" w:hint="default"/>
        <w:sz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15:restartNumberingAfterBreak="0">
    <w:nsid w:val="40BC3DAC"/>
    <w:multiLevelType w:val="multilevel"/>
    <w:tmpl w:val="4F0AAD2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
      <w:lvlJc w:val="left"/>
      <w:pPr>
        <w:tabs>
          <w:tab w:val="num" w:pos="1440"/>
        </w:tabs>
        <w:ind w:left="1440" w:hanging="360"/>
      </w:pPr>
      <w:rPr>
        <w:rFonts w:ascii="Symbol" w:hAnsi="Symbol" w:cs="Symbol" w:hint="default"/>
        <w:sz w:val="20"/>
      </w:r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abstractNum w:abstractNumId="4" w15:restartNumberingAfterBreak="0">
    <w:nsid w:val="596F3793"/>
    <w:multiLevelType w:val="multilevel"/>
    <w:tmpl w:val="97BA3384"/>
    <w:lvl w:ilvl="0">
      <w:start w:val="1"/>
      <w:numFmt w:val="decimal"/>
      <w:lvlText w:val="%1."/>
      <w:lvlJc w:val="left"/>
      <w:pPr>
        <w:tabs>
          <w:tab w:val="num" w:pos="0"/>
        </w:tabs>
        <w:ind w:left="222" w:hanging="708"/>
      </w:pPr>
      <w:rPr>
        <w:rFonts w:ascii="Times New Roman" w:eastAsia="Times New Roman" w:hAnsi="Times New Roman" w:cs="Times New Roman"/>
        <w:b w:val="0"/>
        <w:bCs w:val="0"/>
        <w:i w:val="0"/>
        <w:iCs w:val="0"/>
        <w:spacing w:val="0"/>
        <w:w w:val="100"/>
        <w:sz w:val="28"/>
        <w:szCs w:val="28"/>
        <w:lang w:val="uk-UA" w:eastAsia="en-US" w:bidi="ar-SA"/>
      </w:rPr>
    </w:lvl>
    <w:lvl w:ilvl="1">
      <w:numFmt w:val="bullet"/>
      <w:lvlText w:val=""/>
      <w:lvlJc w:val="left"/>
      <w:pPr>
        <w:tabs>
          <w:tab w:val="num" w:pos="0"/>
        </w:tabs>
        <w:ind w:left="1170" w:hanging="708"/>
      </w:pPr>
      <w:rPr>
        <w:rFonts w:ascii="Symbol" w:hAnsi="Symbol" w:cs="Symbol" w:hint="default"/>
        <w:lang w:val="uk-UA" w:eastAsia="en-US" w:bidi="ar-SA"/>
      </w:rPr>
    </w:lvl>
    <w:lvl w:ilvl="2">
      <w:numFmt w:val="bullet"/>
      <w:lvlText w:val=""/>
      <w:lvlJc w:val="left"/>
      <w:pPr>
        <w:tabs>
          <w:tab w:val="num" w:pos="0"/>
        </w:tabs>
        <w:ind w:left="2121" w:hanging="708"/>
      </w:pPr>
      <w:rPr>
        <w:rFonts w:ascii="Symbol" w:hAnsi="Symbol" w:cs="Symbol" w:hint="default"/>
        <w:lang w:val="uk-UA" w:eastAsia="en-US" w:bidi="ar-SA"/>
      </w:rPr>
    </w:lvl>
    <w:lvl w:ilvl="3">
      <w:numFmt w:val="bullet"/>
      <w:lvlText w:val=""/>
      <w:lvlJc w:val="left"/>
      <w:pPr>
        <w:tabs>
          <w:tab w:val="num" w:pos="0"/>
        </w:tabs>
        <w:ind w:left="3071" w:hanging="708"/>
      </w:pPr>
      <w:rPr>
        <w:rFonts w:ascii="Symbol" w:hAnsi="Symbol" w:cs="Symbol" w:hint="default"/>
        <w:lang w:val="uk-UA" w:eastAsia="en-US" w:bidi="ar-SA"/>
      </w:rPr>
    </w:lvl>
    <w:lvl w:ilvl="4">
      <w:numFmt w:val="bullet"/>
      <w:lvlText w:val=""/>
      <w:lvlJc w:val="left"/>
      <w:pPr>
        <w:tabs>
          <w:tab w:val="num" w:pos="0"/>
        </w:tabs>
        <w:ind w:left="4022" w:hanging="708"/>
      </w:pPr>
      <w:rPr>
        <w:rFonts w:ascii="Symbol" w:hAnsi="Symbol" w:cs="Symbol" w:hint="default"/>
        <w:lang w:val="uk-UA" w:eastAsia="en-US" w:bidi="ar-SA"/>
      </w:rPr>
    </w:lvl>
    <w:lvl w:ilvl="5">
      <w:numFmt w:val="bullet"/>
      <w:lvlText w:val=""/>
      <w:lvlJc w:val="left"/>
      <w:pPr>
        <w:tabs>
          <w:tab w:val="num" w:pos="0"/>
        </w:tabs>
        <w:ind w:left="4973" w:hanging="708"/>
      </w:pPr>
      <w:rPr>
        <w:rFonts w:ascii="Symbol" w:hAnsi="Symbol" w:cs="Symbol" w:hint="default"/>
        <w:lang w:val="uk-UA" w:eastAsia="en-US" w:bidi="ar-SA"/>
      </w:rPr>
    </w:lvl>
    <w:lvl w:ilvl="6">
      <w:numFmt w:val="bullet"/>
      <w:lvlText w:val=""/>
      <w:lvlJc w:val="left"/>
      <w:pPr>
        <w:tabs>
          <w:tab w:val="num" w:pos="0"/>
        </w:tabs>
        <w:ind w:left="5923" w:hanging="708"/>
      </w:pPr>
      <w:rPr>
        <w:rFonts w:ascii="Symbol" w:hAnsi="Symbol" w:cs="Symbol" w:hint="default"/>
        <w:lang w:val="uk-UA" w:eastAsia="en-US" w:bidi="ar-SA"/>
      </w:rPr>
    </w:lvl>
    <w:lvl w:ilvl="7">
      <w:numFmt w:val="bullet"/>
      <w:lvlText w:val=""/>
      <w:lvlJc w:val="left"/>
      <w:pPr>
        <w:tabs>
          <w:tab w:val="num" w:pos="0"/>
        </w:tabs>
        <w:ind w:left="6874" w:hanging="708"/>
      </w:pPr>
      <w:rPr>
        <w:rFonts w:ascii="Symbol" w:hAnsi="Symbol" w:cs="Symbol" w:hint="default"/>
        <w:lang w:val="uk-UA" w:eastAsia="en-US" w:bidi="ar-SA"/>
      </w:rPr>
    </w:lvl>
    <w:lvl w:ilvl="8">
      <w:numFmt w:val="bullet"/>
      <w:lvlText w:val=""/>
      <w:lvlJc w:val="left"/>
      <w:pPr>
        <w:tabs>
          <w:tab w:val="num" w:pos="0"/>
        </w:tabs>
        <w:ind w:left="7825" w:hanging="708"/>
      </w:pPr>
      <w:rPr>
        <w:rFonts w:ascii="Symbol" w:hAnsi="Symbol" w:cs="Symbol" w:hint="default"/>
        <w:lang w:val="uk-UA" w:eastAsia="en-US" w:bidi="ar-SA"/>
      </w:rPr>
    </w:lvl>
  </w:abstractNum>
  <w:abstractNum w:abstractNumId="5" w15:restartNumberingAfterBreak="0">
    <w:nsid w:val="6A6336EC"/>
    <w:multiLevelType w:val="multilevel"/>
    <w:tmpl w:val="717AE24E"/>
    <w:lvl w:ilvl="0">
      <w:start w:val="1"/>
      <w:numFmt w:val="decimal"/>
      <w:lvlText w:val="%1."/>
      <w:lvlJc w:val="left"/>
      <w:pPr>
        <w:tabs>
          <w:tab w:val="num" w:pos="720"/>
        </w:tabs>
        <w:ind w:left="720" w:hanging="360"/>
      </w:pPr>
      <w:rPr>
        <w:color w:val="000000" w:themeColor="text1"/>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6FEE59E1"/>
    <w:multiLevelType w:val="multilevel"/>
    <w:tmpl w:val="8D3480A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5"/>
  </w:num>
  <w:num w:numId="2">
    <w:abstractNumId w:val="3"/>
  </w:num>
  <w:num w:numId="3">
    <w:abstractNumId w:val="1"/>
  </w:num>
  <w:num w:numId="4">
    <w:abstractNumId w:val="4"/>
  </w:num>
  <w:num w:numId="5">
    <w:abstractNumId w:val="6"/>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0C14"/>
    <w:rsid w:val="001D0C14"/>
    <w:rsid w:val="005B551B"/>
    <w:rsid w:val="006B16CD"/>
    <w:rsid w:val="009961AA"/>
    <w:rsid w:val="00E16C6E"/>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FE01D6"/>
  <w15:docId w15:val="{8F1087DC-2040-4904-9A2E-BFDCB6476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uppressAutoHyphens/>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001798"/>
    <w:pPr>
      <w:spacing w:after="200" w:line="276" w:lineRule="auto"/>
      <w:jc w:val="both"/>
    </w:pPr>
    <w:rPr>
      <w:rFonts w:ascii="Calibri" w:eastAsiaTheme="minorEastAsia" w:hAnsi="Calibri"/>
      <w:sz w:val="20"/>
      <w:szCs w:val="20"/>
      <w:lang w:val="en-US"/>
    </w:rPr>
  </w:style>
  <w:style w:type="paragraph" w:styleId="1">
    <w:name w:val="heading 1"/>
    <w:basedOn w:val="a"/>
    <w:next w:val="a"/>
    <w:link w:val="10"/>
    <w:uiPriority w:val="9"/>
    <w:qFormat/>
    <w:rsid w:val="00DD5D3D"/>
    <w:pPr>
      <w:spacing w:before="300" w:after="40"/>
      <w:jc w:val="left"/>
      <w:outlineLvl w:val="0"/>
    </w:pPr>
    <w:rPr>
      <w:smallCaps/>
      <w:spacing w:val="5"/>
      <w:sz w:val="32"/>
      <w:szCs w:val="32"/>
    </w:rPr>
  </w:style>
  <w:style w:type="paragraph" w:styleId="2">
    <w:name w:val="heading 2"/>
    <w:basedOn w:val="a"/>
    <w:next w:val="a"/>
    <w:link w:val="20"/>
    <w:uiPriority w:val="9"/>
    <w:unhideWhenUsed/>
    <w:qFormat/>
    <w:rsid w:val="00DD5D3D"/>
    <w:pPr>
      <w:spacing w:after="0"/>
      <w:jc w:val="left"/>
      <w:outlineLvl w:val="1"/>
    </w:pPr>
    <w:rPr>
      <w:smallCaps/>
      <w:spacing w:val="5"/>
      <w:sz w:val="28"/>
      <w:szCs w:val="28"/>
    </w:rPr>
  </w:style>
  <w:style w:type="paragraph" w:styleId="3">
    <w:name w:val="heading 3"/>
    <w:basedOn w:val="a"/>
    <w:next w:val="a"/>
    <w:link w:val="30"/>
    <w:uiPriority w:val="9"/>
    <w:unhideWhenUsed/>
    <w:qFormat/>
    <w:rsid w:val="00DD5D3D"/>
    <w:pPr>
      <w:spacing w:after="0"/>
      <w:jc w:val="left"/>
      <w:outlineLvl w:val="2"/>
    </w:pPr>
    <w:rPr>
      <w:smallCaps/>
      <w:spacing w:val="5"/>
      <w:sz w:val="24"/>
      <w:szCs w:val="24"/>
    </w:rPr>
  </w:style>
  <w:style w:type="paragraph" w:styleId="4">
    <w:name w:val="heading 4"/>
    <w:basedOn w:val="a"/>
    <w:next w:val="a"/>
    <w:link w:val="40"/>
    <w:uiPriority w:val="9"/>
    <w:semiHidden/>
    <w:unhideWhenUsed/>
    <w:qFormat/>
    <w:rsid w:val="00DD5D3D"/>
    <w:pPr>
      <w:spacing w:after="0"/>
      <w:jc w:val="left"/>
      <w:outlineLvl w:val="3"/>
    </w:pPr>
    <w:rPr>
      <w:i/>
      <w:iCs/>
      <w:smallCaps/>
      <w:spacing w:val="10"/>
      <w:sz w:val="22"/>
      <w:szCs w:val="22"/>
    </w:rPr>
  </w:style>
  <w:style w:type="paragraph" w:styleId="5">
    <w:name w:val="heading 5"/>
    <w:basedOn w:val="a"/>
    <w:next w:val="a"/>
    <w:link w:val="50"/>
    <w:uiPriority w:val="9"/>
    <w:semiHidden/>
    <w:unhideWhenUsed/>
    <w:qFormat/>
    <w:rsid w:val="00DD5D3D"/>
    <w:pPr>
      <w:spacing w:after="0"/>
      <w:jc w:val="left"/>
      <w:outlineLvl w:val="4"/>
    </w:pPr>
    <w:rPr>
      <w:smallCaps/>
      <w:color w:val="538135" w:themeColor="accent6" w:themeShade="BF"/>
      <w:spacing w:val="10"/>
      <w:sz w:val="22"/>
      <w:szCs w:val="22"/>
    </w:rPr>
  </w:style>
  <w:style w:type="paragraph" w:styleId="6">
    <w:name w:val="heading 6"/>
    <w:basedOn w:val="a"/>
    <w:next w:val="a"/>
    <w:link w:val="60"/>
    <w:uiPriority w:val="9"/>
    <w:semiHidden/>
    <w:unhideWhenUsed/>
    <w:qFormat/>
    <w:rsid w:val="00DD5D3D"/>
    <w:pPr>
      <w:spacing w:after="0"/>
      <w:jc w:val="left"/>
      <w:outlineLvl w:val="5"/>
    </w:pPr>
    <w:rPr>
      <w:smallCaps/>
      <w:color w:val="70AD47" w:themeColor="accent6"/>
      <w:spacing w:val="5"/>
      <w:sz w:val="22"/>
      <w:szCs w:val="22"/>
    </w:rPr>
  </w:style>
  <w:style w:type="paragraph" w:styleId="7">
    <w:name w:val="heading 7"/>
    <w:basedOn w:val="a"/>
    <w:next w:val="a"/>
    <w:link w:val="70"/>
    <w:uiPriority w:val="9"/>
    <w:semiHidden/>
    <w:unhideWhenUsed/>
    <w:qFormat/>
    <w:rsid w:val="00DD5D3D"/>
    <w:pPr>
      <w:spacing w:after="0"/>
      <w:jc w:val="left"/>
      <w:outlineLvl w:val="6"/>
    </w:pPr>
    <w:rPr>
      <w:b/>
      <w:bCs/>
      <w:smallCaps/>
      <w:color w:val="70AD47" w:themeColor="accent6"/>
      <w:spacing w:val="10"/>
    </w:rPr>
  </w:style>
  <w:style w:type="paragraph" w:styleId="8">
    <w:name w:val="heading 8"/>
    <w:basedOn w:val="a"/>
    <w:next w:val="a"/>
    <w:link w:val="80"/>
    <w:uiPriority w:val="9"/>
    <w:semiHidden/>
    <w:unhideWhenUsed/>
    <w:qFormat/>
    <w:rsid w:val="00DD5D3D"/>
    <w:pPr>
      <w:spacing w:after="0"/>
      <w:jc w:val="left"/>
      <w:outlineLvl w:val="7"/>
    </w:pPr>
    <w:rPr>
      <w:b/>
      <w:bCs/>
      <w:i/>
      <w:iCs/>
      <w:smallCaps/>
      <w:color w:val="538135" w:themeColor="accent6" w:themeShade="BF"/>
    </w:rPr>
  </w:style>
  <w:style w:type="paragraph" w:styleId="9">
    <w:name w:val="heading 9"/>
    <w:basedOn w:val="a"/>
    <w:next w:val="a"/>
    <w:link w:val="90"/>
    <w:uiPriority w:val="9"/>
    <w:semiHidden/>
    <w:unhideWhenUsed/>
    <w:qFormat/>
    <w:rsid w:val="00DD5D3D"/>
    <w:pPr>
      <w:spacing w:after="0"/>
      <w:jc w:val="left"/>
      <w:outlineLvl w:val="8"/>
    </w:pPr>
    <w:rPr>
      <w:b/>
      <w:bCs/>
      <w:i/>
      <w:iCs/>
      <w:smallCaps/>
      <w:color w:val="385623" w:themeColor="accent6" w:themeShade="8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DD5D3D"/>
    <w:rPr>
      <w:rFonts w:eastAsiaTheme="minorEastAsia"/>
      <w:smallCaps/>
      <w:spacing w:val="5"/>
      <w:sz w:val="32"/>
      <w:szCs w:val="32"/>
      <w:lang w:val="en-US"/>
    </w:rPr>
  </w:style>
  <w:style w:type="character" w:customStyle="1" w:styleId="20">
    <w:name w:val="Заголовок 2 Знак"/>
    <w:basedOn w:val="a0"/>
    <w:link w:val="2"/>
    <w:uiPriority w:val="1"/>
    <w:qFormat/>
    <w:rsid w:val="00DD5D3D"/>
    <w:rPr>
      <w:rFonts w:eastAsiaTheme="minorEastAsia"/>
      <w:smallCaps/>
      <w:spacing w:val="5"/>
      <w:sz w:val="28"/>
      <w:szCs w:val="28"/>
      <w:lang w:val="en-US"/>
    </w:rPr>
  </w:style>
  <w:style w:type="character" w:customStyle="1" w:styleId="30">
    <w:name w:val="Заголовок 3 Знак"/>
    <w:basedOn w:val="a0"/>
    <w:link w:val="3"/>
    <w:uiPriority w:val="9"/>
    <w:qFormat/>
    <w:rsid w:val="00DD5D3D"/>
    <w:rPr>
      <w:rFonts w:eastAsiaTheme="minorEastAsia"/>
      <w:smallCaps/>
      <w:spacing w:val="5"/>
      <w:sz w:val="24"/>
      <w:szCs w:val="24"/>
      <w:lang w:val="en-US"/>
    </w:rPr>
  </w:style>
  <w:style w:type="character" w:customStyle="1" w:styleId="40">
    <w:name w:val="Заголовок 4 Знак"/>
    <w:basedOn w:val="a0"/>
    <w:link w:val="4"/>
    <w:uiPriority w:val="9"/>
    <w:semiHidden/>
    <w:qFormat/>
    <w:rsid w:val="00DD5D3D"/>
    <w:rPr>
      <w:rFonts w:eastAsiaTheme="minorEastAsia"/>
      <w:i/>
      <w:iCs/>
      <w:smallCaps/>
      <w:spacing w:val="10"/>
      <w:lang w:val="en-US"/>
    </w:rPr>
  </w:style>
  <w:style w:type="character" w:customStyle="1" w:styleId="50">
    <w:name w:val="Заголовок 5 Знак"/>
    <w:basedOn w:val="a0"/>
    <w:link w:val="5"/>
    <w:uiPriority w:val="9"/>
    <w:semiHidden/>
    <w:qFormat/>
    <w:rsid w:val="00DD5D3D"/>
    <w:rPr>
      <w:rFonts w:eastAsiaTheme="minorEastAsia"/>
      <w:smallCaps/>
      <w:color w:val="538135" w:themeColor="accent6" w:themeShade="BF"/>
      <w:spacing w:val="10"/>
      <w:lang w:val="en-US"/>
    </w:rPr>
  </w:style>
  <w:style w:type="character" w:customStyle="1" w:styleId="60">
    <w:name w:val="Заголовок 6 Знак"/>
    <w:basedOn w:val="a0"/>
    <w:link w:val="6"/>
    <w:uiPriority w:val="9"/>
    <w:semiHidden/>
    <w:qFormat/>
    <w:rsid w:val="00DD5D3D"/>
    <w:rPr>
      <w:rFonts w:eastAsiaTheme="minorEastAsia"/>
      <w:smallCaps/>
      <w:color w:val="70AD47" w:themeColor="accent6"/>
      <w:spacing w:val="5"/>
      <w:lang w:val="en-US"/>
    </w:rPr>
  </w:style>
  <w:style w:type="character" w:customStyle="1" w:styleId="70">
    <w:name w:val="Заголовок 7 Знак"/>
    <w:basedOn w:val="a0"/>
    <w:link w:val="7"/>
    <w:uiPriority w:val="9"/>
    <w:semiHidden/>
    <w:qFormat/>
    <w:rsid w:val="00DD5D3D"/>
    <w:rPr>
      <w:rFonts w:eastAsiaTheme="minorEastAsia"/>
      <w:b/>
      <w:bCs/>
      <w:smallCaps/>
      <w:color w:val="70AD47" w:themeColor="accent6"/>
      <w:spacing w:val="10"/>
      <w:sz w:val="20"/>
      <w:szCs w:val="20"/>
      <w:lang w:val="en-US"/>
    </w:rPr>
  </w:style>
  <w:style w:type="character" w:customStyle="1" w:styleId="80">
    <w:name w:val="Заголовок 8 Знак"/>
    <w:basedOn w:val="a0"/>
    <w:link w:val="8"/>
    <w:uiPriority w:val="9"/>
    <w:semiHidden/>
    <w:qFormat/>
    <w:rsid w:val="00DD5D3D"/>
    <w:rPr>
      <w:rFonts w:eastAsiaTheme="minorEastAsia"/>
      <w:b/>
      <w:bCs/>
      <w:i/>
      <w:iCs/>
      <w:smallCaps/>
      <w:color w:val="538135" w:themeColor="accent6" w:themeShade="BF"/>
      <w:sz w:val="20"/>
      <w:szCs w:val="20"/>
      <w:lang w:val="en-US"/>
    </w:rPr>
  </w:style>
  <w:style w:type="character" w:customStyle="1" w:styleId="90">
    <w:name w:val="Заголовок 9 Знак"/>
    <w:basedOn w:val="a0"/>
    <w:link w:val="9"/>
    <w:uiPriority w:val="9"/>
    <w:semiHidden/>
    <w:qFormat/>
    <w:rsid w:val="00DD5D3D"/>
    <w:rPr>
      <w:rFonts w:eastAsiaTheme="minorEastAsia"/>
      <w:b/>
      <w:bCs/>
      <w:i/>
      <w:iCs/>
      <w:smallCaps/>
      <w:color w:val="385623" w:themeColor="accent6" w:themeShade="80"/>
      <w:sz w:val="20"/>
      <w:szCs w:val="20"/>
      <w:lang w:val="en-US"/>
    </w:rPr>
  </w:style>
  <w:style w:type="character" w:customStyle="1" w:styleId="a3">
    <w:name w:val="Верхній колонтитул Знак"/>
    <w:basedOn w:val="a0"/>
    <w:uiPriority w:val="99"/>
    <w:qFormat/>
    <w:rsid w:val="00DD5D3D"/>
    <w:rPr>
      <w:rFonts w:eastAsiaTheme="minorEastAsia"/>
      <w:sz w:val="20"/>
      <w:szCs w:val="20"/>
      <w:lang w:val="en-US"/>
    </w:rPr>
  </w:style>
  <w:style w:type="character" w:customStyle="1" w:styleId="a4">
    <w:name w:val="Нижній колонтитул Знак"/>
    <w:basedOn w:val="a0"/>
    <w:uiPriority w:val="99"/>
    <w:qFormat/>
    <w:rsid w:val="00DD5D3D"/>
    <w:rPr>
      <w:rFonts w:eastAsiaTheme="minorEastAsia"/>
      <w:sz w:val="20"/>
      <w:szCs w:val="20"/>
      <w:lang w:val="en-US"/>
    </w:rPr>
  </w:style>
  <w:style w:type="character" w:styleId="a5">
    <w:name w:val="Hyperlink"/>
    <w:basedOn w:val="a0"/>
    <w:uiPriority w:val="99"/>
    <w:unhideWhenUsed/>
    <w:rsid w:val="00DD5D3D"/>
    <w:rPr>
      <w:color w:val="0563C1" w:themeColor="hyperlink"/>
      <w:u w:val="single"/>
    </w:rPr>
  </w:style>
  <w:style w:type="character" w:customStyle="1" w:styleId="a6">
    <w:name w:val="Основний текст Знак"/>
    <w:basedOn w:val="a0"/>
    <w:uiPriority w:val="99"/>
    <w:qFormat/>
    <w:rsid w:val="00DD5D3D"/>
    <w:rPr>
      <w:rFonts w:ascii="Times New Roman" w:eastAsia="Times New Roman" w:hAnsi="Times New Roman" w:cs="Times New Roman"/>
      <w:sz w:val="28"/>
      <w:szCs w:val="28"/>
    </w:rPr>
  </w:style>
  <w:style w:type="character" w:customStyle="1" w:styleId="a7">
    <w:name w:val="Назва Знак"/>
    <w:basedOn w:val="a0"/>
    <w:uiPriority w:val="1"/>
    <w:qFormat/>
    <w:rsid w:val="00DD5D3D"/>
    <w:rPr>
      <w:rFonts w:eastAsiaTheme="minorEastAsia"/>
      <w:smallCaps/>
      <w:color w:val="262626" w:themeColor="text1" w:themeTint="D9"/>
      <w:sz w:val="52"/>
      <w:szCs w:val="52"/>
      <w:lang w:val="en-US"/>
    </w:rPr>
  </w:style>
  <w:style w:type="character" w:customStyle="1" w:styleId="a8">
    <w:name w:val="Підзаголовок Знак"/>
    <w:basedOn w:val="a0"/>
    <w:uiPriority w:val="11"/>
    <w:qFormat/>
    <w:rsid w:val="00DD5D3D"/>
    <w:rPr>
      <w:rFonts w:asciiTheme="majorHAnsi" w:eastAsiaTheme="majorEastAsia" w:hAnsiTheme="majorHAnsi" w:cstheme="majorBidi"/>
      <w:sz w:val="20"/>
      <w:szCs w:val="20"/>
      <w:lang w:val="en-US"/>
    </w:rPr>
  </w:style>
  <w:style w:type="character" w:styleId="a9">
    <w:name w:val="Strong"/>
    <w:uiPriority w:val="22"/>
    <w:qFormat/>
    <w:rsid w:val="00DD5D3D"/>
    <w:rPr>
      <w:b/>
      <w:bCs/>
      <w:color w:val="70AD47" w:themeColor="accent6"/>
    </w:rPr>
  </w:style>
  <w:style w:type="character" w:styleId="aa">
    <w:name w:val="Emphasis"/>
    <w:uiPriority w:val="20"/>
    <w:qFormat/>
    <w:rsid w:val="00DD5D3D"/>
    <w:rPr>
      <w:b/>
      <w:bCs/>
      <w:i/>
      <w:iCs/>
      <w:spacing w:val="10"/>
    </w:rPr>
  </w:style>
  <w:style w:type="character" w:customStyle="1" w:styleId="ab">
    <w:name w:val="Цитата Знак"/>
    <w:basedOn w:val="a0"/>
    <w:uiPriority w:val="29"/>
    <w:qFormat/>
    <w:rsid w:val="00DD5D3D"/>
    <w:rPr>
      <w:rFonts w:eastAsiaTheme="minorEastAsia"/>
      <w:i/>
      <w:iCs/>
      <w:sz w:val="20"/>
      <w:szCs w:val="20"/>
      <w:lang w:val="en-US"/>
    </w:rPr>
  </w:style>
  <w:style w:type="character" w:customStyle="1" w:styleId="ac">
    <w:name w:val="Насичена цитата Знак"/>
    <w:basedOn w:val="a0"/>
    <w:uiPriority w:val="30"/>
    <w:qFormat/>
    <w:rsid w:val="00DD5D3D"/>
    <w:rPr>
      <w:rFonts w:eastAsiaTheme="minorEastAsia"/>
      <w:b/>
      <w:bCs/>
      <w:i/>
      <w:iCs/>
      <w:sz w:val="20"/>
      <w:szCs w:val="20"/>
      <w:lang w:val="en-US"/>
    </w:rPr>
  </w:style>
  <w:style w:type="character" w:styleId="ad">
    <w:name w:val="Subtle Emphasis"/>
    <w:uiPriority w:val="19"/>
    <w:qFormat/>
    <w:rsid w:val="00DD5D3D"/>
    <w:rPr>
      <w:i/>
      <w:iCs/>
    </w:rPr>
  </w:style>
  <w:style w:type="character" w:styleId="ae">
    <w:name w:val="Intense Emphasis"/>
    <w:uiPriority w:val="21"/>
    <w:qFormat/>
    <w:rsid w:val="00DD5D3D"/>
    <w:rPr>
      <w:b/>
      <w:bCs/>
      <w:i/>
      <w:iCs/>
      <w:color w:val="70AD47" w:themeColor="accent6"/>
      <w:spacing w:val="10"/>
    </w:rPr>
  </w:style>
  <w:style w:type="character" w:styleId="af">
    <w:name w:val="Subtle Reference"/>
    <w:uiPriority w:val="31"/>
    <w:qFormat/>
    <w:rsid w:val="00DD5D3D"/>
    <w:rPr>
      <w:b/>
      <w:bCs/>
    </w:rPr>
  </w:style>
  <w:style w:type="character" w:styleId="af0">
    <w:name w:val="Intense Reference"/>
    <w:uiPriority w:val="32"/>
    <w:qFormat/>
    <w:rsid w:val="00DD5D3D"/>
    <w:rPr>
      <w:b/>
      <w:bCs/>
      <w:smallCaps/>
      <w:spacing w:val="5"/>
      <w:sz w:val="22"/>
      <w:szCs w:val="22"/>
      <w:u w:val="single"/>
    </w:rPr>
  </w:style>
  <w:style w:type="character" w:styleId="af1">
    <w:name w:val="Book Title"/>
    <w:uiPriority w:val="33"/>
    <w:qFormat/>
    <w:rsid w:val="00DD5D3D"/>
    <w:rPr>
      <w:rFonts w:asciiTheme="majorHAnsi" w:eastAsiaTheme="majorEastAsia" w:hAnsiTheme="majorHAnsi" w:cstheme="majorBidi"/>
      <w:i/>
      <w:iCs/>
      <w:sz w:val="20"/>
      <w:szCs w:val="20"/>
    </w:rPr>
  </w:style>
  <w:style w:type="character" w:customStyle="1" w:styleId="11">
    <w:name w:val="Незакрита згадка1"/>
    <w:basedOn w:val="a0"/>
    <w:uiPriority w:val="99"/>
    <w:semiHidden/>
    <w:unhideWhenUsed/>
    <w:qFormat/>
    <w:rsid w:val="00DD5D3D"/>
    <w:rPr>
      <w:color w:val="605E5C"/>
      <w:shd w:val="clear" w:color="auto" w:fill="E1DFDD"/>
    </w:rPr>
  </w:style>
  <w:style w:type="character" w:customStyle="1" w:styleId="af2">
    <w:name w:val="Відвідане гіперпосилання"/>
    <w:basedOn w:val="a0"/>
    <w:uiPriority w:val="99"/>
    <w:semiHidden/>
    <w:unhideWhenUsed/>
    <w:rsid w:val="00DD5D3D"/>
    <w:rPr>
      <w:color w:val="954F72" w:themeColor="followedHyperlink"/>
      <w:u w:val="single"/>
    </w:rPr>
  </w:style>
  <w:style w:type="paragraph" w:customStyle="1" w:styleId="af3">
    <w:name w:val="Заголовок"/>
    <w:basedOn w:val="a"/>
    <w:next w:val="af4"/>
    <w:qFormat/>
    <w:pPr>
      <w:keepNext/>
      <w:spacing w:before="240" w:after="120"/>
    </w:pPr>
    <w:rPr>
      <w:rFonts w:ascii="Liberation Sans" w:eastAsia="Microsoft YaHei" w:hAnsi="Liberation Sans" w:cs="Arial"/>
      <w:sz w:val="28"/>
      <w:szCs w:val="28"/>
    </w:rPr>
  </w:style>
  <w:style w:type="paragraph" w:styleId="af4">
    <w:name w:val="Body Text"/>
    <w:basedOn w:val="a"/>
    <w:uiPriority w:val="99"/>
    <w:qFormat/>
    <w:rsid w:val="00DD5D3D"/>
    <w:pPr>
      <w:widowControl w:val="0"/>
      <w:spacing w:after="0" w:line="240" w:lineRule="auto"/>
      <w:ind w:left="959"/>
    </w:pPr>
    <w:rPr>
      <w:rFonts w:ascii="Times New Roman" w:eastAsia="Times New Roman" w:hAnsi="Times New Roman" w:cs="Times New Roman"/>
      <w:sz w:val="28"/>
      <w:szCs w:val="28"/>
      <w:lang w:val="uk-UA"/>
    </w:rPr>
  </w:style>
  <w:style w:type="paragraph" w:styleId="af5">
    <w:name w:val="List"/>
    <w:basedOn w:val="af4"/>
    <w:rPr>
      <w:rFonts w:cs="Arial"/>
    </w:rPr>
  </w:style>
  <w:style w:type="paragraph" w:styleId="af6">
    <w:name w:val="caption"/>
    <w:basedOn w:val="a"/>
    <w:next w:val="a"/>
    <w:uiPriority w:val="35"/>
    <w:semiHidden/>
    <w:unhideWhenUsed/>
    <w:qFormat/>
    <w:rsid w:val="00DD5D3D"/>
    <w:rPr>
      <w:b/>
      <w:bCs/>
      <w:caps/>
      <w:sz w:val="16"/>
      <w:szCs w:val="16"/>
    </w:rPr>
  </w:style>
  <w:style w:type="paragraph" w:customStyle="1" w:styleId="af7">
    <w:name w:val="Покажчик"/>
    <w:basedOn w:val="a"/>
    <w:qFormat/>
    <w:pPr>
      <w:suppressLineNumbers/>
    </w:pPr>
    <w:rPr>
      <w:rFonts w:cs="Arial"/>
    </w:rPr>
  </w:style>
  <w:style w:type="paragraph" w:styleId="af8">
    <w:name w:val="List Paragraph"/>
    <w:basedOn w:val="a"/>
    <w:uiPriority w:val="1"/>
    <w:qFormat/>
    <w:rsid w:val="00DD5D3D"/>
    <w:pPr>
      <w:ind w:left="720"/>
      <w:contextualSpacing/>
    </w:pPr>
  </w:style>
  <w:style w:type="paragraph" w:customStyle="1" w:styleId="af9">
    <w:name w:val="Верхній і нижній колонтитули"/>
    <w:basedOn w:val="a"/>
    <w:qFormat/>
  </w:style>
  <w:style w:type="paragraph" w:styleId="afa">
    <w:name w:val="header"/>
    <w:basedOn w:val="a"/>
    <w:uiPriority w:val="99"/>
    <w:unhideWhenUsed/>
    <w:rsid w:val="00DD5D3D"/>
    <w:pPr>
      <w:tabs>
        <w:tab w:val="center" w:pos="4844"/>
        <w:tab w:val="right" w:pos="9689"/>
      </w:tabs>
      <w:spacing w:after="0" w:line="240" w:lineRule="auto"/>
    </w:pPr>
  </w:style>
  <w:style w:type="paragraph" w:styleId="afb">
    <w:name w:val="footer"/>
    <w:basedOn w:val="a"/>
    <w:uiPriority w:val="99"/>
    <w:unhideWhenUsed/>
    <w:rsid w:val="00DD5D3D"/>
    <w:pPr>
      <w:tabs>
        <w:tab w:val="center" w:pos="4844"/>
        <w:tab w:val="right" w:pos="9689"/>
      </w:tabs>
      <w:spacing w:after="0" w:line="240" w:lineRule="auto"/>
    </w:pPr>
  </w:style>
  <w:style w:type="paragraph" w:styleId="12">
    <w:name w:val="toc 1"/>
    <w:basedOn w:val="a"/>
    <w:uiPriority w:val="1"/>
    <w:qFormat/>
    <w:rsid w:val="00DD5D3D"/>
    <w:pPr>
      <w:widowControl w:val="0"/>
      <w:spacing w:before="163" w:after="0" w:line="240" w:lineRule="auto"/>
      <w:ind w:left="959"/>
    </w:pPr>
    <w:rPr>
      <w:rFonts w:ascii="Times New Roman" w:eastAsia="Times New Roman" w:hAnsi="Times New Roman" w:cs="Times New Roman"/>
      <w:sz w:val="28"/>
      <w:szCs w:val="28"/>
      <w:lang w:val="uk-UA"/>
    </w:rPr>
  </w:style>
  <w:style w:type="paragraph" w:styleId="afc">
    <w:name w:val="Title"/>
    <w:basedOn w:val="a"/>
    <w:next w:val="a"/>
    <w:uiPriority w:val="10"/>
    <w:qFormat/>
    <w:rsid w:val="00DD5D3D"/>
    <w:pPr>
      <w:pBdr>
        <w:top w:val="single" w:sz="8" w:space="1" w:color="70AD47"/>
      </w:pBdr>
      <w:spacing w:after="120" w:line="240" w:lineRule="auto"/>
      <w:jc w:val="right"/>
    </w:pPr>
    <w:rPr>
      <w:smallCaps/>
      <w:color w:val="262626" w:themeColor="text1" w:themeTint="D9"/>
      <w:sz w:val="52"/>
      <w:szCs w:val="52"/>
    </w:rPr>
  </w:style>
  <w:style w:type="paragraph" w:customStyle="1" w:styleId="TableParagraph">
    <w:name w:val="Table Paragraph"/>
    <w:basedOn w:val="a"/>
    <w:uiPriority w:val="1"/>
    <w:qFormat/>
    <w:rsid w:val="00DD5D3D"/>
    <w:pPr>
      <w:widowControl w:val="0"/>
      <w:spacing w:after="0" w:line="240" w:lineRule="auto"/>
    </w:pPr>
    <w:rPr>
      <w:rFonts w:ascii="Times New Roman" w:eastAsia="Times New Roman" w:hAnsi="Times New Roman" w:cs="Times New Roman"/>
      <w:lang w:val="uk-UA"/>
    </w:rPr>
  </w:style>
  <w:style w:type="paragraph" w:styleId="afd">
    <w:name w:val="Normal (Web)"/>
    <w:basedOn w:val="a"/>
    <w:uiPriority w:val="99"/>
    <w:semiHidden/>
    <w:unhideWhenUsed/>
    <w:qFormat/>
    <w:rsid w:val="00DD5D3D"/>
    <w:pPr>
      <w:spacing w:beforeAutospacing="1" w:afterAutospacing="1" w:line="240" w:lineRule="auto"/>
    </w:pPr>
    <w:rPr>
      <w:rFonts w:ascii="Times New Roman" w:eastAsia="Times New Roman" w:hAnsi="Times New Roman" w:cs="Times New Roman"/>
      <w:sz w:val="24"/>
      <w:szCs w:val="24"/>
    </w:rPr>
  </w:style>
  <w:style w:type="paragraph" w:styleId="21">
    <w:name w:val="toc 2"/>
    <w:basedOn w:val="a"/>
    <w:uiPriority w:val="1"/>
    <w:qFormat/>
    <w:rsid w:val="00DD5D3D"/>
    <w:pPr>
      <w:widowControl w:val="0"/>
      <w:spacing w:before="79" w:after="0" w:line="240" w:lineRule="auto"/>
      <w:ind w:left="258" w:hanging="495"/>
    </w:pPr>
    <w:rPr>
      <w:rFonts w:ascii="Times New Roman" w:eastAsia="Times New Roman" w:hAnsi="Times New Roman" w:cs="Times New Roman"/>
      <w:sz w:val="28"/>
      <w:szCs w:val="28"/>
      <w:lang w:val="uk-UA"/>
    </w:rPr>
  </w:style>
  <w:style w:type="paragraph" w:styleId="31">
    <w:name w:val="toc 3"/>
    <w:basedOn w:val="a"/>
    <w:uiPriority w:val="1"/>
    <w:qFormat/>
    <w:rsid w:val="00DD5D3D"/>
    <w:pPr>
      <w:widowControl w:val="0"/>
      <w:spacing w:before="1" w:after="0" w:line="240" w:lineRule="auto"/>
      <w:ind w:left="258"/>
    </w:pPr>
    <w:rPr>
      <w:rFonts w:ascii="Times New Roman" w:eastAsia="Times New Roman" w:hAnsi="Times New Roman" w:cs="Times New Roman"/>
      <w:b/>
      <w:bCs/>
      <w:sz w:val="27"/>
      <w:szCs w:val="27"/>
      <w:lang w:val="uk-UA"/>
    </w:rPr>
  </w:style>
  <w:style w:type="paragraph" w:styleId="afe">
    <w:name w:val="Subtitle"/>
    <w:basedOn w:val="a"/>
    <w:next w:val="a"/>
    <w:uiPriority w:val="11"/>
    <w:qFormat/>
    <w:rsid w:val="00DD5D3D"/>
    <w:pPr>
      <w:spacing w:after="720" w:line="240" w:lineRule="auto"/>
      <w:jc w:val="right"/>
    </w:pPr>
    <w:rPr>
      <w:rFonts w:asciiTheme="majorHAnsi" w:eastAsiaTheme="majorEastAsia" w:hAnsiTheme="majorHAnsi" w:cstheme="majorBidi"/>
    </w:rPr>
  </w:style>
  <w:style w:type="paragraph" w:styleId="aff">
    <w:name w:val="No Spacing"/>
    <w:uiPriority w:val="1"/>
    <w:qFormat/>
    <w:rsid w:val="00DD5D3D"/>
    <w:pPr>
      <w:jc w:val="both"/>
    </w:pPr>
    <w:rPr>
      <w:rFonts w:ascii="Calibri" w:eastAsiaTheme="minorEastAsia" w:hAnsi="Calibri"/>
      <w:sz w:val="20"/>
      <w:szCs w:val="20"/>
      <w:lang w:val="en-US"/>
    </w:rPr>
  </w:style>
  <w:style w:type="paragraph" w:styleId="aff0">
    <w:name w:val="Quote"/>
    <w:basedOn w:val="a"/>
    <w:next w:val="a"/>
    <w:uiPriority w:val="29"/>
    <w:qFormat/>
    <w:rsid w:val="00DD5D3D"/>
    <w:rPr>
      <w:i/>
      <w:iCs/>
    </w:rPr>
  </w:style>
  <w:style w:type="paragraph" w:styleId="aff1">
    <w:name w:val="Intense Quote"/>
    <w:basedOn w:val="a"/>
    <w:next w:val="a"/>
    <w:uiPriority w:val="30"/>
    <w:qFormat/>
    <w:rsid w:val="00DD5D3D"/>
    <w:pPr>
      <w:pBdr>
        <w:top w:val="single" w:sz="8" w:space="1" w:color="70AD47"/>
      </w:pBdr>
      <w:spacing w:before="140" w:after="140"/>
      <w:ind w:left="1440" w:right="1440"/>
    </w:pPr>
    <w:rPr>
      <w:b/>
      <w:bCs/>
      <w:i/>
      <w:iCs/>
    </w:rPr>
  </w:style>
  <w:style w:type="paragraph" w:styleId="aff2">
    <w:name w:val="TOC Heading"/>
    <w:basedOn w:val="1"/>
    <w:next w:val="a"/>
    <w:uiPriority w:val="39"/>
    <w:semiHidden/>
    <w:unhideWhenUsed/>
    <w:qFormat/>
    <w:rsid w:val="00DD5D3D"/>
    <w:pPr>
      <w:outlineLvl w:val="9"/>
    </w:pPr>
  </w:style>
  <w:style w:type="paragraph" w:styleId="41">
    <w:name w:val="toc 4"/>
    <w:basedOn w:val="a"/>
    <w:uiPriority w:val="1"/>
    <w:qFormat/>
    <w:rsid w:val="002B03D4"/>
    <w:pPr>
      <w:widowControl w:val="0"/>
      <w:spacing w:after="0" w:line="240" w:lineRule="auto"/>
      <w:ind w:left="1897" w:hanging="493"/>
      <w:jc w:val="left"/>
    </w:pPr>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DD5D3D"/>
    <w:pPr>
      <w:jc w:val="both"/>
    </w:pPr>
    <w:rPr>
      <w:rFonts w:eastAsiaTheme="minorEastAsia"/>
      <w:sz w:val="20"/>
      <w:szCs w:val="20"/>
      <w:lang w:val="en-US"/>
    </w:rPr>
    <w:tblPr>
      <w:tblCellMar>
        <w:top w:w="0" w:type="dxa"/>
        <w:left w:w="0" w:type="dxa"/>
        <w:bottom w:w="0" w:type="dxa"/>
        <w:right w:w="0" w:type="dxa"/>
      </w:tblCellMar>
    </w:tblPr>
  </w:style>
  <w:style w:type="table" w:styleId="aff3">
    <w:name w:val="Table Grid"/>
    <w:basedOn w:val="a1"/>
    <w:uiPriority w:val="39"/>
    <w:rsid w:val="00DD5D3D"/>
    <w:pPr>
      <w:jc w:val="both"/>
    </w:pPr>
    <w:rPr>
      <w:rFonts w:eastAsiaTheme="minorEastAsia"/>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10" Type="http://schemas.openxmlformats.org/officeDocument/2006/relationships/image" Target="media/image2.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41DDB-174F-4C37-A619-8D5337F57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81</Pages>
  <Words>19667</Words>
  <Characters>123904</Characters>
  <Application>Microsoft Office Word</Application>
  <DocSecurity>0</DocSecurity>
  <Lines>1032</Lines>
  <Paragraphs>286</Paragraphs>
  <ScaleCrop>false</ScaleCrop>
  <Company/>
  <LinksUpToDate>false</LinksUpToDate>
  <CharactersWithSpaces>143285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dc:description/>
  <cp:lastModifiedBy>Owner2</cp:lastModifiedBy>
  <cp:revision>3</cp:revision>
  <dcterms:created xsi:type="dcterms:W3CDTF">2024-06-18T20:00:00Z</dcterms:created>
  <dcterms:modified xsi:type="dcterms:W3CDTF">2024-06-18T20:00:00Z</dcterms:modified>
  <dc:language>uk-UA</dc:language>
</cp:coreProperties>
</file>